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F5B8" w14:textId="48DF9F6A" w:rsidR="008F61DF" w:rsidRPr="00827153" w:rsidRDefault="001E25F6" w:rsidP="00827153">
      <w:pPr>
        <w:pStyle w:val="Title"/>
      </w:pPr>
      <w:r>
        <w:t xml:space="preserve">Building and occupant characteristics as predictors of temperature-related health hazards in </w:t>
      </w:r>
      <w:r w:rsidR="00F224CB">
        <w:t>American</w:t>
      </w:r>
      <w:r>
        <w:t xml:space="preserve"> homes</w:t>
      </w:r>
    </w:p>
    <w:p w14:paraId="40BA5C48" w14:textId="6C72C0DB" w:rsidR="00827153" w:rsidRPr="00681EB3" w:rsidRDefault="00827153">
      <w:proofErr w:type="spellStart"/>
      <w:r>
        <w:t>Arfa</w:t>
      </w:r>
      <w:proofErr w:type="spellEnd"/>
      <w:r>
        <w:t xml:space="preserve"> N. </w:t>
      </w:r>
      <w:proofErr w:type="spellStart"/>
      <w:proofErr w:type="gramStart"/>
      <w:r>
        <w:t>Aijazi</w:t>
      </w:r>
      <w:r w:rsidRPr="00827153">
        <w:rPr>
          <w:vertAlign w:val="superscript"/>
        </w:rPr>
        <w:t>a</w:t>
      </w:r>
      <w:proofErr w:type="spellEnd"/>
      <w:r>
        <w:rPr>
          <w:vertAlign w:val="superscript"/>
        </w:rPr>
        <w:t>,*</w:t>
      </w:r>
      <w:proofErr w:type="gramEnd"/>
      <w:r>
        <w:t xml:space="preserve">, Stefano </w:t>
      </w:r>
      <w:proofErr w:type="spellStart"/>
      <w:r>
        <w:t>Schiavon</w:t>
      </w:r>
      <w:r w:rsidRPr="00827153">
        <w:rPr>
          <w:vertAlign w:val="superscript"/>
        </w:rPr>
        <w:t>a</w:t>
      </w:r>
      <w:proofErr w:type="spellEnd"/>
      <w:r w:rsidR="00681EB3">
        <w:t xml:space="preserve">, Duncan </w:t>
      </w:r>
      <w:proofErr w:type="spellStart"/>
      <w:r w:rsidR="00681EB3">
        <w:t>Callaway</w:t>
      </w:r>
      <w:r w:rsidR="004A7745">
        <w:rPr>
          <w:vertAlign w:val="superscript"/>
        </w:rPr>
        <w:t>b</w:t>
      </w:r>
      <w:proofErr w:type="spellEnd"/>
      <w:r w:rsidR="00681EB3">
        <w:t xml:space="preserve"> </w:t>
      </w:r>
    </w:p>
    <w:p w14:paraId="3B4FEFFA" w14:textId="608EDC5B" w:rsidR="00827153" w:rsidRDefault="00827153" w:rsidP="00041697">
      <w:pPr>
        <w:contextualSpacing/>
      </w:pPr>
      <w:r>
        <w:rPr>
          <w:vertAlign w:val="superscript"/>
        </w:rPr>
        <w:t>a</w:t>
      </w:r>
      <w:r>
        <w:t xml:space="preserve"> Center for</w:t>
      </w:r>
      <w:r w:rsidR="008E09E3">
        <w:t xml:space="preserve"> the</w:t>
      </w:r>
      <w:r>
        <w:t xml:space="preserve"> Built Environment, University of California, Berkeley, </w:t>
      </w:r>
      <w:r w:rsidR="006F7430">
        <w:t>CA 94720</w:t>
      </w:r>
    </w:p>
    <w:p w14:paraId="62216074" w14:textId="40D9046A" w:rsidR="004A7745" w:rsidRPr="006F7430" w:rsidRDefault="004A7745" w:rsidP="00041697">
      <w:pPr>
        <w:contextualSpacing/>
      </w:pPr>
      <w:r>
        <w:rPr>
          <w:vertAlign w:val="superscript"/>
        </w:rPr>
        <w:t>b</w:t>
      </w:r>
      <w:r w:rsidR="006F7430">
        <w:t xml:space="preserve"> Energy and Resources Group, University of California, Berkeley, CA 94720</w:t>
      </w:r>
    </w:p>
    <w:p w14:paraId="46B9F40A" w14:textId="05E6337D" w:rsidR="00783AE8" w:rsidRDefault="00783AE8" w:rsidP="00041697">
      <w:pPr>
        <w:contextualSpacing/>
      </w:pPr>
      <w:r>
        <w:t>* Corresponding author:</w:t>
      </w:r>
    </w:p>
    <w:p w14:paraId="6B5207F1" w14:textId="1895E6FD" w:rsidR="00783AE8" w:rsidRDefault="00783AE8" w:rsidP="00041697">
      <w:pPr>
        <w:ind w:left="720"/>
        <w:contextualSpacing/>
      </w:pPr>
      <w:r>
        <w:t xml:space="preserve">Email address: </w:t>
      </w:r>
      <w:hyperlink r:id="rId8" w:history="1">
        <w:r w:rsidR="00A640C8" w:rsidRPr="000C4AC4">
          <w:rPr>
            <w:rStyle w:val="Hyperlink"/>
          </w:rPr>
          <w:t>arfa@berkeley.edu</w:t>
        </w:r>
      </w:hyperlink>
      <w:r w:rsidR="00A640C8">
        <w:t xml:space="preserve"> </w:t>
      </w:r>
    </w:p>
    <w:p w14:paraId="3EA2A7CD" w14:textId="7714BB2B" w:rsidR="00783AE8" w:rsidRDefault="00783AE8" w:rsidP="00041697">
      <w:pPr>
        <w:ind w:left="720"/>
        <w:contextualSpacing/>
      </w:pPr>
      <w:r>
        <w:t>Address: Center for the Built Environment (CBE)</w:t>
      </w:r>
    </w:p>
    <w:p w14:paraId="715D586E" w14:textId="35F147B5" w:rsidR="00D747C5" w:rsidRDefault="00041697" w:rsidP="00041697">
      <w:pPr>
        <w:ind w:left="1620"/>
        <w:contextualSpacing/>
      </w:pPr>
      <w:r>
        <w:t>University of California, Berkeley</w:t>
      </w:r>
    </w:p>
    <w:p w14:paraId="0458CCD7" w14:textId="1E09D6F5" w:rsidR="00041697" w:rsidRDefault="00041697" w:rsidP="00041697">
      <w:pPr>
        <w:ind w:left="1620"/>
        <w:contextualSpacing/>
      </w:pPr>
      <w:r>
        <w:t>390 Wurster Hall #1839</w:t>
      </w:r>
    </w:p>
    <w:p w14:paraId="18C319E0" w14:textId="2556168F" w:rsidR="00783AE8" w:rsidRDefault="00041697" w:rsidP="00041697">
      <w:pPr>
        <w:ind w:left="1620"/>
        <w:contextualSpacing/>
      </w:pPr>
      <w:r>
        <w:t>Berkeley, CA 24720-1839</w:t>
      </w:r>
    </w:p>
    <w:p w14:paraId="72AC268A" w14:textId="77777777" w:rsidR="00041697" w:rsidRDefault="00041697" w:rsidP="00041697">
      <w:pPr>
        <w:ind w:left="1620"/>
        <w:contextualSpacing/>
      </w:pPr>
    </w:p>
    <w:p w14:paraId="09E22B66" w14:textId="28F34A10" w:rsidR="00827153" w:rsidRDefault="00827153" w:rsidP="00827153">
      <w:r w:rsidRPr="002969F8">
        <w:t>Keywords:</w:t>
      </w:r>
      <w:r w:rsidR="002969F8" w:rsidRPr="002969F8">
        <w:t xml:space="preserve"> Thermal resilience, </w:t>
      </w:r>
      <w:r w:rsidR="002969F8">
        <w:t xml:space="preserve">Housing, Extreme heat, Extreme cold, </w:t>
      </w:r>
      <w:r w:rsidR="00E23E01">
        <w:t xml:space="preserve">Overheating, </w:t>
      </w:r>
      <w:r w:rsidR="002969F8">
        <w:t>Public health, Climate change</w:t>
      </w:r>
    </w:p>
    <w:p w14:paraId="0EDB901A" w14:textId="6C4EF626" w:rsidR="00173E31" w:rsidRDefault="00173E31" w:rsidP="00827153">
      <w:r>
        <w:t>Target publication: Building and Environment</w:t>
      </w:r>
    </w:p>
    <w:p w14:paraId="3AD52924" w14:textId="4389E525" w:rsidR="002969F8" w:rsidRDefault="002969F8" w:rsidP="00041697">
      <w:pPr>
        <w:pStyle w:val="Heading1"/>
      </w:pPr>
      <w:r>
        <w:t>Highlights</w:t>
      </w:r>
    </w:p>
    <w:p w14:paraId="376328F3" w14:textId="1D4607C5" w:rsidR="00041697" w:rsidRDefault="002969F8" w:rsidP="00041697">
      <w:pPr>
        <w:pStyle w:val="Heading1"/>
      </w:pPr>
      <w:r>
        <w:t>Graphical Abstract</w:t>
      </w:r>
    </w:p>
    <w:p w14:paraId="2C27F801" w14:textId="26ABED45" w:rsidR="00827153" w:rsidRDefault="00827153" w:rsidP="00827153">
      <w:pPr>
        <w:pStyle w:val="Heading1"/>
      </w:pPr>
      <w:r>
        <w:t>Abstract</w:t>
      </w:r>
    </w:p>
    <w:p w14:paraId="77DF1D2E" w14:textId="65D50D1D" w:rsidR="006C34C5" w:rsidRDefault="00827153" w:rsidP="00E2340B">
      <w:pPr>
        <w:pStyle w:val="Heading1List"/>
      </w:pPr>
      <w:r w:rsidRPr="00E2340B">
        <w:t>Introduction</w:t>
      </w:r>
    </w:p>
    <w:p w14:paraId="2BA54730" w14:textId="49EE41FE" w:rsidR="00C42310" w:rsidRDefault="00C42310" w:rsidP="00C42310">
      <w:pPr>
        <w:pStyle w:val="Heading2List"/>
      </w:pPr>
      <w:r>
        <w:t>Background</w:t>
      </w:r>
    </w:p>
    <w:p w14:paraId="78888829" w14:textId="11D6AD01" w:rsidR="0037081F" w:rsidRDefault="007C6B3E" w:rsidP="001618CD">
      <w:r w:rsidRPr="00071F7E">
        <w:t>Though less visibly destructive than floods, hurricanes, and other hazards, prolonged periods of</w:t>
      </w:r>
      <w:r w:rsidR="0037081F">
        <w:t xml:space="preserve"> extreme temperatures</w:t>
      </w:r>
      <w:r w:rsidRPr="00071F7E">
        <w:t xml:space="preserve"> are the leading cause of weather-related deaths in the United </w:t>
      </w:r>
      <w:r w:rsidRPr="00536B05">
        <w:t xml:space="preserve">States </w:t>
      </w:r>
      <w:r w:rsidRPr="00536B05">
        <w:fldChar w:fldCharType="begin"/>
      </w:r>
      <w:r w:rsidR="00351C61">
        <w:instrText xml:space="preserve"> ADDIN ZOTERO_ITEM CSL_CITATION {"citationID":"tJsqCQll","properties":{"formattedCitation":"(Berko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Pr="00536B05">
        <w:fldChar w:fldCharType="separate"/>
      </w:r>
      <w:r w:rsidRPr="00536B05">
        <w:t>(Berko et al. 2014)</w:t>
      </w:r>
      <w:r w:rsidRPr="00536B05">
        <w:fldChar w:fldCharType="end"/>
      </w:r>
      <w:r w:rsidRPr="00071F7E">
        <w:t>.</w:t>
      </w:r>
      <w:r>
        <w:t xml:space="preserve"> </w:t>
      </w:r>
      <w:r w:rsidR="0037081F" w:rsidRPr="0037081F">
        <w:t xml:space="preserve">Globally, extreme ambient temperature (either or hot or cold) contributes to 6.5-10% of all deaths </w:t>
      </w:r>
      <w:r w:rsidR="0037081F" w:rsidRPr="0037081F">
        <w:fldChar w:fldCharType="begin"/>
      </w:r>
      <w:r w:rsidR="0037081F" w:rsidRPr="0037081F">
        <w:instrText xml:space="preserve"> ADDIN ZOTERO_ITEM CSL_CITATION {"citationID":"of0Zz22K","properties":{"formattedCitation":"(Sera et al. 2019; Zhao et al. 2021)","plainCitation":"(Sera et al. 2019; Zhao et al. 2021)","noteIndex":0},"citationItems":[{"id":1610,"uris":["http://zotero.org/users/4259226/items/S55SGP7I"],"itemData":{"id":1610,"type":"article-journal","abstract":"The health burden associated with temperature is expected to increase due to a warming climate. Populations living in cities are likely to be particularly at risk, but the role of urban characteristics in modifying the direct effects of temperature on health is still unclear. In this contribution, we used a multi-country dataset to study effect modification of temperature–mortality relationships by a range of city-specific indicators.We collected ambient temperature and mortality daily time-series data for 340 cities in 22 countries, in periods between 1985 and 2014. Standardized measures of demographic, socio-economic, infrastructural and environmental indicators were derived from the Organisation for Economic Co-operation and Development (OECD) Regional and Metropolitan Database. We used distributed lag non-linear and multivariate meta-regression models to estimate fractions of mortality attributable to heat and cold (AF%) in each city, and to evaluate the effect modification of each indicator across cities.Heat- and cold-related deaths amounted to 0.54% (95% confidence interval: 0.49 to 0.58%) and 6.05% (5.59 to 6.36%) of total deaths, respectively. Several city indicators modify the effect of heat, with a higher mortality impact associated with increases in population density, fine particles (PM2.5), gross domestic product (GDP) and Gini index (a measure of income inequality), whereas higher levels of green spaces were linked with a decreased effect of heat.This represents the largest study to date assessing the effect modification of temperature–mortality relationships. Evidence from this study can inform public-health interventions and urban planning under various climate-change and urban-development scenarios.","container-title":"International Journal of Epidemiology","DOI":"10.1093/ije/dyz008","ISSN":"0300-5771","issue":"4","journalAbbreviation":"International Journal of Epidemiology","page":"1101-1112","source":"Silverchair","title":"How urban characteristics affect vulnerability to heat and cold: a multi-country analysis","title-short":"How urban characteristics affect vulnerability to heat and cold","URL":"https://doi.org/10.1093/ije/dyz008","volume":"48","author":[{"family":"Sera","given":"Francesco"},{"family":"Armstrong","given":"Ben"},{"family":"Tobias","given":"Aurelio"},{"family":"Vicedo-Cabrera","given":"Ana Maria"},{"family":"Åström","given":"Christofer"},{"family":"Bell","given":"Michelle L"},{"family":"Chen","given":"Bing-Yu"},{"family":"Sousa Zanotti Stagliorio Coelho","given":"Micheline","non-dropping-particle":"de"},{"family":"Matus Correa","given":"Patricia"},{"family":"Cruz","given":"Julio Cesar"},{"family":"Dang","given":"Tran Ngoc"},{"family":"Hurtado-Diaz","given":"Magali"},{"family":"Do Van","given":"Dung"},{"family":"Forsberg","given":"Bertil"},{"family":"Guo","given":"Yue Leon"},{"family":"Guo","given":"Yuming"},{"family":"Hashizume","given":"Masahiro"},{"family":"Honda","given":"Yasushi"},{"family":"Iñiguez","given":"Carmen"},{"family":"Jaakkola","given":"Jouni J K"},{"family":"Kan","given":"Haidong"},{"family":"Kim","given":"Ho"},{"family":"Lavigne","given":"Eric"},{"family":"Michelozzi","given":"Paola"},{"family":"Ortega","given":"Nicolas Valdes"},{"family":"Osorio","given":"Samuel"},{"family":"Pascal","given":"Mathilde"},{"family":"Ragettli","given":"Martina S"},{"family":"Ryti","given":"Niilo R I"},{"family":"Saldiva","given":"Paulo Hilario Nascimento"},{"family":"Schwartz","given":"Joel"},{"family":"Scortichini","given":"Matteo"},{"family":"Seposo","given":"Xerxes"},{"family":"Tong","given":"Shilu"},{"family":"Zanobetti","given":"Antonella"},{"family":"Gasparrini","given":"Antonio"}],"accessed":{"date-parts":[["2023",10,22]]},"issued":{"date-parts":[["2019",8,1]]}}},{"id":1607,"uris":["http://zotero.org/users/4259226/items/ME8WVJYL"],"itemData":{"id":1607,"type":"article-journal","container-title":"The Lancet Planetary Health","DOI":"10.1016/S2542-5196(21)00081-4","ISSN":"2542-5196","issue":"7","journalAbbreviation":"The Lancet Planetary Health","language":"English","note":"publisher: Elsevier\nPMID: 34245712","page":"e415-e425","source":"www.thelancet.com","title":"Global, regional, and national burden of mortality associated with non-optimal ambient temperatures from 2000 to 2019: a three-stage modelling study","title-short":"Global, regional, and national burden of mortality associated with non-optimal ambient temperatures from 2000 to 2019","URL":"https://www.thelancet.com/journals/lanplh/article/PIIS2542-5196(21)00081-4/fulltext","volume":"5","author":[{"family":"Zhao","given":"Qi"},{"family":"Guo","given":"Yuming"},{"family":"Ye","given":"Tingting"},{"family":"Gasparrini","given":"Antonio"},{"family":"Tong","given":"Shilu"},{"family":"Overcenco","given":"Ala"},{"family":"Urban","given":"Aleš"},{"family":"Schneider","given":"Alexandra"},{"family":"Entezari","given":"Alireza"},{"family":"Vicedo-Cabrera","given":"Ana Maria"},{"family":"Zanobetti","given":"Antonella"},{"family":"Analitis","given":"Antonis"},{"family":"Zeka","given":"Ariana"},{"family":"Tobias","given":"Aurelio"},{"family":"Nunes","given":"Baltazar"},{"family":"Alahmad","given":"Barrak"},{"family":"Armstrong","given":"Ben"},{"family":"Forsberg","given":"Bertil"},{"family":"Pan","given":"Shih-Chun"},{"family":"Íñiguez","given":"Carmen"},{"family":"Ameling","given":"Caroline"},{"family":"Valencia","given":"César De la Cruz"},{"family":"Åström","given":"Christofer"},{"family":"Houthuijs","given":"Danny"},{"family":"Dung","given":"Do Van"},{"family":"Royé","given":"Dominic"},{"family":"Indermitte","given":"Ene"},{"family":"Lavigne","given":"Eric"},{"family":"Mayvaneh","given":"Fatemeh"},{"family":"Acquaotta","given":"Fiorella"},{"family":"Donato","given":"Francesca","non-dropping-particle":"de'"},{"family":"Ruscio","given":"Francesco Di"},{"family":"Sera","given":"Francesco"},{"family":"Carrasco-Escobar","given":"Gabriel"},{"family":"Kan","given":"Haidong"},{"family":"Orru","given":"Hans"},{"family":"Kim","given":"Ho"},{"family":"Holobaca","given":"Iulian-Horia"},{"family":"Kyselý","given":"Jan"},{"family":"Madureira","given":"Joana"},{"family":"Schwartz","given":"Joel"},{"family":"Jaakkola","given":"Jouni J. K."},{"family":"Katsouyanni","given":"Klea"},{"family":"Diaz","given":"Magali Hurtado"},{"family":"Ragettli","given":"Martina S."},{"family":"Hashizume","given":"Masahiro"},{"family":"Pascal","given":"Mathilde"},{"family":"Coélho","given":"Micheline de Sousa Zanotti Stagliorio"},{"family":"Ortega","given":"Nicolás Valdés"},{"family":"Ryti","given":"Niilo"},{"family":"Scovronick","given":"Noah"},{"family":"Michelozzi","given":"Paola"},{"family":"Correa","given":"Patricia Matus"},{"family":"Goodman","given":"Patrick"},{"family":"Saldiva","given":"Paulo Hilario Nascimento"},{"family":"Abrutzky","given":"Rosana"},{"family":"Osorio","given":"Samuel"},{"family":"Rao","given":"Shilpa"},{"family":"Fratianni","given":"Simona"},{"family":"Dang","given":"Tran Ngoc"},{"family":"Colistro","given":"Valentina"},{"family":"Huber","given":"Veronika"},{"family":"Lee","given":"Whanhee"},{"family":"Seposo","given":"Xerxes"},{"family":"Honda","given":"Yasushi"},{"family":"Guo","given":"Yue Leon"},{"family":"Bell","given":"Michelle L."},{"family":"Li","given":"Shanshan"}],"accessed":{"date-parts":[["2023",10,22]]},"issued":{"date-parts":[["2021",7,1]]}}}],"schema":"https://github.com/citation-style-language/schema/raw/master/csl-citation.json"} </w:instrText>
      </w:r>
      <w:r w:rsidR="0037081F" w:rsidRPr="0037081F">
        <w:fldChar w:fldCharType="separate"/>
      </w:r>
      <w:r w:rsidR="0037081F" w:rsidRPr="0037081F">
        <w:t>(Sera et al. 2019; Zhao et al. 2021)</w:t>
      </w:r>
      <w:r w:rsidR="0037081F" w:rsidRPr="0037081F">
        <w:fldChar w:fldCharType="end"/>
      </w:r>
      <w:r w:rsidR="0037081F" w:rsidRPr="0037081F">
        <w:t xml:space="preserve">. While the media focus is largely on extreme heat, in both studies, nearly 90% of global deaths attributed to temperature were cold-related, which is consistent with findings in the United States </w:t>
      </w:r>
      <w:r w:rsidR="0037081F" w:rsidRPr="0037081F">
        <w:fldChar w:fldCharType="begin"/>
      </w:r>
      <w:r w:rsidR="00351C61">
        <w:instrText xml:space="preserve"> ADDIN ZOTERO_ITEM CSL_CITATION {"citationID":"pdfQIDKD","properties":{"formattedCitation":"(Berko et al. 2014)","plainCitation":"(Berko et al. 2014)","noteIndex":0},"citationItems":[{"id":553,"uris":["http://zotero.org/users/4259226/items/YB7I6DK2",["http://zotero.org/users/4259226/items/YB7I6DK2"]],"itemData":{"id":553,"type":"article-journal","abstract":"OBJECTIVES: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sidR="0037081F" w:rsidRPr="0037081F">
        <w:fldChar w:fldCharType="separate"/>
      </w:r>
      <w:r w:rsidR="0037081F" w:rsidRPr="0037081F">
        <w:t>(Berko et al. 2014)</w:t>
      </w:r>
      <w:r w:rsidR="0037081F" w:rsidRPr="0037081F">
        <w:fldChar w:fldCharType="end"/>
      </w:r>
      <w:r w:rsidR="0037081F" w:rsidRPr="0037081F">
        <w:t>.</w:t>
      </w:r>
      <w:r w:rsidR="0037081F">
        <w:t xml:space="preserve"> It is hard to pinpoint the true </w:t>
      </w:r>
      <w:r w:rsidR="00030781">
        <w:t xml:space="preserve">public health </w:t>
      </w:r>
      <w:r w:rsidR="0037081F">
        <w:t xml:space="preserve">impact of extreme temperature because it aggravates underlying conditions, but may not be noted as a contributing cause on hospital records or death certificates </w:t>
      </w:r>
      <w:r w:rsidR="0037081F">
        <w:fldChar w:fldCharType="begin"/>
      </w:r>
      <w:r w:rsidR="0037081F">
        <w:instrText xml:space="preserve"> ADDIN ZOTERO_ITEM CSL_CITATION {"citationID":"HamXFuOK","properties":{"formattedCitation":"(Ostro et al. 2009; Lane 2018)","plainCitation":"(Ostro et al. 2009; Lane 2018)","noteIndex":0},"citationItems":[{"id":464,"uris":["http://zotero.org/users/4259226/items/2D454CM3",["http://zotero.org/users/4259226/items/2D454CM3"]],"itemData":{"id":464,"type":"article-journal","abstract":"Objective\nAs a result of the California heat wave in July 2006, county coroners reported that the high temperatures during that period caused approximately 147 deaths. However, heat wave-related deaths are likely to be underreported due to a lack of a clear case definition and the multi-factorial nature of heat-related mortality. Public health policy suggests a need for a careful assessment of mortality following a heat wave. In addition, it is useful to provide a comparison of the mortality impact per degree change during heat waves versus high temperatures observed during non-heat wave periods.\nDesign\nDaily data were collected for mortality, weather and ozone in seven California counties impacted by the July 2006 heat wave. The association between apparent temperature and daily mortality was assessed using a Poisson regression model and combined across counties in a meta-analysis. These results were then used to estimate the increases in the number of deaths during the heat wave.\nResults\nOur analysis indicated that during the July heat wave, there was a 9% (95% CI=1.6, 16.3) increase in daily mortality per 10° Fahrenheit (F) change in apparent temperature for all counties combined. This estimate is almost 3 times larger than the effect estimated for the full warm season of May–September, during the non-heat wave years. Our estimates also determined that actual mortality during the July 2006 heat wave was 2–3 times greater than the coroner estimates.\nConclusion\nThis multi-county analysis provides additional evidence that the attributable risk of mortality following a heat wave may be underestimated by examining only direct heat-related deaths. In addition, we have found that the mortality effect per °F is several times higher than that reported during non-heat wave periods.","container-title":"Environmental Research","DOI":"10.1016/j.envres.2009.03.010","ISSN":"0013-9351","issue":"5","journalAbbreviation":"Environmental Research","language":"en","page":"614-619","source":"ScienceDirect","title":"Estimating the mortality effect of the July 2006 California heat wave","URL":"https://www.sciencedirect.com/science/article/pii/S0013935109000553","volume":"109","author":[{"family":"Ostro","given":"Bart D."},{"family":"Roth","given":"Lindsey A."},{"family":"Green","given":"Rochelle S."},{"family":"Basu","given":"Rupa"}],"accessed":{"date-parts":[["2021",6,14]]},"issued":{"date-parts":[["2009",7,1]]}}},{"id":463,"uris":["http://zotero.org/users/4259226/items/9U87Z2XT",["http://zotero.org/users/4259226/items/9U87Z2XT"]],"itemData":{"id":463,"type":"webpage","abstract":"Lane and colleagues analyzed death certificate and medical examiner data to understand who is most at risk for cold-related deaths in New York City.","container-title":"Public Health Post","language":"en-US","title":"The Dangers of Cold Weather","URL":"https://www.publichealthpost.org/research/counting-cold-related-deaths-new-york-city/","author":[{"family":"Lane","given":"Kathryn"}],"accessed":{"date-parts":[["2021",6,14]]},"issued":{"date-parts":[["2018",11,14]]}}}],"schema":"https://github.com/citation-style-language/schema/raw/master/csl-citation.json"} </w:instrText>
      </w:r>
      <w:r w:rsidR="0037081F">
        <w:fldChar w:fldCharType="separate"/>
      </w:r>
      <w:r w:rsidR="0037081F">
        <w:rPr>
          <w:noProof/>
        </w:rPr>
        <w:t>(Ostro et al. 2009; Lane 2018)</w:t>
      </w:r>
      <w:r w:rsidR="0037081F">
        <w:fldChar w:fldCharType="end"/>
      </w:r>
      <w:r w:rsidR="0037081F">
        <w:t xml:space="preserve">. At least 17 chronic conditions such as heart disease, diabetes, kidney disease, and respiratory infection show a J-shaped relationship with temperature </w:t>
      </w:r>
      <w:r w:rsidR="0037081F">
        <w:fldChar w:fldCharType="begin"/>
      </w:r>
      <w:r w:rsidR="0037081F">
        <w:instrText xml:space="preserve"> ADDIN ZOTERO_ITEM CSL_CITATION {"citationID":"E4jK9e2U","properties":{"formattedCitation":"(Burkart et al. 2021)","plainCitation":"(Burkart et al. 2021)","noteIndex":0},"citationItems":[{"id":1613,"uris":["http://zotero.org/users/4259226/items/58LKYXAR"],"itemData":{"id":1613,"type":"article-journal","container-title":"The Lancet","DOI":"10.1016/S0140-6736(21)01700-1","ISSN":"0140-6736, 1474-547X","issue":"10301","journalAbbreviation":"The Lancet","language":"English","note":"publisher: Elsevier\nPMID: 34419204","page":"685-697","source":"www.thelancet.com","title":"Estimating the cause-specific relative risks of non-optimal temperature on daily mortality: a two-part modelling approach applied to the Global Burden of Disease Study","title-short":"Estimating the cause-specific relative risks of non-optimal temperature on daily mortality","URL":"https://www.thelancet.com/journals/lancet/article/PIIS0140-6736(21)01700-1/fulltext#seccestitle160","volume":"398","author":[{"family":"Burkart","given":"Katrin G."},{"family":"Brauer","given":"Michael"},{"family":"Aravkin","given":"Aleksandr Y."},{"family":"Godwin","given":"William W."},{"family":"Hay","given":"Simon I."},{"family":"He","given":"Jiawei"},{"family":"Iannucci","given":"Vincent C."},{"family":"Larson","given":"Samantha L."},{"family":"Lim","given":"Stephen S."},{"family":"Liu","given":"Jiangmei"},{"family":"Murray","given":"Christopher J. L."},{"family":"Zheng","given":"Peng"},{"family":"Zhou","given":"Maigeng"},{"family":"Stanaway","given":"Jeffrey D."}],"accessed":{"date-parts":[["2023",10,22]]},"issued":{"date-parts":[["2021",8,21]]}}}],"schema":"https://github.com/citation-style-language/schema/raw/master/csl-citation.json"} </w:instrText>
      </w:r>
      <w:r w:rsidR="0037081F">
        <w:fldChar w:fldCharType="separate"/>
      </w:r>
      <w:r w:rsidR="0037081F">
        <w:rPr>
          <w:noProof/>
        </w:rPr>
        <w:t>(Burkart et al. 2021)</w:t>
      </w:r>
      <w:r w:rsidR="0037081F">
        <w:fldChar w:fldCharType="end"/>
      </w:r>
      <w:r w:rsidR="0037081F">
        <w:t xml:space="preserve">, meaning that the disease prevalence increases in both extreme high and low ambient temperatures. </w:t>
      </w:r>
      <w:r w:rsidR="00030781">
        <w:t xml:space="preserve">In addition to these serious health impacts, extreme temperature exposure impairs labor productivity </w:t>
      </w:r>
      <w:r w:rsidR="00030781">
        <w:fldChar w:fldCharType="begin"/>
      </w:r>
      <w:r w:rsidR="00C42310">
        <w:instrText xml:space="preserve"> ADDIN ZOTERO_ITEM CSL_CITATION {"citationID":"SqDB2Kyf","properties":{"formattedCitation":"(Lai et al. 2023)","plainCitation":"(Lai et al. 2023)","noteIndex":0},"citationItems":[{"id":1679,"uris":["http://zotero.org/users/4259226/items/J8NENIRG"],"itemData":{"id":1679,"type":"article-journal","abstract":"This article reviews recent economic studies on the causal effects of temperature on labor productivity. The negative effects of extreme temperatures are widespread, and the magnitudes of the impact differ across social and economic factors. In addition to physical outputs, extreme temperatures also impair mental productivity, including cognition and learning. In utero exposure to extreme temperatures has profound effects on human development. Although the literature has detected various adaptation strategies, the conclusions are mixed. We discuss some limitations of existing studies and propose several directions for future research.","language":"en","source":"Zotero","title":"The Effects of Temperature on Labor Productivity","author":[{"family":"Lai","given":"Wangyang"},{"family":"Qiu","given":"Yun"},{"family":"Tang","given":"Qu"},{"family":"Xi","given":"Chen"},{"family":"Zhang","given":"Peng"}],"issued":{"date-parts":[["2023",6,20]]}}}],"schema":"https://github.com/citation-style-language/schema/raw/master/csl-citation.json"} </w:instrText>
      </w:r>
      <w:r w:rsidR="00030781">
        <w:fldChar w:fldCharType="separate"/>
      </w:r>
      <w:r w:rsidR="00C42310">
        <w:rPr>
          <w:noProof/>
        </w:rPr>
        <w:t>(Lai et al. 2023)</w:t>
      </w:r>
      <w:r w:rsidR="00030781">
        <w:fldChar w:fldCharType="end"/>
      </w:r>
      <w:r w:rsidR="00C42310">
        <w:t xml:space="preserve">, sleep quality </w:t>
      </w:r>
      <w:r w:rsidR="00C42310">
        <w:fldChar w:fldCharType="begin"/>
      </w:r>
      <w:r w:rsidR="00C42310">
        <w:instrText xml:space="preserve"> ADDIN ZOTERO_ITEM CSL_CITATION {"citationID":"fd1F12aT","properties":{"formattedCitation":"(Obradovich et al. 2017)","plainCitation":"(Obradovich et al. 2017)","noteIndex":0},"citationItems":[{"id":358,"uris":["http://zotero.org/users/4259226/items/YUYLAGDX"],"itemData":{"id":358,"type":"article-journal","abstract":"Human sleep is highly regulated by temperature. Might climate change—through increases in nighttime heat—disrupt sleep in the future? We conduct the inaugural investigation of the relationship between climatic anomalies, reports of insufficient sleep, and projected climate change. Using data from 765,000 U.S. survey respondents from 2002 to 2011, coupled with nighttime temperature data, we show that increases in nighttime temperatures amplify self-reported nights of insufficient sleep. We observe the largest effects during the summer and among both lower-income and elderly respondents. We combine our historical estimates with climate model projections and detail the potential sleep impacts of future climatic changes. Our study represents the largest ever investigation of the relationship between sleep and ambient temperature and provides the first evidence that climate change may disrupt human sleep.\nAnalysis of reported sleep difficulties indicates that increases in nighttime temperatures reduce human sleep quality.\nAnalysis of reported sleep difficulties indicates that increases in nighttime temperatures reduce human sleep quality.","container-title":"Science Advances","DOI":"10.1126/sciadv.1601555","ISSN":"2375-2548","issue":"5","language":"en","license":"Copyright © 2017, The Authors. This is an open-access article distributed under the terms of the Creative Commons Attribution-NonCommercial license, which permits use, distribution, and reproduction in any medium, so long as the resultant use is not for commercial advantage and provided the original work is properly cited.","note":"publisher: American Association for the Advancement of Science\nsection: Research Article","page":"e1601555","source":"advances.sciencemag.org","title":"Nighttime temperature and human sleep loss in a changing climate","URL":"https://advances.sciencemag.org/content/3/5/e1601555","volume":"3","author":[{"family":"Obradovich","given":"Nick"},{"family":"Migliorini","given":"Robyn"},{"family":"Mednick","given":"Sara C."},{"family":"Fowler","given":"James H."}],"accessed":{"date-parts":[["2021",8,2]]},"issued":{"date-parts":[["2017",5,1]]}}}],"schema":"https://github.com/citation-style-language/schema/raw/master/csl-citation.json"} </w:instrText>
      </w:r>
      <w:r w:rsidR="00C42310">
        <w:fldChar w:fldCharType="separate"/>
      </w:r>
      <w:r w:rsidR="00C42310">
        <w:rPr>
          <w:noProof/>
        </w:rPr>
        <w:t>(Obradovich et al. 2017)</w:t>
      </w:r>
      <w:r w:rsidR="00C42310">
        <w:fldChar w:fldCharType="end"/>
      </w:r>
      <w:r w:rsidR="00C42310">
        <w:t xml:space="preserve">, and cognitive performance </w:t>
      </w:r>
      <w:r w:rsidR="00C42310">
        <w:fldChar w:fldCharType="begin"/>
      </w:r>
      <w:r w:rsidR="00C42310">
        <w:instrText xml:space="preserve"> ADDIN ZOTERO_ITEM CSL_CITATION {"citationID":"lPhcmjoh","properties":{"formattedCitation":"(Laurent et al. 2018)","plainCitation":"(Laurent et al. 2018)","noteIndex":0},"citationItems":[{"id":225,"uris":["http://zotero.org/users/4259226/items/BTFFDLB5"],"itemData":{"id":225,"type":"article-journal","abstract":"Background In many regions globally, buildings designed for harnessing heat during the cold exacerbate thermal exposures during heat waves (HWs) by maintaining elevated indoor temperatures even when high ambient temperatures have subdued. While previous experimental studies have documented the effects of ambient temperatures on cognitive function, few have observed HW effects on indoor temperatures following subjects’ habitual conditions. The objective was to evaluate the differential impact of having air conditioning (AC) on cognitive function during a HW among residents of AC and non-AC buildings using a prospective observational cohort study. Methods We followed 44 students (mean age = 20.2 years; SD = 1.8 years) from a university in the Greater Boston area, Massachusetts in the United States living in AC (n = 24) and non-AC (n = 20) buildings before, during, and after a HW. Two cognition tests were self-administered daily for a period of 12 days (July 9–July 20, 2016), the Stroop color-word test (STROOP) to assess selective attention/processing speed and a 2-digit, visual addition/subtraction test (ADD) to evaluate cognitive speed and working memory. The effect of the HW on cognitive function was evaluated using difference-in-differences (DiD) modelling. Findings Mean indoor temperatures in the non-AC group (mean = 26.3°C; SD = 2.5°C; range = 19.6–30.4°C) were significantly higher (p &lt; 0.001) than in the AC group (mean = 21.4°C; SD = 1.9°C; range = 17.5–25.0°C). DiD estimates show an increase in reaction time (STROOP = 13.4%, p &lt; 0001; ADD = 13.3%, p &lt; 0.001) and reduction in throughput (STROOP = −9.9%, p &lt; 0.001; ADD = −6.3%, p = 0.08) during HWs among non-AC residents relative to AC residents at baseline. While ADD showed a linear relationship with indoor temperatures, STROOP was described by a U-shaped curve with linear effects below and above an optimum range (indoor temperature = 22°C–23°C), with an increase in reaction time of 16 ms/°C and 24 ms/°C for STROOP and ADD, respectively. Cognitive tests occurred right after waking, so the study is limited in that it cannot assess whether the observed effects extended during the rest of the day. Although the range of students’ ages also represents a limitation of the study, the consistent findings in this young, healthy population might indicate that greater portions of the population are susceptible to the effects of extreme heat. Conclusions Cognitive function deficits resulting from indoor thermal conditions during HWs extend beyond vulnerable populations. Our findings highlight the importance of incorporating sustainable adaptation measures in buildings to preserve educational attainment, economic productivity, and safety in light of a changing climate.","container-title":"PLOS Medicine","DOI":"10.1371/journal.pmed.1002605","ISSN":"1549-1676","issue":"7","journalAbbreviation":"PLOS Medicine","language":"en","note":"publisher: Public Library of Science","page":"e1002605","source":"PLoS Journals","title":"Reduced cognitive function during a heat wave among residents of non-air-conditioned buildings: An observational study of young adults in the summer of 2016","title-short":"Reduced cognitive function during a heat wave among residents of non-air-conditioned buildings","URL":"https://journals.plos.org/plosmedicine/article?id=10.1371/journal.pmed.1002605","volume":"15","author":[{"family":"Laurent","given":"Jose Guillermo Cedeño"},{"family":"Williams","given":"Augusta"},{"family":"Oulhote","given":"Youssef"},{"family":"Zanobetti","given":"Antonella"},{"family":"Allen","given":"Joseph G."},{"family":"Spengler","given":"John D."}],"accessed":{"date-parts":[["2020",8,4]]},"issued":{"date-parts":[["2018",7,10]]}}}],"schema":"https://github.com/citation-style-language/schema/raw/master/csl-citation.json"} </w:instrText>
      </w:r>
      <w:r w:rsidR="00C42310">
        <w:fldChar w:fldCharType="separate"/>
      </w:r>
      <w:r w:rsidR="00C42310">
        <w:rPr>
          <w:noProof/>
        </w:rPr>
        <w:t>(Laurent et al. 2018)</w:t>
      </w:r>
      <w:r w:rsidR="00C42310">
        <w:fldChar w:fldCharType="end"/>
      </w:r>
      <w:r w:rsidR="00C42310">
        <w:t xml:space="preserve">. </w:t>
      </w:r>
    </w:p>
    <w:p w14:paraId="6C235CB7" w14:textId="27EF367C" w:rsidR="003F534F" w:rsidRDefault="003F534F" w:rsidP="001618CD">
      <w:r>
        <w:t>Several trends necessitate prioritizing emergency planning and disaster mitigation with regards to extreme temperature</w:t>
      </w:r>
      <w:r w:rsidR="00351C61">
        <w:t>s</w:t>
      </w:r>
      <w:r>
        <w:t>, the first being anthropogenic climate change. F</w:t>
      </w:r>
      <w:r w:rsidRPr="00B53909">
        <w:t>uture projections show rising ambient temperatures as well as increasing frequency and intensity of heat waves</w:t>
      </w:r>
      <w:r>
        <w:t xml:space="preserve"> </w:t>
      </w:r>
      <w:r>
        <w:fldChar w:fldCharType="begin"/>
      </w:r>
      <w:r>
        <w:instrText xml:space="preserve"> ADDIN ZOTERO_ITEM CSL_CITATION {"citationID":"y4ePMxOq","properties":{"formattedCitation":"(IPCC 2021)","plainCitation":"(IPCC 2021)","noteIndex":0},"citationItems":[{"id":29,"uris":["http://zotero.org/users/4259226/items/ZJSAJ9BY"],"itemData":{"id":29,"type":"post-weblog","title":"Sixth Assessment Report — IPCC","URL":"https://www.ipcc.ch/assessment-report/ar6/","author":[{"family":"IPCC","given":""}],"accessed":{"date-parts":[["2021",7,25]]},"issued":{"date-parts":[["2021"]]}}}],"schema":"https://github.com/citation-style-language/schema/raw/master/csl-citation.json"} </w:instrText>
      </w:r>
      <w:r>
        <w:fldChar w:fldCharType="separate"/>
      </w:r>
      <w:r>
        <w:rPr>
          <w:noProof/>
        </w:rPr>
        <w:t>(IPCC 2021)</w:t>
      </w:r>
      <w:r>
        <w:fldChar w:fldCharType="end"/>
      </w:r>
      <w:r w:rsidRPr="00B53909">
        <w:t>. </w:t>
      </w:r>
      <w:r>
        <w:t xml:space="preserve">Individuals may also be exposed to hazardous temperatures in the event of a power outage </w:t>
      </w:r>
      <w:r>
        <w:lastRenderedPageBreak/>
        <w:t xml:space="preserve">coinciding with an extreme weather event, </w:t>
      </w:r>
      <w:r w:rsidRPr="003F534F">
        <w:t xml:space="preserve">as was seen across </w:t>
      </w:r>
      <w:r w:rsidR="00BF38F5">
        <w:t xml:space="preserve">the Northeastern United States following Hurricane Sandy in 2012 </w:t>
      </w:r>
      <w:r w:rsidR="00351C61">
        <w:fldChar w:fldCharType="begin"/>
      </w:r>
      <w:r w:rsidR="00351C61">
        <w:instrText xml:space="preserve"> ADDIN ZOTERO_ITEM CSL_CITATION {"citationID":"3j47y5y4","properties":{"formattedCitation":"(Henry and Ramirez-Marquez 2016)","plainCitation":"(Henry and Ramirez-Marquez 2016)","noteIndex":0},"citationItems":[{"id":1674,"uris":["http://zotero.org/users/4259226/items/K9GTNSF7"],"itemData":{"id":1674,"type":"article-journal","abstract":"The dependence on continuous availability of power for day-to-day functioning and sustenance of life is more critical today than ever before. A prolonged loss of power is no longer just an inconvenience, but brings normal life to a standstill. When Hurricane Sandy hit the U.S East Coast in October 2012, many lost their homes and properties due to the flooding and severe winds. However, a significant impact was the power outages to over 8 million customers across 21 states, for days and even weeks. This paper takes a systems view of these power outages from supply and demand sides, from a quantitative resilience perspective. The focus of this study is on the resilience action that enables restoration of the disrupted system. Generic resilience framework and metrics are used as the basis for the resilience analysis; the observations, lessons learnt, and recommendations based on this analysis are expected to improve recovery from large-scale power outages resulting from any disruptive event in future.","container-title":"Systems Engineering","DOI":"10.1002/sys.21338","ISSN":"1520-6858","issue":"1","language":"en","note":"_eprint: https://onlinelibrary.wiley.com/doi/pdf/10.1002/sys.21338","page":"59-75","source":"Wiley Online Library","title":"On the Impacts of Power Outages during Hurricane Sandy—A Resilience-Based Analysis","URL":"https://onlinelibrary.wiley.com/doi/abs/10.1002/sys.21338","volume":"19","author":[{"family":"Henry","given":"Devanandham"},{"family":"Ramirez-Marquez","given":"Jose Emmanuel"}],"accessed":{"date-parts":[["2023",11,4]]},"issued":{"date-parts":[["2016"]]}}}],"schema":"https://github.com/citation-style-language/schema/raw/master/csl-citation.json"} </w:instrText>
      </w:r>
      <w:r w:rsidR="00351C61">
        <w:fldChar w:fldCharType="separate"/>
      </w:r>
      <w:r w:rsidR="00351C61">
        <w:rPr>
          <w:noProof/>
        </w:rPr>
        <w:t>(Henry and Ramirez-Marquez 2016)</w:t>
      </w:r>
      <w:r w:rsidR="00351C61">
        <w:fldChar w:fldCharType="end"/>
      </w:r>
      <w:r w:rsidR="00BF38F5">
        <w:t xml:space="preserve"> the state of </w:t>
      </w:r>
      <w:r w:rsidRPr="003F534F">
        <w:t xml:space="preserve">Texas in February 2021 </w:t>
      </w:r>
      <w:r w:rsidRPr="003F534F">
        <w:fldChar w:fldCharType="begin"/>
      </w:r>
      <w:r w:rsidRPr="003F534F">
        <w:instrText xml:space="preserve"> ADDIN ZOTERO_ITEM CSL_CITATION {"citationID":"uNd3zt2O","properties":{"formattedCitation":"(King, Rhodes, and Zarnikau 2021)","plainCitation":"(King, Rhodes, and Zarnikau 2021)","noteIndex":0},"citationItems":[{"id":20,"uris":["http://zotero.org/users/4259226/items/PXISSYPA",["http://zotero.org/users/4259226/items/PXISSYPA"]],"itemData":{"id":20,"type":"report","publisher":"University of Texas at Austin","title":"The Timeline and Events of the February 2021 Texas Electric Grid Blackouts","URL":"https://energy.utexas.edu/sites/default/files/UTAustin%20%282021%29%20EventsFebruary2021TexasBlackout%2020210714.pdf","author":[{"family":"King","given":"Carey"},{"family":"Rhodes","given":"Josh"},{"family":"Zarnikau","given":"Jay"}],"accessed":{"date-parts":[["2021",7,24]]},"issued":{"date-parts":[["2021",7]]}}}],"schema":"https://github.com/citation-style-language/schema/raw/master/csl-citation.json"} </w:instrText>
      </w:r>
      <w:r w:rsidRPr="003F534F">
        <w:fldChar w:fldCharType="separate"/>
      </w:r>
      <w:r w:rsidRPr="003F534F">
        <w:t>(King, Rhodes, and Zarnikau 2021)</w:t>
      </w:r>
      <w:r w:rsidRPr="003F534F">
        <w:fldChar w:fldCharType="end"/>
      </w:r>
      <w:r w:rsidRPr="003F534F">
        <w:t>.</w:t>
      </w:r>
      <w:r>
        <w:t xml:space="preserve"> </w:t>
      </w:r>
      <w:r w:rsidRPr="003F534F">
        <w:t xml:space="preserve">Major electrical grid failures have increased by more than 60% in recent years </w:t>
      </w:r>
      <w:r w:rsidRPr="003F534F">
        <w:fldChar w:fldCharType="begin"/>
      </w:r>
      <w:r w:rsidRPr="003F534F">
        <w:instrText xml:space="preserve"> ADDIN ZOTERO_ITEM CSL_CITATION {"citationID":"V6fI4kbh","properties":{"formattedCitation":"(Stone et al. 2021)","plainCitation":"(Stone et al. 2021)","noteIndex":0},"citationItems":[{"id":295,"uris":["http://zotero.org/users/4259226/items/SKKP5G8A",["http://zotero.org/users/4259226/items/SKKP5G8A"]],"itemData":{"id":295,"type":"article-journal","abstract":"The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find simulated compound heat wave and grid failure events of recent intensity and duration to expose between 68 and 100% of the urban population to an elevated risk of heat exhaustion and/or heat stroke.","container-title":"Environmental Science &amp; Technology","DOI":"10.1021/acs.est.1c00024","ISSN":"1520-5851","issue":"10","journalAbbreviation":"Environ Sci Technol","language":"eng","note":"PMID: 33930272","page":"6957-6964","source":"PubMed","title":"Compound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rsidRPr="003F534F">
        <w:fldChar w:fldCharType="separate"/>
      </w:r>
      <w:r w:rsidRPr="003F534F">
        <w:t>(Stone et al. 2021)</w:t>
      </w:r>
      <w:r w:rsidRPr="003F534F">
        <w:fldChar w:fldCharType="end"/>
      </w:r>
      <w:r w:rsidRPr="003F534F">
        <w:t xml:space="preserve">. </w:t>
      </w:r>
      <w:r>
        <w:t xml:space="preserve">The final trend is global aging. In 2019, less than a tenth of the global population was over the age of 65 and by 2050 this number will increase to 1 in 6 </w:t>
      </w:r>
      <w:r>
        <w:fldChar w:fldCharType="begin"/>
      </w:r>
      <w:r>
        <w:instrText xml:space="preserve"> ADDIN ZOTERO_ITEM CSL_CITATION {"citationID":"o0rgDsV4","properties":{"formattedCitation":"(United Nations 2020)","plainCitation":"(United Nations 2020)","noteIndex":0},"citationItems":[{"id":379,"uris":["http://zotero.org/users/4259226/items/ZNXS2RTC",["http://zotero.org/users/4259226/items/ZNXS2RTC"]],"itemData":{"id":379,"type":"report","language":"en","note":"OCLC: 1134853628","publisher":"UN","source":"Open WorldCat","title":"World population ageing, 2019 highlights.","author":[{"literal":"United Nations"}],"issued":{"date-parts":[["2020"]]}}}],"schema":"https://github.com/citation-style-language/schema/raw/master/csl-citation.json"} </w:instrText>
      </w:r>
      <w:r>
        <w:fldChar w:fldCharType="separate"/>
      </w:r>
      <w:r>
        <w:rPr>
          <w:noProof/>
        </w:rPr>
        <w:t>(United Nations 2020)</w:t>
      </w:r>
      <w:r>
        <w:fldChar w:fldCharType="end"/>
      </w:r>
      <w:r>
        <w:t xml:space="preserve">. Age is a well-documented risk factor for temperature-related morbidity and mortality </w:t>
      </w:r>
      <w:r>
        <w:fldChar w:fldCharType="begin"/>
      </w:r>
      <w:r>
        <w:instrText xml:space="preserve"> ADDIN ZOTERO_ITEM CSL_CITATION {"citationID":"msRlFJIX","properties":{"formattedCitation":"(Oudin \\uc0\\u197{}str\\uc0\\u246{}m, Bertil, and Joacim 2011)","plainCitation":"(Oudin Åström, Bertil, and Joacim 2011)","noteIndex":0},"citationItems":[{"id":307,"uris":["http://zotero.org/users/4259226/items/SE7GM85B",["http://zotero.org/users/4259226/items/SE7GM85B"]],"itemData":{"id":307,"type":"article-journal","abstract":"Background\nThe on-going climate change is predicted to yield a growing number of extreme climate events which will increase in both intensity and frequency. Increased longevity is changing society's demographics. It is very likely this will have a direct impact on population health. Many studies have previously shown that the elderly in a society are among the most vulnerable to heat waves.\nObjectives\nWith a rapidly growing number of publications on this subject the objective was to review the recent literature for research regarding the impact of heat waves and elevated temperature on the elderly with regards to mortality and morbidity.\nMethods\nPubMed was searched to identify studies published in English between 1st of January 2008 and 31st of December 2010 using the following key words: heat wave, mortality, morbidity, elderly and temperature. The relationship between high temperature and mortality and/or morbidity had to be studied. Results for the elderly had to be provided.\nResults\nSix studies of temperature–morbidity-relationship were found and 24 studies of temperature–mortality-relationship. Studies consistently reported increases in cardiovascular and respiratory mortality, as appeared also respiratory admissions to do during hot days and heat waves. However, the number of studies on morbidity published was much fewer. Few studies reported social, medical and environmental susceptibility factors.\nConclusions\nFuture research should focus on studying susceptibilities and to non-fatal events which are not as studied as mortality. Studies on the modification of type of urban environment, housing and mortality and morbidity in the elderly population are also needed.","container-title":"Maturitas","DOI":"10.1016/j.maturitas.2011.03.008","ISSN":"0378-5122","issue":"2","journalAbbreviation":"Maturitas","language":"en","page":"99-105","source":"ScienceDirect","title":"Heat wave impact on morbidity and mortality in the elderly population: A review of recent studies","title-short":"Heat wave impact on morbidity and mortality in the elderly population","URL":"https://www.sciencedirect.com/science/article/pii/S0378512211000806","volume":"69","author":[{"family":"Oudin Åström","given":"Daniel"},{"family":"Bertil","given":"Forsberg"},{"family":"Joacim","given":"Rocklöv"}],"accessed":{"date-parts":[["2021",8,1]]},"issued":{"date-parts":[["2011",6,1]]}}}],"schema":"https://github.com/citation-style-language/schema/raw/master/csl-citation.json"} </w:instrText>
      </w:r>
      <w:r>
        <w:fldChar w:fldCharType="separate"/>
      </w:r>
      <w:r w:rsidRPr="00507A21">
        <w:rPr>
          <w:rFonts w:cs="Times New Roman"/>
        </w:rPr>
        <w:t>(Oudin Åström, Bertil, and Joacim 2011)</w:t>
      </w:r>
      <w:r>
        <w:fldChar w:fldCharType="end"/>
      </w:r>
      <w:r>
        <w:t>, so an older population has greater vulnerability.</w:t>
      </w:r>
    </w:p>
    <w:p w14:paraId="7B1843B0" w14:textId="5C456B5E" w:rsidR="00C42310" w:rsidRDefault="00472389" w:rsidP="00C42310">
      <w:pPr>
        <w:pStyle w:val="Heading2List"/>
      </w:pPr>
      <w:bookmarkStart w:id="0" w:name="_Ref150108267"/>
      <w:r>
        <w:t>Municipal planning for extreme temperatures</w:t>
      </w:r>
      <w:bookmarkEnd w:id="0"/>
    </w:p>
    <w:p w14:paraId="583E49DA" w14:textId="4E86FC59" w:rsidR="001618CD" w:rsidRDefault="00CE62A4" w:rsidP="001618CD">
      <w:r>
        <w:t xml:space="preserve">Most </w:t>
      </w:r>
      <w:r w:rsidR="00351C61">
        <w:t>cities</w:t>
      </w:r>
      <w:r>
        <w:t xml:space="preserve"> face substantial variation in intra-city vulnerability to heat</w:t>
      </w:r>
      <w:r>
        <w:rPr>
          <w:rFonts w:ascii="ZWAdobeF" w:hAnsi="ZWAdobeF" w:cs="ZWAdobeF"/>
          <w:sz w:val="2"/>
          <w:szCs w:val="2"/>
        </w:rPr>
        <w:t>0F</w:t>
      </w:r>
      <w:r w:rsidRPr="00667271">
        <w:rPr>
          <w:rStyle w:val="FootnoteReference"/>
        </w:rPr>
        <w:footnoteReference w:id="1"/>
      </w:r>
      <w:r>
        <w:t xml:space="preserve">. </w:t>
      </w:r>
      <w:r w:rsidR="003F534F">
        <w:t>M</w:t>
      </w:r>
      <w:r w:rsidRPr="003F2AA2">
        <w:t xml:space="preserve">any cities </w:t>
      </w:r>
      <w:r>
        <w:t xml:space="preserve">and other jurisdictions </w:t>
      </w:r>
      <w:r w:rsidR="003F534F">
        <w:t>use</w:t>
      </w:r>
      <w:r w:rsidRPr="003F2AA2">
        <w:t xml:space="preserve"> heat vulnerability indices (HVI)</w:t>
      </w:r>
      <w:r w:rsidR="003F534F">
        <w:t xml:space="preserve"> t</w:t>
      </w:r>
      <w:r w:rsidR="003F534F" w:rsidRPr="003F2AA2">
        <w:t>o better allocate resources on emergency response to heat, such as the location of cooling centers</w:t>
      </w:r>
      <w:r w:rsidR="003F534F">
        <w:t xml:space="preserve"> </w:t>
      </w:r>
      <w:r>
        <w:fldChar w:fldCharType="begin"/>
      </w:r>
      <w:r w:rsidR="00351C61">
        <w:instrText xml:space="preserve"> ADDIN ZOTERO_ITEM CSL_CITATION {"citationID":"d2dv7JTa","properties":{"formattedCitation":"(Reid et al. 2009; Rinner et al. 2010; Uejio et al. 2011; Nayak et al. 2018)","plainCitation":"(Reid et al. 2009; Rinner et al. 2010; Uejio et al. 2011; Nayak et al. 2018)","noteIndex":0},"citationItems":[{"id":302,"uris":["http://zotero.org/users/4259226/items/XMJ63HRG",["http://zotero.org/users/4259226/items/XMJ63HRG"]],"itemData":{"id":302,"type":"article-journal","abstract":"BackgroundThe evidence that heat waves can result in both increased deaths and illness is substantial, and concern over this issue is rising because of climate change. Adverse health impacts from heat waves can be avoided, and epidemiologic studies have identified specific population and community characteristics that mark vulnerability to heat waves.ObjectivesWe situated vulnerability to heat in geographic space and identified potential areas for intervention and further research.MethodsWe mapped and analyzed 10 vulnerability factors for heat-related morbidity/mortality in the United States: six demographic characteristics and two household air conditioning variables from the U.S. Census Bureau, vegetation cover from satellite images, and diabetes prevalence from a national survey. We performed a factor analysis of these 10 variables and assigned values of increasing vulnerability for the four resulting factors to each of 39,794 census tracts. We added the four factor scores to obtain a cumulative heat vulnerability index value.ResultsFour factors explained &gt; 75% of the total variance in the original 10 vulnerability variables: a) social/environmental vulnerability (combined education/poverty/race/green space), b) social isolation, c) air conditioning prevalence, and d) proportion elderly/diabetes. We found substantial spatial variability of heat vulnerability nationally, with generally higher vulnerability in the Northeast and Pacific Coast and the lowest in the Southeast. In urban areas, inner cities showed the highest vulnerability to heat.ConclusionsThese methods provide a template for making local and regional heat vulnerability maps. After validation using health outcome data, interventions can be targeted at the most vulnerable populations.","container-title":"Environmental Health Perspectives","DOI":"10.1289/ehp.0900683","issue":"11","journalAbbreviation":"Environmental Health Perspectives","note":"publisher: Environmental Health Perspectives","page":"1730-1736","source":"ehp.niehs.nih.gov (Atypon)","title":"Mapping Community Determinants of Heat Vulnerability","URL":"https://ehp.niehs.nih.gov/doi/full/10.1289/ehp.0900683","volume":"117","author":[{"family":"Reid","given":"Colleen E."},{"family":"O'Neill","given":"Marie"},{"literal":"Gronlund, Carina J."},{"literal":"Brines Shannon J."},{"literal":"Brown Daniel G."},{"literal":"Diez-Roux Ana V."},{"literal":"Schwartz Joel"}],"accessed":{"date-parts":[["2021",6,2]]},"issued":{"date-parts":[["2009",11,1]]}}},{"id":300,"uris":["http://zotero.org/users/4259226/items/NMDWFU2C",["http://zotero.org/users/4259226/items/NMDWFU2C"]],"itemData":{"id":300,"type":"article-journal","abstract":"Extreme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6B7BB9">
        <w:t>(Reid et al. 2009; Rinner et al. 2010; Uejio et al. 2011; Nayak et al. 2018)</w:t>
      </w:r>
      <w:r>
        <w:fldChar w:fldCharType="end"/>
      </w:r>
      <w:r w:rsidRPr="003F2AA2">
        <w:t xml:space="preserve">. </w:t>
      </w:r>
      <w:r>
        <w:t>An</w:t>
      </w:r>
      <w:r w:rsidRPr="003F2AA2">
        <w:t xml:space="preserve"> HVI is typically a weighted sum of variables related to heat vulnerability such as income</w:t>
      </w:r>
      <w:r>
        <w:t xml:space="preserve"> or </w:t>
      </w:r>
      <w:r w:rsidRPr="003F2AA2">
        <w:t>poverty level, age, social isolation, and land cover characteristics calculated at a localized level like census tract.</w:t>
      </w:r>
      <w:r w:rsidR="001618CD">
        <w:t xml:space="preserve"> </w:t>
      </w:r>
    </w:p>
    <w:p w14:paraId="42962EAE" w14:textId="0DC45EB1" w:rsidR="00552E8C" w:rsidRDefault="00CE62A4" w:rsidP="00CE62A4">
      <w:r>
        <w:t>HVI seldom include variables related to the local building stock even though building characteristics can exacerbate or mitigate occupant exposure to</w:t>
      </w:r>
      <w:r w:rsidR="001E25F6">
        <w:t xml:space="preserve"> heat</w:t>
      </w:r>
      <w:r>
        <w:t xml:space="preserve">. </w:t>
      </w:r>
      <w:r w:rsidR="00552E8C">
        <w:t xml:space="preserve">Indoor exposure, particularly at home, accounts for a sizable portion, 38-85%, of  heat-related deaths </w:t>
      </w:r>
      <w:r w:rsidR="00552E8C">
        <w:fldChar w:fldCharType="begin"/>
      </w:r>
      <w:r w:rsidR="00552E8C">
        <w:instrText xml:space="preserve"> ADDIN ZOTERO_ITEM CSL_CITATION {"citationID":"anokU1qx","properties":{"formattedCitation":"(Fouillet et al. 2006; Wheeler et al. 2013; Iverson et al. 2020)","plainCitation":"(Fouillet et al. 2006; Wheeler et al. 2013; Iverson et al. 2020)","noteIndex":0},"citationItems":[{"id":1619,"uris":["http://zotero.org/users/4259226/items/4CXSQFT4"],"itemData":{"id":1619,"type":"article-journal","DOI":"10.1007/s00420-006-0089-4","ISSN":"0340-0131","language":"English","license":"Springer-Verlag 2006","note":"number-of-pages: 16-24\npublisher: Springer Nature B.V.","page":"16-24","source":"ProQuest","title":"Excess mortality related to the August 2003 heat wave in France","URL":"https://www.proquest.com/docview/613553584/abstract/F6719305959C4516PQ/1","author":[{"family":"Fouillet","given":"A."},{"family":"Rey","given":"G."},{"family":"Laurent","given":"F."},{"family":"Pavillon","given":"G."},{"family":"Bellec","given":"S."},{"family":"Guihenneuc-jouyaux","given":"C."},{"family":"Clavel","given":"J."},{"family":"Jougla","given":"E."},{"family":"Hémon","given":"Denis"}],"accessed":{"date-parts":[["2023",10,22]]},"issued":{"date-parts":[["2006",10]]}},"label":"page"},{"id":1616,"uris":["http://zotero.org/users/4259226/items/6UAPII9D"],"itemData":{"id":1616,"type":"article-journal","container-title":"Morbidity and Mortality Weekly Report","ISSN":"0149-2195","issue":"31","journalAbbreviation":"MMWR Morb Mortal Wkly Rep","note":"PMID: 23925170\nPMCID: PMC4604987","page":"617-621","source":"PubMed Central","title":"Heat Illness and Deaths — New York City, 2000–2011","URL":"https://www.ncbi.nlm.nih.gov/pmc/articles/PMC4604987/","volume":"62","author":[{"family":"Wheeler","given":"Katherine"},{"family":"Lane","given":"Kathryn"},{"family":"Walters","given":"Sarah"},{"family":"Matte","given":"Thomas"}],"accessed":{"date-parts":[["2023",10,22]]},"issued":{"date-parts":[["2013",8,9]]}}},{"id":1625,"uris":["http://zotero.org/users/4259226/items/8UJILXWX"],"itemData":{"id":1625,"type":"article-journal","abstract":"Objectives:  Maricopa County, Arizona (2017 population about 4.3 million), is located in the Sonoran Desert. In 2005, the Maricopa County Department of Public Health (MCDPH) established a heat-­associated mortality surveillance system that captures data on circumstances of death for Maricopa County residents and visitors. We analyzed 2006-2016 surveillance system data to understand the characteristics and circumstances of heat-­associated deaths.\nMethods:  We classified heat-­associated deaths based on International Classification of Diseases, Tenth Revision codes (X30, T67.X, and P81.0) and phrases (heat exposure, environ, exhaustion, sun, heat stress, heat stroke, or hyperthermia) in part I or part II of the death certificate. We summarized data on decedents’ demographic characteristics, years lived in Arizona, location of death (indoors vs outdoors), presence and functionality of air conditioning, and whether the decedent had been homeless. We examined significant associations between variables by using the Pearson χ2 tests and logistic regression.\nResults:  During 2006-2016, MCDPH recorded data on 920 heat-a­ ssociated deaths, 912 of which included location of injury. Of 565 (62%) heat-­associated deaths that occurred outdoors, 458 (81%) were among male decedents and 243 (43%) were among decedents aged 20-49. Of 347 (38%) heat-a­ ssociated deaths that occurred indoors, 201 (58%) were among decedents aged ≥65. Non-­Arizona residents were 5 times as likely as Arizona residents to have a heat-­associated death outdoors (P &lt; .001). Of 727 decedents with data on duration of Arizona residency, 438 (60%) had resided in Arizona ≥20 years.\nConclusions:  Ongoing evaluation of interventions that target populations at risk for both outdoor and indoor heat-­associated deaths can further inform refinement of the surveillance system and identify best practices to prevent heat-a­ ssociated deaths.","container-title":"Public Health Reports","DOI":"10.1177/0033354920938006","ISSN":"0033-3549, 1468-2877","issue":"5","journalAbbreviation":"Public Health Rep","language":"en","page":"631-639","source":"DOI.org (Crossref)","title":"Heat-Associated Mortality in a Hot Climate: Maricopa County, Arizona, 2006-2016","title-short":"Heat-Associated Mortality in a Hot Climate","URL":"http://journals.sagepub.com/doi/10.1177/0033354920938006","volume":"135","author":[{"family":"Iverson","given":"Sally Ann"},{"family":"Gettel","given":"Aaron"},{"family":"Bezold","given":"Carla P."},{"family":"Goodin","given":"Kate"},{"family":"McKinney","given":"Benita"},{"family":"Sunenshine","given":"Rebecca"},{"family":"Berisha","given":"Vjollca"}],"accessed":{"date-parts":[["2023",10,22]]},"issued":{"date-parts":[["2020",9]]}}}],"schema":"https://github.com/citation-style-language/schema/raw/master/csl-citation.json"} </w:instrText>
      </w:r>
      <w:r w:rsidR="00552E8C">
        <w:fldChar w:fldCharType="separate"/>
      </w:r>
      <w:r w:rsidR="00552E8C">
        <w:rPr>
          <w:noProof/>
        </w:rPr>
        <w:t>(Fouillet et al. 2006; Wheeler et al. 2013; Iverson et al. 2020)</w:t>
      </w:r>
      <w:r w:rsidR="00552E8C">
        <w:fldChar w:fldCharType="end"/>
      </w:r>
      <w:r w:rsidR="00552E8C">
        <w:t>. An i</w:t>
      </w:r>
      <w:r w:rsidR="00552E8C" w:rsidRPr="00E4245C">
        <w:t xml:space="preserve">ndividual will on average spend around 67% of their time in a residence, out of 87% of their total time indoors </w:t>
      </w:r>
      <w:r w:rsidR="00552E8C">
        <w:fldChar w:fldCharType="begin"/>
      </w:r>
      <w:r w:rsidR="00552E8C">
        <w:instrText xml:space="preserve"> ADDIN ZOTERO_ITEM CSL_CITATION {"citationID":"uaAJ3V6f","properties":{"formattedCitation":"(Klepeis et al. 2001)","plainCitation":"(Klepeis et al. 2001)","noteIndex":0},"citationItems":[{"id":316,"uris":["http://zotero.org/users/4259226/items/Y225SPRN",["http://zotero.org/users/4259226/items/Y225SPRN"]],"itemData":{"id":316,"type":"article-journal","abstract":"Because human activities impact the timing, location, and degree of pollutant exposure, they play a key role in explaining exposure variation. This fact has motivated the collection of activity pattern data for their specific use in exposure assessments. The largest of these recent efforts is the National Human Activity Pattern Survey (NHAPS), a 2-year probability-based telephone survey ( n=9386) of exposure-related human activities in the United States (U.S.) sponsored by the U.S. Environmental Protection Agency (EPA). The primary purpose of NHAPS was to provide comprehensive and current exposure information over broad geographical and temporal scales, particularly for use in probabilistic population exposure models. NHAPS was conducted on a virtually daily basis from late September 1992 through September 1994 by the University of Maryland's Survey Research Center using a computer-assisted telephone interview instrument (CATI) to collect 24-h retrospective diaries and answers to a number of personal and exposure-related questions from each respondent. The resulting diary records contain beginning and ending times for each distinct combination of location and activity occurring on the diary day (i.e., each microenvironment). Between 340 and 1713 respondents of all ages were interviewed in each of the 10 EPA regions across the 48 contiguous states. Interviews were completed in 63% of the households contacted. NHAPS respondents reported spending an average of 87% of their time in enclosed buildings and about 6% of their time in enclosed vehicles. These proportions are fairly constant across the various regions of the U.S. and Canada and for the California population between the late 1980s, when the California Air Resources Board (CARB) sponsored a state-wide activity pattern study, and the mid-1990s, when NHAPS was conducted. However, the number of people exposed to environmental tobacco smoke (ETS) in California seems to have decreased over the same time period, where exposure is determined by the reported time spent with a smoker. In both California and the entire nation, the most time spent exposed to ETS was reported to take place in residential locations.","container-title":"Journal of Exposure Science &amp; Environmental Epidemiology","DOI":"10.1038/sj.jea.7500165","ISSN":"1559-064X","issue":"3","journalAbbreviation":"J Expo Sci Environ Epidemiol","language":"en","license":"2001 Nature Publishing Group","note":"number: 3\npublisher: Nature Publishing Group","page":"231-252","source":"www.nature.com","title":"The National Human Activity Pattern Survey (NHAPS): a resource for assessing exposure to environmental pollutants","title-short":"The National Human Activity Pattern Survey (NHAPS)","URL":"https://www.nature.com/articles/7500165","volume":"11","author":[{"family":"Klepeis","given":"Neil E."},{"family":"Nelson","given":"William C."},{"family":"Ott","given":"Wayne R."},{"family":"Robinson","given":"John P."},{"family":"Tsang","given":"Andy M."},{"family":"Switzer","given":"Paul"},{"family":"Behar","given":"Joseph V."},{"family":"Hern","given":"Stephen C."},{"family":"Engelmann","given":"William H."}],"accessed":{"date-parts":[["2021",6,4]]},"issued":{"date-parts":[["2001",7]]}}}],"schema":"https://github.com/citation-style-language/schema/raw/master/csl-citation.json"} </w:instrText>
      </w:r>
      <w:r w:rsidR="00552E8C">
        <w:fldChar w:fldCharType="separate"/>
      </w:r>
      <w:r w:rsidR="00552E8C">
        <w:rPr>
          <w:noProof/>
        </w:rPr>
        <w:t>(Klepeis et al. 2001)</w:t>
      </w:r>
      <w:r w:rsidR="00552E8C">
        <w:fldChar w:fldCharType="end"/>
      </w:r>
      <w:r w:rsidR="00552E8C" w:rsidRPr="00E4245C">
        <w:t>. This proportion is even higher for vulnerable populations such as infants and the elderly, who on average spend 89% and 78% of their time in a residence respectively</w:t>
      </w:r>
      <w:r w:rsidR="00552E8C">
        <w:t xml:space="preserve"> </w:t>
      </w:r>
      <w:r w:rsidR="00552E8C">
        <w:fldChar w:fldCharType="begin"/>
      </w:r>
      <w:r w:rsidR="00552E8C">
        <w:instrText xml:space="preserve"> ADDIN ZOTERO_ITEM CSL_CITATION {"citationID":"HuiewtgF","properties":{"formattedCitation":"(Matz et al. 2014)","plainCitation":"(Matz et al. 2014)","noteIndex":0},"citationItems":[{"id":478,"uris":["http://zotero.org/users/4259226/items/PXFQR9ZV",["http://zotero.org/users/4259226/items/PXFQR9ZV"]],"itemData":{"id":478,"type":"article-journal","abstract":"Estimation of population exposure is a main component of human health risk assessment for environmental contaminants. Population-level exposure assessments require time-activity pattern distributions in relation to microenvironments where people spend their time. Societal trends may have influenced time-activity patterns since previous Canadian data were collected 15 years ago. The Canadian Human Activity Pattern Survey 2 (CHAPS 2) was a national survey conducted in 2010–2011 to collect time-activity information from Canadians of all ages. Five urban and two rural locations were sampled using telephone surveys. Infants and children, key groups in risk assessment activities, were over-sampled. Survey participants  (n = 5,011) provided time-activity information in 24-hour recall diaries and responded to supplemental questionnaires concerning potential exposures to specific pollutants,  dwelling characteristics, and socio-economic factors. Results indicated that a majority of the time was spent indoors (88.9%), most of which was indoors at home, with limited time spent outdoors (5.8%) or in a vehicle (5.3%). Season, age, gender and rurality were significant predictors of time activity patterns. Compared to earlier data, adults reported spending more time indoors at home and adolescents reported spending less time outdoors, which could be indicative of broader societal trends. These findings have potentially important implications for assessment of exposure and risk. The CHAPS 2 data also provide much larger sample sizes to allow for improved precision and are more representative of infants, children and rural residents.","container-title":"International Journal of Environmental Research and Public Health","DOI":"10.3390/ijerph110202108","issue":"2","language":"en","license":"http://creativecommons.org/licenses/by/3.0/","note":"number: 2\npublisher: Multidisciplinary Digital Publishing Institute","page":"2108-2124","source":"www.mdpi.com","title":"Effects of Age, Season, Gender and Urban-Rural Status on Time-Activity: Canadian Human Activity Pattern Survey 2 (CHAPS 2)","title-short":"Effects of Age, Season, Gender and Urban-Rural Status on Time-Activity","URL":"https://www.mdpi.com/1660-4601/11/2/2108","volume":"11","author":[{"family":"Matz","given":"Carlyn J."},{"family":"Stieb","given":"David M."},{"family":"Davis","given":"Karelyn"},{"family":"Egyed","given":"Marika"},{"family":"Rose","given":"Andreas"},{"family":"Chou","given":"Benedito"},{"family":"Brion","given":"Orly"}],"accessed":{"date-parts":[["2021",6,8]]},"issued":{"date-parts":[["2014",2]]}}}],"schema":"https://github.com/citation-style-language/schema/raw/master/csl-citation.json"} </w:instrText>
      </w:r>
      <w:r w:rsidR="00552E8C">
        <w:fldChar w:fldCharType="separate"/>
      </w:r>
      <w:r w:rsidR="00552E8C">
        <w:rPr>
          <w:noProof/>
        </w:rPr>
        <w:t>(Matz et al. 2014)</w:t>
      </w:r>
      <w:r w:rsidR="00552E8C">
        <w:fldChar w:fldCharType="end"/>
      </w:r>
      <w:r w:rsidR="00552E8C" w:rsidRPr="00E4245C">
        <w:t>.</w:t>
      </w:r>
    </w:p>
    <w:p w14:paraId="0BAFF178" w14:textId="36DA06B1" w:rsidR="00CE62A4" w:rsidRDefault="00CE62A4" w:rsidP="00CE62A4">
      <w:r>
        <w:t xml:space="preserve">A review by Samuelson et al. </w:t>
      </w:r>
      <w:r>
        <w:fldChar w:fldCharType="begin"/>
      </w:r>
      <w:r w:rsidR="00351C61">
        <w:instrText xml:space="preserve"> ADDIN ZOTERO_ITEM CSL_CITATION {"citationID":"f1yum3RF","properties":{"formattedCitation":"(Samuelson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found that out of 20 HVI’s from different cities and regions, eight included the year of construction, nine included central air-conditioning (AC) ownership, three included floor of residence, and one included rooftop albedo and thermal mass. Many building characteristics that could potentially impact indoor heat exposure such as orientation, envelope properties, and typology are not included. </w:t>
      </w:r>
      <w:r w:rsidR="00CB3FAE">
        <w:t>City</w:t>
      </w:r>
      <w:r w:rsidR="00BB2970">
        <w:t>-level</w:t>
      </w:r>
      <w:r w:rsidR="00CB3FAE">
        <w:t xml:space="preserve"> tax assessor data typically records y</w:t>
      </w:r>
      <w:r>
        <w:t>ear of construction and the presence of central AC at the parcel level</w:t>
      </w:r>
      <w:r w:rsidR="00F51F27">
        <w:t xml:space="preserve">, so these variables are </w:t>
      </w:r>
      <w:r>
        <w:t>attractive proxies for the contribution of the built environment. However, there is no obvious link between these variables and heat vulnerability.</w:t>
      </w:r>
    </w:p>
    <w:p w14:paraId="77CF3672" w14:textId="7E32BB7B" w:rsidR="00CE62A4" w:rsidRDefault="00CE62A4" w:rsidP="00CE62A4">
      <w:r>
        <w:t xml:space="preserve">HVI for New York State </w:t>
      </w:r>
      <w:r>
        <w:fldChar w:fldCharType="begin"/>
      </w:r>
      <w:r w:rsidR="00351C61">
        <w:instrText xml:space="preserve"> ADDIN ZOTERO_ITEM CSL_CITATION {"citationID":"npFUS9ND","properties":{"formattedCitation":"(Nayak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D30EFB">
        <w:t>(Nayak et al. 2018)</w:t>
      </w:r>
      <w:r>
        <w:fldChar w:fldCharType="end"/>
      </w:r>
      <w:r>
        <w:t xml:space="preserve"> and the cities of Toronto </w:t>
      </w:r>
      <w:r>
        <w:fldChar w:fldCharType="begin"/>
      </w:r>
      <w:r w:rsidR="00351C61">
        <w:instrText xml:space="preserve"> ADDIN ZOTERO_ITEM CSL_CITATION {"citationID":"T3qP0U68","properties":{"formattedCitation":"(Rinner et al. 2010)","plainCitation":"(Rinner et al. 2010)","noteIndex":0},"citationItems":[{"id":300,"uris":["http://zotero.org/users/4259226/items/NMDWFU2C",["http://zotero.org/users/4259226/items/NMDWFU2C"]],"itemData":{"id":300,"type":"article-journal","abstract":"Extreme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schema":"https://github.com/citation-style-language/schema/raw/master/csl-citation.json"} </w:instrText>
      </w:r>
      <w:r>
        <w:fldChar w:fldCharType="separate"/>
      </w:r>
      <w:r w:rsidRPr="00A840DB">
        <w:t>(Rinner et al. 2010)</w:t>
      </w:r>
      <w:r>
        <w:fldChar w:fldCharType="end"/>
      </w:r>
      <w:r>
        <w:t xml:space="preserve"> and Philadelphia </w:t>
      </w:r>
      <w:r>
        <w:fldChar w:fldCharType="begin"/>
      </w:r>
      <w:r w:rsidR="00351C61">
        <w:instrText xml:space="preserve"> ADDIN ZOTERO_ITEM CSL_CITATION {"citationID":"xVs7dtrq","properties":{"formattedCitation":"(Uejio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6B7BB9">
        <w:t>(Uejio et al. 2011)</w:t>
      </w:r>
      <w:r>
        <w:fldChar w:fldCharType="end"/>
      </w:r>
      <w:r>
        <w:t xml:space="preserve"> all considered older homes to have a higher risk for heat exposure due to a presumption of lack of insulation, lower likelihood of AC, and correlation with other risk factors like poverty. However, several studies monitoring temperatures in European residences found that older buildings had significantly cooler temperatures than newer ones</w:t>
      </w:r>
      <w:r w:rsidR="000E7674">
        <w:t xml:space="preserve"> </w:t>
      </w:r>
      <w:r w:rsidR="000E7674" w:rsidRPr="003C7046">
        <w:fldChar w:fldCharType="begin"/>
      </w:r>
      <w:r w:rsidR="00351C61">
        <w:instrText xml:space="preserve"> ADDIN ZOTERO_ITEM CSL_CITATION {"citationID":"tB5RJu74","properties":{"formattedCitation":"(Beizaee, Lomas, and Firth 2013; Maivel, Kurnitski, and Kalamees 2015; Pathan et al. 2017)","plainCitation":"(Beizaee, Lomas, and Firth 2013; Maivel, Kurnitski, and Kalamees 2015; Pathan et al. 2017)","noteIndex":0},"citationItems":[{"id":189,"uris":["http://zotero.org/users/4259226/items/ZG3B3AT5",["http://zotero.org/users/4259226/items/ZG3B3AT5"]],"itemData":{"id":189,"type":"article-journal","abstract":"This paper presents one of the first national scale studies of summertime temperatures in English dwellings. Living room and bedroom temperatures were recorded in 207 homes across the England during the cool summer of 2007. Data was also collected by face-to-face household interviews. Fourteen homes (7%) were observed to be heated for part or all of the analysis period (July to August). Based on the BSEN15251 adaptive thermal comfort model, the 193 free-running dwellings would, in general, to be considered as uncomfortably cool. Over 72% of living rooms and bedrooms had more than 5% of hours below the BSEN15251 Cat II lower threshold, with over 50% having more than 5% of hours below the Cat III threshold. Detached homes and those built before 1919 were significantly cooler (p &lt; 0.05) than those of other type and age. Static criteria revealed that, despite the cool summer, 21% of the bedrooms had more than 5% of night time hours over 26 °C; which is a recommended upper limit for bedrooms. The bedrooms of modern homes, i.e. those built after 1990 or with cavity walls, were significantly warmer (p &lt; 0.05). The bedrooms in homes built prior to 1919 were significantly cooler (p &lt; 0.05). The living rooms of flats were significantly warmer than the living rooms in the other dwelling types (p &lt; 0.05). The incidence of warm bedrooms in modern homes, even during a cool summer, is of concern, especially as there is a strong trend towards even better insulation standards in new homes and the energy-efficient retrofitting of existing homes.","container-title":"Building and Environment","DOI":"10.1016/j.buildenv.2013.03.011","ISSN":"0360-1323","journalAbbreviation":"Building and Environment","language":"en","page":"1-17","source":"ScienceDirect","title":"National survey of summertime temperatures and overheating risk in English homes","URL":"https://www.sciencedirect.com/science/article/pii/S0360132313000917","volume":"65","author":[{"family":"Beizaee","given":"A."},{"family":"Lomas","given":"K. J."},{"family":"Firth","given":"S. K."}],"accessed":{"date-parts":[["2021",6,1]]},"issued":{"date-parts":[["2013",7,1]]}}},{"id":188,"uris":["http://zotero.org/users/4259226/items/FIB8LVIP",["http://zotero.org/users/4259226/items/FIB8LVIP"]],"itemData":{"id":188,"type":"article-journal","abstract":"In Nordic countries overheating problems have not constituted a recognized problem to date. However, modern buildings, typically with larger windows, have changed this situation. New regulations based on Energy Performance of Buildings Directive (EPBD) directive require that overheating problems are controlled and recommend the use of passive cooling measures. EPBD sets that temperature simulations or other verifications are to be used at the design stage. If necessary, passive measures may be supported with active cooling systems to meet the requirements for summer thermal comfort. During this study field measurements were conducted in more than 100 Estonian apartments by recording indoor temperatures from a 3-month period; an overheating assessment and the impact of ventilation, orientation and window size on recorded overheating were studied. Our results show that overheating occurs in the modern buildings where the average room temperature was continuously about 1K higher than in the old buildings. According to the criterion of weighted excess degree hours over+27°C used in Estonian regulation to prevent overheating, no overheating occurred in old apartment buildings, but the criterion was exceeded in 13.7% of the apartments in new apartment buildings. The results showed that, without adequate passive temperature damping measures used, modern buildings were regularly overheated.","container-title":"Architectural Science Review","DOI":"10.1080/00038628.2014.970610","ISSN":"0003-8628","issue":"1","note":"publisher: Taylor &amp; Francis\n_eprint: https://doi.org/10.1080/00038628.2014.970610","page":"1-10","source":"Taylor and Francis+NEJM","title":"Field survey of overheating problems in Estonian apartment buildings","URL":"https://doi.org/10.1080/00038628.2014.970610","volume":"58","author":[{"family":"Maivel","given":"Mikk"},{"family":"Kurnitski","given":"Jarek"},{"family":"Kalamees","given":"Targo"}],"accessed":{"date-parts":[["2021",6,1]]},"issued":{"date-parts":[["2015",1,2]]}}},{"id":186,"uris":["http://zotero.org/users/4259226/items/EXLX4JKJ",["http://zotero.org/users/4259226/items/EXLX4JKJ"]],"itemData":{"id":186,"type":"article-journal","abstract":"In light of current climate change projections in recent years, there has been an increasing interest in the assessment of indoor overheating in domestic environments in previously heating-dominated climates. This paper presents a monitoring study of overheating in 122 London dwellings during the summers of 2009 and 2010. Dry Bulb Temperature and Relative Humidity in the main living and sleeping area were monitored at 10min intervals. The ASHRAE Standard 55 adaptive thermal comfort method was applied, which uses outdoor temperature to derive the optimum indoor comfort temperature. It was found that 29% of all living rooms and 31% of all bedrooms monitored during 2009 had more than 1% of summertime occupied hours outside the comfort zone recommended by the standard to achieve 90% acceptability. In 2010, 37% of monitored living rooms and 49% of monitored bedrooms had more than 1% of summertime occupied hours outside this comfort zone. The findings of this study indicate that London dwellings face a significant risk of overheating under the current climate. Occupant exposure to excess indoor temperatures is likely to be exacerbated in the future if climate change adaptation strategies are not incorporated in Building Regulations, building design and retrofit.","container-title":"Energy and Buildings","DOI":"10.1016/j.enbuild.2017.02.049","ISSN":"0378-7788","journalAbbreviation":"Energy and Buildings","language":"en","page":"361-378","source":"ScienceDirect","title":"Monitoring summer indoor overheating in the London housing stock","URL":"https://www.sciencedirect.com/science/article/pii/S0378778816311707","volume":"141","author":[{"family":"Pathan","given":"A."},{"family":"Mavrogianni","given":"A."},{"family":"Summerfield","given":"A."},{"family":"Oreszczyn","given":"T."},{"family":"Davies","given":"M."}],"accessed":{"date-parts":[["2021",6,3]]},"issued":{"date-parts":[["2017",4,15]]}}}],"schema":"https://github.com/citation-style-language/schema/raw/master/csl-citation.json"} </w:instrText>
      </w:r>
      <w:r w:rsidR="000E7674" w:rsidRPr="003C7046">
        <w:fldChar w:fldCharType="separate"/>
      </w:r>
      <w:r w:rsidR="000E7674" w:rsidRPr="003C7046">
        <w:t>(Beizaee, Lomas, and Firth 2013; Maivel, Kurnitski, and Kalamees 2015; Pathan et al. 2017)</w:t>
      </w:r>
      <w:r w:rsidR="000E7674" w:rsidRPr="003C7046">
        <w:fldChar w:fldCharType="end"/>
      </w:r>
      <w:r>
        <w:t xml:space="preserve">, perhaps because of the thermal mass properties of stone construction typical of older European </w:t>
      </w:r>
      <w:r w:rsidRPr="003C7046">
        <w:t>homes</w:t>
      </w:r>
      <w:r>
        <w:t>.</w:t>
      </w:r>
      <w:r w:rsidR="00552E8C">
        <w:t xml:space="preserve"> </w:t>
      </w:r>
      <w:r>
        <w:t xml:space="preserve">Temperature monitoring in American residential buildings did not find a strong correlation between construction age and measured indoor temperature during  times the home was actively heated or </w:t>
      </w:r>
      <w:r w:rsidRPr="00EA54D4">
        <w:t xml:space="preserve">cooled </w:t>
      </w:r>
      <w:r w:rsidRPr="00EA54D4">
        <w:fldChar w:fldCharType="begin"/>
      </w:r>
      <w:r w:rsidR="00351C61">
        <w:instrText xml:space="preserve"> ADDIN ZOTERO_ITEM CSL_CITATION {"citationID":"rGztE00j","properties":{"formattedCitation":"(Booten et al. 2017)","plainCitation":"(Booten et al. 2017)","noteIndex":0},"citationItems":[{"id":185,"uris":["http://zotero.org/users/4259226/items/ATBKEKRU",["http://zotero.org/users/4259226/items/ATBKEKRU"]],"itemData":{"id":185,"type":"report","language":"en","note":"DOI: 10.2172/1351449","number":"NREL/TP--5500-68019, 1351449","page":"NREL/TP--5500-68019, 1351449","source":"DOI.org (Crossref)","title":"Residential Indoor Temperature Study","URL":"http://www.osti.gov/servlets/purl/1351449/","author":[{"family":"Booten","given":"Chuck"},{"family":"Robertson","given":"Joseph"},{"family":"Christensen","given":"Dane"},{"family":"Heaney","given":"Mike"},{"family":"Brown","given":"David"},{"family":"Norton","given":"Paul"},{"family":"Smith","given":"Chris"}],"accessed":{"date-parts":[["2021",6,3]]},"issued":{"date-parts":[["2017",4,7]]}}}],"schema":"https://github.com/citation-style-language/schema/raw/master/csl-citation.json"} </w:instrText>
      </w:r>
      <w:r w:rsidRPr="00EA54D4">
        <w:fldChar w:fldCharType="separate"/>
      </w:r>
      <w:r w:rsidRPr="00EA54D4">
        <w:t>(Booten et al. 2017)</w:t>
      </w:r>
      <w:r w:rsidRPr="00EA54D4">
        <w:fldChar w:fldCharType="end"/>
      </w:r>
      <w:r>
        <w:t>.</w:t>
      </w:r>
      <w:r w:rsidR="006B5092">
        <w:t xml:space="preserve"> A simulation-based comparison of housing archetypes in Boston found </w:t>
      </w:r>
      <w:r w:rsidR="006B5092">
        <w:lastRenderedPageBreak/>
        <w:t xml:space="preserve">older typologies had lower maximum indoor temperatures </w:t>
      </w:r>
      <w:r w:rsidR="006B5092">
        <w:fldChar w:fldCharType="begin"/>
      </w:r>
      <w:r w:rsidR="006B5092">
        <w:instrText xml:space="preserve"> ADDIN ZOTERO_ITEM CSL_CITATION {"citationID":"7wtZEPa5","properties":{"formattedCitation":"(Samuelson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rsidR="006B5092">
        <w:fldChar w:fldCharType="separate"/>
      </w:r>
      <w:r w:rsidR="006B5092">
        <w:rPr>
          <w:noProof/>
        </w:rPr>
        <w:t>(Samuelson et al. 2020)</w:t>
      </w:r>
      <w:r w:rsidR="006B5092">
        <w:fldChar w:fldCharType="end"/>
      </w:r>
      <w:r w:rsidR="006B5092">
        <w:t>.</w:t>
      </w:r>
      <w:r>
        <w:t xml:space="preserve"> </w:t>
      </w:r>
      <w:r w:rsidR="006B5092">
        <w:t>These studies demonstrate that construction age alone cannot capture indoor heat exposure.</w:t>
      </w:r>
    </w:p>
    <w:p w14:paraId="6368B9E9" w14:textId="7BA4966C" w:rsidR="00CE62A4" w:rsidRDefault="00CE62A4" w:rsidP="00CE62A4">
      <w:r>
        <w:t xml:space="preserve">HVI also typically consider AC prevalence, particularly that of central AC systems. In homes where AC is present, the cost of operating and maintaining AC systems may prohibit their use in a way that sufficiently protects residents from the adverse effects of heat. In recent investigations of indoor heat deaths, the Maricopa County Department of Public Health (MCDPH) found that in 91% of cases, AC was present </w:t>
      </w:r>
      <w:r>
        <w:fldChar w:fldCharType="begin"/>
      </w:r>
      <w:r w:rsidR="00351C61">
        <w:instrText xml:space="preserve"> ADDIN ZOTERO_ITEM CSL_CITATION {"citationID":"ktMCCTdE","properties":{"formattedCitation":"(MCDPH 2019)","plainCitation":"(MCDPH 2019)","noteIndex":0},"citationItems":[{"id":375,"uris":["http://zotero.org/users/4259226/items/UPV7AAZH",["http://zotero.org/users/4259226/items/UPV7AAZH"]],"itemData":{"id":375,"type":"report","event-place":"Maricopa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5465AA">
        <w:t>(MCDPH 2019)</w:t>
      </w:r>
      <w:r>
        <w:fldChar w:fldCharType="end"/>
      </w:r>
      <w:r>
        <w:t>. In those cases, the AC was either broken (87%), disconnected from electricity (5%), or functioning but not turned on (8%). Clearly, the sheer presence of AC alone is not a protective factor against overheating.</w:t>
      </w:r>
    </w:p>
    <w:p w14:paraId="217F4CD9" w14:textId="5FB83B33" w:rsidR="00C84B4D" w:rsidRPr="006C6FB9" w:rsidRDefault="00CE62A4" w:rsidP="00EB5318">
      <w:r>
        <w:t xml:space="preserve">The primary barrier to including additional building level characteristics is data availability at sufficient scale. However, new methods of data acquisition are rapidly becoming available such as smart thermostat data </w:t>
      </w:r>
      <w:r>
        <w:fldChar w:fldCharType="begin"/>
      </w:r>
      <w:r w:rsidR="00351C61">
        <w:instrText xml:space="preserve"> ADDIN ZOTERO_ITEM CSL_CITATION {"citationID":"l7sPyI96","properties":{"formattedCitation":"(Ecobee 2021)","plainCitation":"(Ecobee 2021)","noteIndex":0},"citationItems":[{"id":473,"uris":["http://zotero.org/users/4259226/items/EKSC2JA3",["http://zotero.org/users/4259226/items/EKSC2JA3"]],"itemData":{"id":473,"type":"webpage","abstract":"Learn how to share the anonymized data from your ecobee smart thermostat to further scientific research for the planet.","language":"en","title":"Donate your Data Smart Wi-Fi Thermostats by ecobee","URL":"https://www.ecobee.com/donate-your-data/","author":[{"family":"Ecobee","given":""}],"accessed":{"date-parts":[["2021",6,11]]},"issued":{"date-parts":[["2021"]]}}}],"schema":"https://github.com/citation-style-language/schema/raw/master/csl-citation.json"} </w:instrText>
      </w:r>
      <w:r>
        <w:fldChar w:fldCharType="separate"/>
      </w:r>
      <w:r w:rsidRPr="00B81E57">
        <w:t>(Ecobee 2021)</w:t>
      </w:r>
      <w:r>
        <w:fldChar w:fldCharType="end"/>
      </w:r>
      <w:r>
        <w:t xml:space="preserve"> and satellite and street-level imagery </w:t>
      </w:r>
      <w:r>
        <w:fldChar w:fldCharType="begin"/>
      </w:r>
      <w:r w:rsidR="00351C61">
        <w:instrText xml:space="preserve"> ADDIN ZOTERO_ITEM CSL_CITATION {"citationID":"ckBSn9OH","properties":{"formattedCitation":"(New et al. 2020)","plainCitation":"(New et al. 2020)","noteIndex":0},"citationItems":[{"id":40,"uris":["http://zotero.org/users/4259226/items/NYD4FPJM",["http://zotero.org/users/4259226/items/NYD4FPJM"]],"itemData":{"id":40,"type":"paper-conference","abstract":"In an attempt to attain building-speciﬁc characteristics for urban-scale building energy models, county-speciﬁc tax assessors’ data is often an initial data source. This data source can contain valuable information such as year built, area, height, HVAC type, and roof/wall descriptions. We will show examples of 2,000 ﬁelds from Hamilton County in Tennessee with examples of many ﬁelds which are not relevant to urban-scale building energy modeling, are incorrect compared to other data sources, and highlight some lessons learned working with such a data source.","event-place":"2020","event-title":"2020 Building Performance Modeling Conference and SimBuild","language":"en","page":"7","publisher":"ASHRAE and IBPSA-USA","publisher-place":"2020","source":"Zotero","title":"Urban-scale Energy Modeling: Scaling Beyond Tax Assessor Data","author":[{"family":"New","given":"Joshua"},{"family":"Adams","given":"Mark"},{"family":"Garrison","given":"Eric"},{"family":"Bass","given":"Brett"},{"family":"Guo","given":"Tianjing"}],"issued":{"date-parts":[["2020",8,12]]}}}],"schema":"https://github.com/citation-style-language/schema/raw/master/csl-citation.json"} </w:instrText>
      </w:r>
      <w:r>
        <w:fldChar w:fldCharType="separate"/>
      </w:r>
      <w:r w:rsidRPr="00DD3929">
        <w:t>(New et al. 2020)</w:t>
      </w:r>
      <w:r>
        <w:fldChar w:fldCharType="end"/>
      </w:r>
      <w:r>
        <w:t xml:space="preserve">. Understanding the role of the building and other household characteristics will enable public agencies to target emergency planning efforts and resources in the short-term like locations of cooling and warming centers and the long-term such as social programs and building weatherization.  </w:t>
      </w:r>
    </w:p>
    <w:p w14:paraId="37117D9C" w14:textId="08668807" w:rsidR="00C42310" w:rsidRDefault="00472389" w:rsidP="00C42310">
      <w:pPr>
        <w:pStyle w:val="Heading2List"/>
      </w:pPr>
      <w:r>
        <w:t>Research gaps and objectives</w:t>
      </w:r>
    </w:p>
    <w:p w14:paraId="6598CAC3" w14:textId="1E58285F" w:rsidR="002A7CA9" w:rsidRDefault="002A7CA9" w:rsidP="002A7CA9">
      <w:r>
        <w:t xml:space="preserve">Several research gaps relate to the role of building characteristics on temperature-related morbidity and mortality. </w:t>
      </w:r>
    </w:p>
    <w:p w14:paraId="1B25D0DA" w14:textId="7C459C08" w:rsidR="000A4CF2" w:rsidRDefault="00652E43" w:rsidP="002A7CA9">
      <w:r>
        <w:t xml:space="preserve">First, is the lack of empirical evidence to link building characteristics to temperature-related morbidity and mortality. </w:t>
      </w:r>
      <w:r w:rsidR="000A4CF2">
        <w:t xml:space="preserve">Studies assessing the sensitivity of overheating risk to building characteristics often use building performance simulations. These studies use simulation outputs such as maximum daily room temperature </w:t>
      </w:r>
      <w:r w:rsidR="000A4CF2">
        <w:fldChar w:fldCharType="begin"/>
      </w:r>
      <w:r w:rsidR="00351C61">
        <w:instrText xml:space="preserve"> ADDIN ZOTERO_ITEM CSL_CITATION {"citationID":"0J3PL7Pz","properties":{"formattedCitation":"(Samuelson, Baniassadi, and Gonzalez 2020; Mavrogianni et al. 2012)","plainCitation":"(Samuelson, Baniassadi, and Gonzalez 2020; Mavrogianni et al. 2012)","noteIndex":0},"citationItems":[{"id":288,"uris":["http://zotero.org/users/4259226/items/VFNGC2VH",["http://zotero.org/users/4259226/items/VFNGC2VH"]],"itemData":{"id":288,"type":"article-journal","abstract":"Heat is a growing concern in cities around the word, especially in the face of climate change. Because buildings are an important component of the built environment vis-à-vis both energy use and heat resiliency in cities, we explored their climate mitigation and adaptation potential. Specifically, we investigated how design decisions interact with regard to three heat-related factors—namely, energy use/CO2 emissions, passive survivability, and heat rejection to the urban climate. We selected an archetypical building as our test case, created various design permutations, and used whole-building simulations to analyze their performance. Our simulations show that permutations of the building with a smaller carbon footprint also emit less heat to ambient air and had a better passive survivability. However, we also noted potential trade-offs (e.g., where ventilation is inadequate, increasing insulation levels for energy efficiency may hurt passive survivability). Based on our findings, we argue that, at least at a policy level, it is imperative to take advantage of the synergies, and their collective benefits. Moreover, building regulations or incentive programs should look beyond energy as the sole performance metric of interest and consider passive survivability as well as thermal interactions with urban climate.","container-title":"Energy","DOI":"10.1016/j.energy.2020.117886","ISSN":"0360-5442","journalAbbreviation":"Energy","language":"en","page":"117886","source":"ScienceDirect","title":"Beyond energy savings: Investigating the co-benefits of heat resilient architecture","title-short":"Beyond energy savings","URL":"https://www.sciencedirect.com/science/article/pii/S0360544220309932","volume":"204","author":[{"family":"Samuelson","given":"Holly"},{"family":"Baniassadi","given":"Amir"},{"family":"Gonzalez","given":"Pablo Izaga"}],"accessed":{"date-parts":[["2021",6,14]]},"issued":{"date-parts":[["2020",8,1]]}}},{"id":482,"uris":["http://zotero.org/users/4259226/items/UL4RJQ75",["http://zotero.org/users/4259226/items/UL4RJQ75"]],"itemData":{"id":482,"type":"article-journal","abstract":"Cities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rsidR="000A4CF2">
        <w:fldChar w:fldCharType="separate"/>
      </w:r>
      <w:r w:rsidR="000A4CF2" w:rsidRPr="00B25486">
        <w:t>(Samuelson, Baniassadi, and Gonzalez 2020; Mavrogianni et al. 2012)</w:t>
      </w:r>
      <w:r w:rsidR="000A4CF2">
        <w:fldChar w:fldCharType="end"/>
      </w:r>
      <w:r w:rsidR="000A4CF2">
        <w:t xml:space="preserve">, percent of time in different U.S. Occupational Safety and Health Administration (OSHA) heat index (HI) risk categories </w:t>
      </w:r>
      <w:r w:rsidR="000A4CF2">
        <w:fldChar w:fldCharType="begin"/>
      </w:r>
      <w:r w:rsidR="00351C61">
        <w:instrText xml:space="preserve"> ADDIN ZOTERO_ITEM CSL_CITATION {"citationID":"BfaoQelY","properties":{"formattedCitation":"(Sun, Specian, and Hong 2020)","plainCitation":"(Sun, Specian, and Hong 2020)","noteIndex":0},"citationItems":[{"id":294,"uris":["http://zotero.org/users/4259226/items/QLRE9X68",["http://zotero.org/users/4259226/items/QLRE9X68"]],"itemData":{"id":294,"type":"article-journal","container-title":"Building and Environment","DOI":"10.1016/j.buildenv.2020.106842","ISSN":"03601323","journalAbbreviation":"Building and Environment","page":"106842","title":"Nexus of thermal resilience and energy efficiency in buildings: A case study of a nursing home","title-short":"Nexus of thermal resilience and energy efficiency in buildings","volume":"177","author":[{"family":"Sun","given":"Kaiyu"},{"family":"Specian","given":"Michael"},{"family":"Hong","given":"Tianzhen"}],"issued":{"date-parts":[["2020"]]}}}],"schema":"https://github.com/citation-style-language/schema/raw/master/csl-citation.json"} </w:instrText>
      </w:r>
      <w:r w:rsidR="000A4CF2">
        <w:fldChar w:fldCharType="separate"/>
      </w:r>
      <w:r w:rsidR="000A4CF2" w:rsidRPr="004D7661">
        <w:t>(Sun, Specian, and Hong 2020)</w:t>
      </w:r>
      <w:r w:rsidR="000A4CF2">
        <w:fldChar w:fldCharType="end"/>
      </w:r>
      <w:r w:rsidR="000A4CF2">
        <w:t xml:space="preserve">, or the degree-hours the wet-bulb globe temperature (WBGT) index exceeded a threshold value </w:t>
      </w:r>
      <w:r w:rsidR="000A4CF2">
        <w:fldChar w:fldCharType="begin"/>
      </w:r>
      <w:r w:rsidR="00351C61">
        <w:instrText xml:space="preserve"> ADDIN ZOTERO_ITEM CSL_CITATION {"citationID":"r7utFYmr","properties":{"formattedCitation":"(Baniassadi, Heusinger, and Sailor 2018)","plainCitation":"(Baniassadi, Heusinger, and Sailor 2018)","noteIndex":0},"citationItems":[{"id":535,"uris":["http://zotero.org/users/4259226/items/Y8E68G47",["http://zotero.org/users/4259226/items/Y8E68G47"]],"itemData":{"id":535,"type":"article-journal","abstract":"Environmental issues, costs, and limited energy supply, among other concerns have been driving the efforts toward more energy efficient buildings over the last four decades. Hence, energy efficiency is not only well-established within the building design and construction industries, but is also an active field of research. Many countries have state-mandated building energy codes that are becoming more stringent with time. Therefore, the building stock in many regions is becoming more efficient. With the observed increase in frequency and intensity of hot weather events in urban areas around the world and research that suggests a more extreme future, the resiliency of the built environment to heat has become a major concern for planners and policymakers. Therefore, it is important to understand how the evolution of energy codes affects the resiliency of buildings to heat. In this study, we used whole-building energy simulations to investigate the performance of high-rise residential apartment buildings under a three-day power outage scenario coinciding with a three-day heat wave. We modeled buildings compliant with consecutive versions of two building energy codes and standards commonly used in the U.S. to investigate the effect of building code on resiliency in all distinct climate zones within the country. The results suggest that in most climates, indoor conditions exceed critical thresholds during the modeled scenario. Moreover, we observed a synergy between energy efficiency and resiliency to heat in warmer climates. However, in heating-dominated climates, newer codes can potentially have an adverse effect on heat resiliency of buildings.","container-title":"Building and Environment","DOI":"10.1016/j.buildenv.2018.05.024","ISSN":"0360-1323","journalAbbreviation":"Building and Environment","language":"en","page":"86-94","source":"ScienceDirect","title":"Energy efficiency vs resiliency to extreme heat and power outages: The role of evolving building energy codes","title-short":"Energy efficiency vs resiliency to extreme heat and power outages","URL":"https://www.sciencedirect.com/science/article/pii/S0360132318302841","volume":"139","author":[{"family":"Baniassadi","given":"Amir"},{"family":"Heusinger","given":"Jannik"},{"family":"Sailor","given":"David J."}],"accessed":{"date-parts":[["2021",8,4]]},"issued":{"date-parts":[["2018",7,1]]}}}],"schema":"https://github.com/citation-style-language/schema/raw/master/csl-citation.json"} </w:instrText>
      </w:r>
      <w:r w:rsidR="000A4CF2">
        <w:fldChar w:fldCharType="separate"/>
      </w:r>
      <w:r w:rsidR="000A4CF2" w:rsidRPr="00967078">
        <w:t>(Baniassadi, Heusinger, and Sailor 2018)</w:t>
      </w:r>
      <w:r w:rsidR="000A4CF2">
        <w:fldChar w:fldCharType="end"/>
      </w:r>
      <w:r w:rsidR="000A4CF2">
        <w:t xml:space="preserve"> to model the risk of overheating. Holmes et al. </w:t>
      </w:r>
      <w:r w:rsidR="000A4CF2">
        <w:fldChar w:fldCharType="begin"/>
      </w:r>
      <w:r w:rsidR="00351C61">
        <w:instrText xml:space="preserve"> ADDIN ZOTERO_ITEM CSL_CITATION {"citationID":"68FBVDgZ","properties":{"formattedCitation":"(Holmes, Phillips, and Wilson 2016)","plainCitation":"(Holmes, Phillips, and Wilson 2016)","noteIndex":0},"citationItems":[{"id":266,"uris":["http://zotero.org/users/4259226/items/YSYL3STF",["http://zotero.org/users/4259226/items/YSYL3STF"]],"itemData":{"id":266,"type":"article-journal","abstract":"As extreme heat and weather events are predicted to increase due to global warming, the risk of human heat stress within buildings will increase. To be resilient, buildings will need the capacity to provide habitable indoor conditions without power for limited amounts of time. Additional indoor thermal standards are required for public health to address ‘passive habitability’ during power outages. Current research on building-related heat stress and numerous heat indices is examined in relation to the development of a new heat-safety metric for use in passively conditioned buildings. Most indoor overheating research relies on outdoor temperature data and has no common indoor heat index for evaluating indoor heat stress. A recommendation is made for using the wet-bulb globe temperature (WBGT) and predicted heat strain (PHS) indices for modelling and monitoring of indoor heat stress in healthy adult populations because both indices utilize the primary thermoregulation variables, have associated heat-stress thresholds, and can be assessed or tracked with existing environmental monitoring methods and predictive energy modelling techniques. Further research is recommended on health effects and exposure limits of vulnerable populations, and the variation in thermal factors within buildings and the building stock.","container-title":"Building Research &amp; Information","DOI":"10.1080/09613218.2015.1033875","ISSN":"0961-3218, 1466-4321","issue":"1","journalAbbreviation":"Building Research &amp; Information","language":"en","page":"1-19","source":"DOI.org (Crossref)","title":"Overheating and passive habitability: indoor health and heat indices","title-short":"Overheating and passive habitability","URL":"http://www.tandfonline.com/doi/full/10.1080/09613218.2015.1033875","volume":"44","author":[{"family":"Holmes","given":"Seth H."},{"family":"Phillips","given":"Thomas"},{"family":"Wilson","given":"Alex"}],"accessed":{"date-parts":[["2020",1,17]]},"issued":{"date-parts":[["2016",1,2]]}}}],"schema":"https://github.com/citation-style-language/schema/raw/master/csl-citation.json"} </w:instrText>
      </w:r>
      <w:r w:rsidR="000A4CF2">
        <w:fldChar w:fldCharType="separate"/>
      </w:r>
      <w:r w:rsidR="000A4CF2" w:rsidRPr="005D6C1F">
        <w:t>(Holmes, Phillips, and Wilson 2016)</w:t>
      </w:r>
      <w:r w:rsidR="000A4CF2">
        <w:fldChar w:fldCharType="end"/>
      </w:r>
      <w:r w:rsidR="000A4CF2">
        <w:t xml:space="preserve"> discuss the suitability of different thermal indices with building performance simulation outputs and recommend acceptable thresholds for residential spaces based on WBGT. While there are many thermal indices, as yet none of them are validated for personal exposure in residential environments, meaning the recommended thresholds are not based on empirical observations of temperature-related </w:t>
      </w:r>
      <w:r w:rsidR="00405503">
        <w:t>health hazards</w:t>
      </w:r>
      <w:r w:rsidR="000A4CF2">
        <w:t xml:space="preserve"> in this context </w:t>
      </w:r>
      <w:r w:rsidR="000A4CF2">
        <w:fldChar w:fldCharType="begin"/>
      </w:r>
      <w:r w:rsidR="00351C61">
        <w:instrText xml:space="preserve"> ADDIN ZOTERO_ITEM CSL_CITATION {"citationID":"55zMd5lA","properties":{"formattedCitation":"(Kuras et al. 2017)","plainCitation":"(Kuras et al. 2017)","noteIndex":0},"citationItems":[{"id":534,"uris":["http://zotero.org/users/4259226/items/CJE9VTJ3",["http://zotero.org/users/4259226/items/CJE9VTJ3"]],"itemData":{"id":534,"type":"article-journal","container-title":"Environmental health perspectives","issue":"8","page":"085001","source":"Google Scholar","title":"Opportunities and challenges for personal heat exposure research","volume":"125","author":[{"family":"Kuras","given":"Evan R."},{"family":"Richardson","given":"Molly B."},{"family":"Calkins","given":"Miriam M."},{"family":"Ebi","given":"Kristie L."},{"family":"Hess","given":"Jeremy J."},{"family":"Kintziger","given":"Kristina W."},{"family":"Jagger","given":"Meredith A."},{"family":"Middel","given":"Ariane"},{"family":"Scott","given":"Anna A."},{"family":"Spector","given":"June T."}],"issued":{"date-parts":[["2017"]]}}}],"schema":"https://github.com/citation-style-language/schema/raw/master/csl-citation.json"} </w:instrText>
      </w:r>
      <w:r w:rsidR="000A4CF2">
        <w:fldChar w:fldCharType="separate"/>
      </w:r>
      <w:r w:rsidR="000A4CF2" w:rsidRPr="00000112">
        <w:t>(Kuras et al. 2017)</w:t>
      </w:r>
      <w:r w:rsidR="000A4CF2">
        <w:fldChar w:fldCharType="end"/>
      </w:r>
      <w:r w:rsidR="000A4CF2">
        <w:t xml:space="preserve">. Recently, the </w:t>
      </w:r>
      <w:r w:rsidR="000A4CF2" w:rsidRPr="00566EB9">
        <w:t>Occupational Safety and Health Review Commission</w:t>
      </w:r>
      <w:r w:rsidR="000A4CF2">
        <w:t xml:space="preserve"> criticized OSHA’s use of </w:t>
      </w:r>
      <w:r w:rsidR="00C9201C">
        <w:t>HI</w:t>
      </w:r>
      <w:r w:rsidR="000A4CF2">
        <w:t xml:space="preserve"> to assess risk for heat exposure in occupational settings due to the lack of scientific evidence</w:t>
      </w:r>
      <w:r w:rsidR="00C9201C">
        <w:t xml:space="preserve"> for risk categories</w:t>
      </w:r>
      <w:r w:rsidR="000A4CF2">
        <w:t xml:space="preserve"> </w:t>
      </w:r>
      <w:r w:rsidR="000A4CF2">
        <w:fldChar w:fldCharType="begin"/>
      </w:r>
      <w:r w:rsidR="00351C61">
        <w:instrText xml:space="preserve"> ADDIN ZOTERO_ITEM CSL_CITATION {"citationID":"t1lbRUna","properties":{"formattedCitation":"(\\uc0\\u8220{}Secretary of Labor v. A.H. Sturgill Roofing, Inc.\\uc0\\u8221{} 2019)","plainCitation":"(“Secretary of Labor v. A.H. Sturgill Roofing, Inc.” 2019)","noteIndex":0},"citationItems":[{"id":2,"uris":["http://zotero.org/users/4259226/items/9H4EE88S",["http://zotero.org/users/4259226/items/9H4EE88S"]],"itemData":{"id":2,"type":"hearing","event-place":"Washington, D.C.","number":"OSHRC Docket No. 13-0224","publisher-place":"Washington, D.C.","section":"Occupational Safety and Health Review Commission","title":"Secretary of Labor v. A.H. Sturgill Roofing, Inc.","URL":"https://www.oshrc.gov/assets/1/18/A.H._Sturgill_Roofing_Inc.%5E13-0224%5EComplete_Decision_signed%5E022819%5EFINAL.pdf?8324","contributor":[{"family":"OSHRC","given":""}],"accessed":{"date-parts":[["2021",7,30]]},"issued":{"date-parts":[["2019",2]]}}}],"schema":"https://github.com/citation-style-language/schema/raw/master/csl-citation.json"} </w:instrText>
      </w:r>
      <w:r w:rsidR="000A4CF2">
        <w:fldChar w:fldCharType="separate"/>
      </w:r>
      <w:r w:rsidR="00351C61" w:rsidRPr="00351C61">
        <w:rPr>
          <w:rFonts w:cs="Times New Roman"/>
        </w:rPr>
        <w:t>(“Secretary of Labor v. A.H. Sturgill Roofing, Inc.” 2019)</w:t>
      </w:r>
      <w:r w:rsidR="000A4CF2">
        <w:fldChar w:fldCharType="end"/>
      </w:r>
      <w:r w:rsidR="000A4CF2">
        <w:t>.</w:t>
      </w:r>
    </w:p>
    <w:p w14:paraId="5F72F5FF" w14:textId="26D3025F" w:rsidR="00652E43" w:rsidRDefault="00D459CC" w:rsidP="003E0F42">
      <w:pPr>
        <w:tabs>
          <w:tab w:val="left" w:pos="3887"/>
        </w:tabs>
      </w:pPr>
      <w:r>
        <w:t>The second research gap</w:t>
      </w:r>
      <w:r w:rsidR="003E0F42">
        <w:t xml:space="preserve"> is </w:t>
      </w:r>
      <w:r w:rsidR="00BD2FE1">
        <w:t>limited</w:t>
      </w:r>
      <w:r w:rsidR="0063651F">
        <w:t xml:space="preserve"> </w:t>
      </w:r>
      <w:r>
        <w:t>consideration</w:t>
      </w:r>
      <w:r w:rsidR="0063651F">
        <w:t xml:space="preserve"> for building characteristics in conjunction with other markers of socioeconomic vulnerability such as </w:t>
      </w:r>
      <w:r w:rsidR="00072AC2">
        <w:t>income and age</w:t>
      </w:r>
      <w:r w:rsidR="000A3677">
        <w:t xml:space="preserve">. </w:t>
      </w:r>
      <w:r w:rsidR="00006C95">
        <w:t xml:space="preserve">Very few studies using building performance simulations </w:t>
      </w:r>
      <w:r w:rsidR="00157173">
        <w:t>review</w:t>
      </w:r>
      <w:r w:rsidR="00006C95">
        <w:t xml:space="preserve"> the interaction of building and occupant characteristics</w:t>
      </w:r>
      <w:r w:rsidR="005B2E1D">
        <w:t>.</w:t>
      </w:r>
      <w:r w:rsidR="00BC13B5">
        <w:t xml:space="preserve"> </w:t>
      </w:r>
      <w:proofErr w:type="spellStart"/>
      <w:r w:rsidR="00BC13B5">
        <w:t>Baniassadi</w:t>
      </w:r>
      <w:proofErr w:type="spellEnd"/>
      <w:r w:rsidR="00BC13B5">
        <w:t xml:space="preserve"> et al.</w:t>
      </w:r>
      <w:r w:rsidR="005B2E1D">
        <w:t xml:space="preserve"> </w:t>
      </w:r>
      <w:r w:rsidR="005B2E1D">
        <w:fldChar w:fldCharType="begin"/>
      </w:r>
      <w:r w:rsidR="00351C61">
        <w:instrText xml:space="preserve"> ADDIN ZOTERO_ITEM CSL_CITATION {"citationID":"uhOyQuwi","properties":{"formattedCitation":"(Baniassadi et al. 2019)","plainCitation":"(Baniassadi et al. 2019)","noteIndex":0},"citationItems":[{"id":396,"uris":["http://zotero.org/users/4259226/items/9KY5H3BQ",["http://zotero.org/users/4259226/items/9KY5H3BQ"]],"itemData":{"id":396,"type":"article-journal","abstract":"In many US cities, indoor exposure to heat continues to be the underlying cause of a considerable fraction (up to 80% during extreme events) of heat-related mortality and morbidity, even in locations where most citizens have air conditioning (AC). Nevertheless, the existing literature on indoor exposure to heat often regards AC as a binary variable and assumes that its presence inevitably results in a safe thermal environment. This is also reflected in heat vulnerability assessments that assign a binary attribute to AC. In this study, we used thermal simulation of buildings to investigate overheating in residential buildings in three US cities (Houston, Phoenix, and Los Angeles) and focused on scenarios where an AC system is present; yet not fully functional. Moreover, we identified the role of key building characteristics and investigated the sensitivity of indoor environment to the ambient temperature. Our results show that energy poverty and/or faulty systems can expose a considerable fraction of AC-owning elderly in Phoenix and Houston to excess heat for more than 50% of summer. This highlights the need to reevaluate AC as the primary protective factor against heat and introduces several implications that need to be considered in heat vulnerability assessments.","container-title":"ASME Journal of Engineering for Sustainable Buildings and Cities","DOI":"10.1115/1.4045678","ISSN":"2642-6641","issue":"1","journalAbbreviation":"ASME Journal of Engineering for Sustainable Buildings and Cities","source":"Silverchair","title":"Effectiveness of Mechanical Air Conditioning as a Protective Factor Against Indoor Exposure to Heat Among the Elderly","URL":"https://doi.org/10.1115/1.4045678","volume":"1","author":[{"family":"Baniassadi","given":"Amir"},{"family":"Sailor","given":"David J."},{"family":"O’Lenick","given":"Cassandra R."},{"family":"Wilhelmi","given":"Olga V."},{"family":"Crank","given":"Peter J."},{"family":"Chester","given":"Mikhail V."},{"family":"Reddy","given":"Agami T."}],"accessed":{"date-parts":[["2021",7,5]]},"issued":{"date-parts":[["2019",12,26]]}}}],"schema":"https://github.com/citation-style-language/schema/raw/master/csl-citation.json"} </w:instrText>
      </w:r>
      <w:r w:rsidR="005B2E1D">
        <w:fldChar w:fldCharType="separate"/>
      </w:r>
      <w:r w:rsidR="005B2E1D" w:rsidRPr="005B2E1D">
        <w:t>(Baniassadi et al. 2019)</w:t>
      </w:r>
      <w:r w:rsidR="005B2E1D">
        <w:fldChar w:fldCharType="end"/>
      </w:r>
      <w:r w:rsidR="00BC13B5">
        <w:t xml:space="preserve"> account for </w:t>
      </w:r>
      <w:r w:rsidR="001E2BF2">
        <w:t>some effects of occupant income</w:t>
      </w:r>
      <w:r w:rsidR="00BC13B5">
        <w:t xml:space="preserve"> by modeling </w:t>
      </w:r>
      <w:r w:rsidR="004E7892">
        <w:t xml:space="preserve">AC non-functionality and occupant age by </w:t>
      </w:r>
      <w:r w:rsidR="00167F85">
        <w:t>using</w:t>
      </w:r>
      <w:r w:rsidR="004E7892">
        <w:t xml:space="preserve"> </w:t>
      </w:r>
      <w:r w:rsidR="00083BD5">
        <w:t xml:space="preserve">a conservative value for their overheating threshold. </w:t>
      </w:r>
    </w:p>
    <w:p w14:paraId="50EA3944" w14:textId="25BFF49F" w:rsidR="001A6B21" w:rsidRDefault="00B73127" w:rsidP="00D36EE5">
      <w:pPr>
        <w:tabs>
          <w:tab w:val="left" w:pos="3887"/>
        </w:tabs>
      </w:pPr>
      <w:r>
        <w:lastRenderedPageBreak/>
        <w:t>To overcome these research gaps, th</w:t>
      </w:r>
      <w:r w:rsidR="007C7162">
        <w:t>is</w:t>
      </w:r>
      <w:r>
        <w:t xml:space="preserve"> study </w:t>
      </w:r>
      <w:r w:rsidR="00472389">
        <w:t>uses supervised machine learning to predict</w:t>
      </w:r>
      <w:r w:rsidR="009D3D2C">
        <w:t xml:space="preserve"> temperature-related morbidity based on a </w:t>
      </w:r>
      <w:r w:rsidR="001A6B21">
        <w:t>nationwide</w:t>
      </w:r>
      <w:r w:rsidR="009D3D2C">
        <w:t xml:space="preserve"> survey of </w:t>
      </w:r>
      <w:r w:rsidR="00DB3F18">
        <w:t xml:space="preserve">building </w:t>
      </w:r>
      <w:r w:rsidR="009673C3">
        <w:t xml:space="preserve">and </w:t>
      </w:r>
      <w:r w:rsidR="007E38C3">
        <w:t>household</w:t>
      </w:r>
      <w:r w:rsidR="009673C3">
        <w:t xml:space="preserve"> characteristics in American </w:t>
      </w:r>
      <w:r w:rsidR="007E38C3">
        <w:t>homes</w:t>
      </w:r>
      <w:r w:rsidR="009673C3">
        <w:t xml:space="preserve">. </w:t>
      </w:r>
      <w:r w:rsidR="001A6B21">
        <w:t>This study revolves around two research questions</w:t>
      </w:r>
      <w:r w:rsidR="002023F5">
        <w:t>:</w:t>
      </w:r>
    </w:p>
    <w:p w14:paraId="086FF6D9" w14:textId="1EB58E29" w:rsidR="001A6B21" w:rsidRDefault="001A6B21" w:rsidP="001A6B21">
      <w:pPr>
        <w:pStyle w:val="ListParagraph"/>
        <w:numPr>
          <w:ilvl w:val="0"/>
          <w:numId w:val="31"/>
        </w:numPr>
        <w:tabs>
          <w:tab w:val="left" w:pos="3887"/>
        </w:tabs>
      </w:pPr>
      <w:r>
        <w:t>Would a HVI with detailed information about the building be more accurate at predicting the risk of health hazards? If so, by how much?</w:t>
      </w:r>
    </w:p>
    <w:p w14:paraId="5594021D" w14:textId="70514DAF" w:rsidR="001A6B21" w:rsidRDefault="001A6B21" w:rsidP="001A6B21">
      <w:pPr>
        <w:pStyle w:val="ListParagraph"/>
        <w:numPr>
          <w:ilvl w:val="0"/>
          <w:numId w:val="31"/>
        </w:numPr>
        <w:tabs>
          <w:tab w:val="left" w:pos="3887"/>
        </w:tabs>
      </w:pPr>
      <w:r>
        <w:t xml:space="preserve">Which building and occupant characteristics </w:t>
      </w:r>
      <w:r w:rsidR="00781A6D">
        <w:t>contribute most to predicting the risk of a health hazards?</w:t>
      </w:r>
    </w:p>
    <w:p w14:paraId="3B69D18C" w14:textId="17B5EAF0" w:rsidR="002A7CA9" w:rsidRDefault="00BD40EB" w:rsidP="00D36EE5">
      <w:pPr>
        <w:tabs>
          <w:tab w:val="left" w:pos="3887"/>
        </w:tabs>
      </w:pPr>
      <w:r>
        <w:t xml:space="preserve">More accurate predictions </w:t>
      </w:r>
      <w:r w:rsidR="008918B8">
        <w:t xml:space="preserve">will </w:t>
      </w:r>
      <w:r w:rsidR="004206D8">
        <w:t>allow</w:t>
      </w:r>
      <w:r w:rsidR="00BA6754">
        <w:t xml:space="preserve"> public agencies to </w:t>
      </w:r>
      <w:r w:rsidR="006067C6">
        <w:t xml:space="preserve">better </w:t>
      </w:r>
      <w:r w:rsidR="00472389">
        <w:t xml:space="preserve">identify at-risk households and </w:t>
      </w:r>
      <w:r w:rsidR="006067C6">
        <w:t xml:space="preserve">strategize limited resources for short-term </w:t>
      </w:r>
      <w:r w:rsidR="005953E7">
        <w:t xml:space="preserve">planning like locations of cooling and warming centers and long-term planning like building weatherization and social programs. </w:t>
      </w:r>
      <w:r w:rsidR="00781A6D">
        <w:t xml:space="preserve">Understanding the contributions of building and occupant characteristics can prioritize data collection efforts. </w:t>
      </w:r>
    </w:p>
    <w:p w14:paraId="4B9E8FAF" w14:textId="410B2662" w:rsidR="00827153" w:rsidRDefault="003962C4" w:rsidP="00E2340B">
      <w:pPr>
        <w:pStyle w:val="Heading1List"/>
      </w:pPr>
      <w:r>
        <w:t>Materials and methods</w:t>
      </w:r>
    </w:p>
    <w:p w14:paraId="3B3C6161" w14:textId="24A48563" w:rsidR="006C6FB9" w:rsidRDefault="00D56D97" w:rsidP="006C6FB9">
      <w:pPr>
        <w:pStyle w:val="Heading2List"/>
      </w:pPr>
      <w:r>
        <w:t>Residential energy consumption survey (RECS) data</w:t>
      </w:r>
    </w:p>
    <w:p w14:paraId="5EC4642D" w14:textId="4CC73B11" w:rsidR="009622F0" w:rsidRDefault="00D56D97" w:rsidP="008D0432">
      <w:r>
        <w:t>Th</w:t>
      </w:r>
      <w:r w:rsidR="001A6B21">
        <w:t>e main</w:t>
      </w:r>
      <w:r>
        <w:t xml:space="preserve"> source of data </w:t>
      </w:r>
      <w:r w:rsidR="00781A6D">
        <w:t>for</w:t>
      </w:r>
      <w:r>
        <w:t xml:space="preserve"> this study</w:t>
      </w:r>
      <w:r w:rsidR="008D0432">
        <w:t xml:space="preserve"> </w:t>
      </w:r>
      <w:r w:rsidR="00C87584">
        <w:t>is</w:t>
      </w:r>
      <w:r w:rsidR="00781A6D">
        <w:t xml:space="preserve"> the</w:t>
      </w:r>
      <w:r w:rsidR="008D0432">
        <w:t xml:space="preserve"> Residential Energy Consumption Survey (RECS), which is administered by the U.S. Energy Information Administration (EIA) </w:t>
      </w:r>
      <w:r w:rsidR="008D0432">
        <w:fldChar w:fldCharType="begin"/>
      </w:r>
      <w:r w:rsidR="00472389">
        <w:instrText xml:space="preserve"> ADDIN ZOTERO_ITEM CSL_CITATION {"citationID":"EQaqSoqt","properties":{"formattedCitation":"(EIA 2018; 2022)","plainCitation":"(EIA 2018; 2022)","noteIndex":0},"citationItems":[{"id":390,"uris":["http://zotero.org/users/4259226/items/DL77EXMZ",["http://zotero.org/users/4259226/items/DL77EXMZ"]],"itemData":{"id":390,"type":"report","event-place":"Washington, DC","language":"en","page":"22","publisher":"U.S. Department of Energy","publisher-place":"Washington, DC","source":"Zotero","title":"Residential Energy Consumption Survey (RECS): 2015 Household Characteristics Technical Documentation Summary","author":[{"family":"EIA","given":""}],"issued":{"date-parts":[["2018",5]]}}},{"id":505,"uris":["http://zotero.org/users/4259226/items/N749AXDE"],"itemData":{"id":505,"type":"webpage","title":"2020 RECS Survey Data","URL":"https://www.eia.gov/consumption/residential/data/2020/","author":[{"family":"EIA","given":""}],"issued":{"date-parts":[["2022",5]]}}}],"schema":"https://github.com/citation-style-language/schema/raw/master/csl-citation.json"} </w:instrText>
      </w:r>
      <w:r w:rsidR="008D0432">
        <w:fldChar w:fldCharType="separate"/>
      </w:r>
      <w:r w:rsidR="00472389">
        <w:t>(EIA 2018; 2022)</w:t>
      </w:r>
      <w:r w:rsidR="008D0432">
        <w:fldChar w:fldCharType="end"/>
      </w:r>
      <w:r w:rsidR="008D0432">
        <w:t>. RECS is a periodic survey that has collected detailed energy characteristics, usage patterns, and demographics of American households since 1978. The primary objective of RECS is to estimate future energy demand and improve energy efficiency and building design.</w:t>
      </w:r>
      <w:r w:rsidR="009622F0">
        <w:t xml:space="preserve"> </w:t>
      </w:r>
    </w:p>
    <w:p w14:paraId="3BDCFDC5" w14:textId="74BD2687" w:rsidR="00C87584" w:rsidRDefault="00C87584" w:rsidP="008D0432">
      <w:r>
        <w:t xml:space="preserve">Of relevance for this study, the </w:t>
      </w:r>
      <w:r w:rsidR="00367B3D">
        <w:t xml:space="preserve">three </w:t>
      </w:r>
      <w:r>
        <w:t xml:space="preserve">most recent cycles of RECS, </w:t>
      </w:r>
      <w:r w:rsidR="00367B3D">
        <w:t xml:space="preserve">2009, </w:t>
      </w:r>
      <w:r>
        <w:t>2015</w:t>
      </w:r>
      <w:r w:rsidR="00367B3D">
        <w:t xml:space="preserve">, </w:t>
      </w:r>
      <w:r>
        <w:t>2020</w:t>
      </w:r>
      <w:r w:rsidR="00367B3D">
        <w:t>,</w:t>
      </w:r>
      <w:r>
        <w:t xml:space="preserve"> ask respondents if in the last year, if anyone in their household needed medical attention because the home was too hot or too cold </w:t>
      </w:r>
      <w:r>
        <w:fldChar w:fldCharType="begin"/>
      </w:r>
      <w:r>
        <w:instrText xml:space="preserve"> ADDIN ZOTERO_ITEM CSL_CITATION {"citationID":"swf0NuwI","properties":{"formattedCitation":"(EIA 2016; 2020)","plainCitation":"(EIA 2016; 2020)","noteIndex":0},"citationItems":[{"id":392,"uris":["http://zotero.org/users/4259226/items/EAX6B98S",["http://zotero.org/users/4259226/items/EAX6B98S"]],"itemData":{"id":392,"type":"report","event-place":"Washington, DC","page":"20","publisher":"U.S. Department of Energy","publisher-place":"Washington, DC","title":"Residential Energy Consumption Survey: A Nationwide Study of Energy Use in American Homes","URL":"https://www.eia.gov/survey/form/eia_457/2015_EIA-475A_paper.pdf","author":[{"family":"EIA","given":""}],"accessed":{"date-parts":[["2021",7,10]]},"issued":{"date-parts":[["2016",1,28]]}}},{"id":1683,"uris":["http://zotero.org/users/4259226/items/RPI2797Y"],"itemData":{"id":1683,"type":"report","event-place":"Washington, D.C.","language":"en","publisher":"U.S. Department of Energy","publisher-place":"Washington, D.C.","source":"Zotero","title":"Residential Energy Consumption Survey (RECS)                                              Form EIA-457A                                                   2020 Household Questionnaire","URL":"https://www.eia.gov/survey/form/eia_457/2020_RECS-457A.pdf","author":[{"family":"EIA","given":""}],"issued":{"date-parts":[["2020"]]}}}],"schema":"https://github.com/citation-style-language/schema/raw/master/csl-citation.json"} </w:instrText>
      </w:r>
      <w:r>
        <w:fldChar w:fldCharType="separate"/>
      </w:r>
      <w:r>
        <w:t>(EIA 2016; 2020)</w:t>
      </w:r>
      <w:r>
        <w:fldChar w:fldCharType="end"/>
      </w:r>
      <w:r>
        <w:t>.  This study treats an affirmative response to either question as a temperature-related morbidity. While the questions are vague regarding duration and severity of extreme temperatures and who in the household needed medical assistance, it provides a source of empirical evidence that the household experienced a</w:t>
      </w:r>
      <w:r w:rsidR="00646947">
        <w:t xml:space="preserve"> </w:t>
      </w:r>
      <w:r>
        <w:t xml:space="preserve">hazardous interior </w:t>
      </w:r>
      <w:r w:rsidR="00646947">
        <w:t xml:space="preserve">thermal </w:t>
      </w:r>
      <w:r>
        <w:t xml:space="preserve">environment. </w:t>
      </w:r>
      <w:r w:rsidR="00EE26FC">
        <w:t>We only analyzed data from the 2015 and 2020 RECS. Responses to our questions of interest are not available in the public data file for the 2009 RECS due to infrequent responses risking disclosure of sensitive and confidential household information.</w:t>
      </w:r>
      <w:r w:rsidR="00EE26FC">
        <w:rPr>
          <w:rStyle w:val="FootnoteReference"/>
        </w:rPr>
        <w:footnoteReference w:id="2"/>
      </w:r>
    </w:p>
    <w:p w14:paraId="0ECFB250" w14:textId="48B9CEF7" w:rsidR="009622F0" w:rsidRDefault="009622F0" w:rsidP="008D0432">
      <w:r>
        <w:t xml:space="preserve">Each RECS is an independent cross-sectional study of residential energy use, so each iteration of the survey is slightly different. </w:t>
      </w:r>
      <w:r w:rsidR="00367B3D">
        <w:t>Theoretically, it’s possible to select the same home twice, but it is highly unlikely and occurs rarely</w:t>
      </w:r>
      <w:r w:rsidR="00EE26FC">
        <w:t>.</w:t>
      </w:r>
      <w:r w:rsidR="00367B3D">
        <w:rPr>
          <w:rStyle w:val="FootnoteReference"/>
        </w:rPr>
        <w:footnoteReference w:id="3"/>
      </w:r>
      <w:r w:rsidR="00367B3D">
        <w:t xml:space="preserve"> </w:t>
      </w:r>
      <w:r w:rsidR="0025391F">
        <w:t>The EIA selects samples to statistically represent all U.S. households occupied as a primary residence at the time of the survey.</w:t>
      </w:r>
      <w:r w:rsidR="00C87584">
        <w:t xml:space="preserve"> T</w:t>
      </w:r>
      <w:r w:rsidR="007A2A49">
        <w:t xml:space="preserve">he most </w:t>
      </w:r>
      <w:r w:rsidR="0025391F">
        <w:t xml:space="preserve">significant </w:t>
      </w:r>
      <w:r w:rsidR="007A2A49">
        <w:t>difference between the 2015 and 2020 survey cycles</w:t>
      </w:r>
      <w:r w:rsidR="0025391F">
        <w:t xml:space="preserve"> </w:t>
      </w:r>
      <w:r w:rsidR="007A2A49">
        <w:t xml:space="preserve">is the mode of execution. </w:t>
      </w:r>
      <w:r w:rsidR="0025391F">
        <w:t xml:space="preserve">The 2015 survey cycle collected data through a combination of computer-assisted personal interviews (CAPI), internet, and mailings.  The 2020 survey cycle relied entirely on self-administered web and paper questionaries. </w:t>
      </w:r>
      <w:r w:rsidR="0082049E">
        <w:t>Because there were no in-person interviews, the 2020 survey did not rely on a clustered sampling method like in 2015. The impact of this change is a three-fold increase in sample size – 5,686 in 2015 to 18,496 in 2020. Sample size is inversely proportional to the standard error and</w:t>
      </w:r>
      <w:r w:rsidR="004840B8">
        <w:t xml:space="preserve">, so larger samples </w:t>
      </w:r>
      <w:r w:rsidR="0082049E">
        <w:t>generally result</w:t>
      </w:r>
      <w:r w:rsidR="004840B8">
        <w:t xml:space="preserve"> </w:t>
      </w:r>
      <w:r w:rsidR="0082049E">
        <w:t xml:space="preserve">in </w:t>
      </w:r>
      <w:r w:rsidR="004840B8">
        <w:t>narrower</w:t>
      </w:r>
      <w:r w:rsidR="0082049E">
        <w:t xml:space="preserve"> confidence intervals for population and subpopulation estimates.</w:t>
      </w:r>
      <w:r w:rsidR="00646947">
        <w:t xml:space="preserve"> The </w:t>
      </w:r>
      <w:r w:rsidR="00646947">
        <w:lastRenderedPageBreak/>
        <w:t xml:space="preserve">two survey years also had minor differences in variable coding, which we describe in more detail in Appendix X. </w:t>
      </w:r>
    </w:p>
    <w:p w14:paraId="323DC616" w14:textId="7ABF34BF" w:rsidR="0082049E" w:rsidRDefault="00EE070C" w:rsidP="008D0432">
      <w:r>
        <w:fldChar w:fldCharType="begin"/>
      </w:r>
      <w:r>
        <w:instrText xml:space="preserve"> REF _Ref80686156 \h </w:instrText>
      </w:r>
      <w:r>
        <w:fldChar w:fldCharType="separate"/>
      </w:r>
      <w:r>
        <w:t xml:space="preserve">Table </w:t>
      </w:r>
      <w:r>
        <w:rPr>
          <w:noProof/>
        </w:rPr>
        <w:t>1</w:t>
      </w:r>
      <w:r>
        <w:fldChar w:fldCharType="end"/>
      </w:r>
      <w:r>
        <w:t xml:space="preserve"> shows counts of heat-, cold-, or any temperature-related morbidity in the 2015 and 2020 RECS. </w:t>
      </w:r>
      <w:r w:rsidR="00646947">
        <w:t>For the predictive model, w</w:t>
      </w:r>
      <w:r w:rsidR="0082049E">
        <w:t>e treat each sample as an independent observation</w:t>
      </w:r>
      <w:r w:rsidR="00646947">
        <w:t>. However w</w:t>
      </w:r>
      <w:r w:rsidR="0082049E">
        <w:t>hen making population estimates, we will display results for each year separately, using the sample weights f</w:t>
      </w:r>
      <w:r w:rsidR="008B79DE">
        <w:t>rom that year’s survey</w:t>
      </w:r>
      <w:r w:rsidR="00646947">
        <w:t xml:space="preserve"> </w:t>
      </w:r>
      <w:r w:rsidR="0082049E">
        <w:t>.</w:t>
      </w:r>
    </w:p>
    <w:p w14:paraId="190C21ED" w14:textId="5D518D12" w:rsidR="008D0432" w:rsidRDefault="008D0432" w:rsidP="008D0432">
      <w:pPr>
        <w:pStyle w:val="Tablecaption"/>
      </w:pPr>
      <w:bookmarkStart w:id="1" w:name="_Ref80686156"/>
      <w:r>
        <w:t xml:space="preserve">Table </w:t>
      </w:r>
      <w:fldSimple w:instr=" SEQ Table \* ARABIC ">
        <w:r>
          <w:rPr>
            <w:noProof/>
          </w:rPr>
          <w:t>1</w:t>
        </w:r>
      </w:fldSimple>
      <w:bookmarkEnd w:id="1"/>
      <w:r>
        <w:t xml:space="preserve">. </w:t>
      </w:r>
      <w:r w:rsidR="002023F5">
        <w:t xml:space="preserve">Observations of temperature-related morbidity in </w:t>
      </w:r>
      <w:r w:rsidR="002F5D85">
        <w:t>RECS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1"/>
        <w:gridCol w:w="652"/>
        <w:gridCol w:w="752"/>
        <w:gridCol w:w="752"/>
      </w:tblGrid>
      <w:tr w:rsidR="002F5D85" w14:paraId="508E784A" w14:textId="5F9D9AF7" w:rsidTr="00127B53">
        <w:tc>
          <w:tcPr>
            <w:tcW w:w="0" w:type="auto"/>
            <w:tcBorders>
              <w:top w:val="single" w:sz="4" w:space="0" w:color="DBDBDB" w:themeColor="accent3" w:themeTint="66"/>
              <w:bottom w:val="single" w:sz="4" w:space="0" w:color="DBDBDB" w:themeColor="accent3" w:themeTint="66"/>
            </w:tcBorders>
          </w:tcPr>
          <w:p w14:paraId="017E50AD" w14:textId="15E9C4E4" w:rsidR="002F5D85" w:rsidRPr="00EE6FB0" w:rsidRDefault="00EE070C" w:rsidP="00405503">
            <w:pPr>
              <w:pStyle w:val="Tabletext"/>
              <w:rPr>
                <w:b/>
                <w:bCs/>
              </w:rPr>
            </w:pPr>
            <w:r>
              <w:rPr>
                <w:b/>
                <w:bCs/>
              </w:rPr>
              <w:t>Morbidity</w:t>
            </w:r>
          </w:p>
        </w:tc>
        <w:tc>
          <w:tcPr>
            <w:tcW w:w="0" w:type="auto"/>
            <w:tcBorders>
              <w:top w:val="single" w:sz="4" w:space="0" w:color="DBDBDB" w:themeColor="accent3" w:themeTint="66"/>
              <w:bottom w:val="single" w:sz="4" w:space="0" w:color="DBDBDB" w:themeColor="accent3" w:themeTint="66"/>
            </w:tcBorders>
          </w:tcPr>
          <w:p w14:paraId="65E9AC93" w14:textId="4B5241A2" w:rsidR="002F5D85" w:rsidRPr="00EE6FB0" w:rsidRDefault="002F5D85" w:rsidP="002023F5">
            <w:pPr>
              <w:pStyle w:val="Tabletext"/>
              <w:jc w:val="right"/>
              <w:rPr>
                <w:b/>
                <w:bCs/>
              </w:rPr>
            </w:pPr>
            <w:r>
              <w:rPr>
                <w:b/>
                <w:bCs/>
              </w:rPr>
              <w:t>2015</w:t>
            </w:r>
          </w:p>
        </w:tc>
        <w:tc>
          <w:tcPr>
            <w:tcW w:w="0" w:type="auto"/>
            <w:tcBorders>
              <w:top w:val="single" w:sz="4" w:space="0" w:color="DBDBDB" w:themeColor="accent3" w:themeTint="66"/>
              <w:bottom w:val="single" w:sz="4" w:space="0" w:color="DBDBDB" w:themeColor="accent3" w:themeTint="66"/>
            </w:tcBorders>
          </w:tcPr>
          <w:p w14:paraId="1C2A2E17" w14:textId="4EEF2D36" w:rsidR="002F5D85" w:rsidRDefault="002F5D85" w:rsidP="002023F5">
            <w:pPr>
              <w:pStyle w:val="Tabletext"/>
              <w:jc w:val="right"/>
              <w:rPr>
                <w:b/>
                <w:bCs/>
              </w:rPr>
            </w:pPr>
            <w:r>
              <w:rPr>
                <w:b/>
                <w:bCs/>
              </w:rPr>
              <w:t>2020</w:t>
            </w:r>
          </w:p>
        </w:tc>
        <w:tc>
          <w:tcPr>
            <w:tcW w:w="0" w:type="auto"/>
            <w:tcBorders>
              <w:top w:val="single" w:sz="4" w:space="0" w:color="DBDBDB" w:themeColor="accent3" w:themeTint="66"/>
              <w:bottom w:val="single" w:sz="4" w:space="0" w:color="DBDBDB" w:themeColor="accent3" w:themeTint="66"/>
            </w:tcBorders>
          </w:tcPr>
          <w:p w14:paraId="3C4ED604" w14:textId="24C7657E" w:rsidR="002F5D85" w:rsidRDefault="002F5D85" w:rsidP="002023F5">
            <w:pPr>
              <w:pStyle w:val="Tabletext"/>
              <w:jc w:val="right"/>
              <w:rPr>
                <w:b/>
                <w:bCs/>
              </w:rPr>
            </w:pPr>
            <w:r>
              <w:rPr>
                <w:b/>
                <w:bCs/>
              </w:rPr>
              <w:t>Total</w:t>
            </w:r>
          </w:p>
        </w:tc>
      </w:tr>
      <w:tr w:rsidR="002F5D85" w14:paraId="7299E047" w14:textId="37751A97" w:rsidTr="00127B53">
        <w:tc>
          <w:tcPr>
            <w:tcW w:w="0" w:type="auto"/>
            <w:tcBorders>
              <w:top w:val="single" w:sz="4" w:space="0" w:color="DBDBDB" w:themeColor="accent3" w:themeTint="66"/>
            </w:tcBorders>
          </w:tcPr>
          <w:p w14:paraId="04A9A1FA" w14:textId="1C9DD21E" w:rsidR="002F5D85" w:rsidRDefault="002F5D85" w:rsidP="00405503">
            <w:pPr>
              <w:pStyle w:val="Tabletext"/>
            </w:pPr>
            <w:r>
              <w:t xml:space="preserve">Heat-related </w:t>
            </w:r>
          </w:p>
        </w:tc>
        <w:tc>
          <w:tcPr>
            <w:tcW w:w="0" w:type="auto"/>
            <w:tcBorders>
              <w:top w:val="single" w:sz="4" w:space="0" w:color="DBDBDB" w:themeColor="accent3" w:themeTint="66"/>
            </w:tcBorders>
          </w:tcPr>
          <w:p w14:paraId="7AB7A74B" w14:textId="6CC182C1" w:rsidR="002F5D85" w:rsidRDefault="002F5D85" w:rsidP="002023F5">
            <w:pPr>
              <w:pStyle w:val="Tabletext"/>
              <w:jc w:val="right"/>
            </w:pPr>
            <w:r>
              <w:t>39</w:t>
            </w:r>
          </w:p>
        </w:tc>
        <w:tc>
          <w:tcPr>
            <w:tcW w:w="0" w:type="auto"/>
            <w:tcBorders>
              <w:top w:val="single" w:sz="4" w:space="0" w:color="DBDBDB" w:themeColor="accent3" w:themeTint="66"/>
            </w:tcBorders>
          </w:tcPr>
          <w:p w14:paraId="68CA49FB" w14:textId="02F11F8A" w:rsidR="002F5D85" w:rsidRDefault="002F5D85" w:rsidP="002023F5">
            <w:pPr>
              <w:pStyle w:val="Tabletext"/>
              <w:jc w:val="right"/>
            </w:pPr>
            <w:r>
              <w:t>76</w:t>
            </w:r>
          </w:p>
        </w:tc>
        <w:tc>
          <w:tcPr>
            <w:tcW w:w="0" w:type="auto"/>
            <w:tcBorders>
              <w:top w:val="single" w:sz="4" w:space="0" w:color="DBDBDB" w:themeColor="accent3" w:themeTint="66"/>
            </w:tcBorders>
          </w:tcPr>
          <w:p w14:paraId="2289E31B" w14:textId="54C14C56" w:rsidR="002F5D85" w:rsidRDefault="002F5D85" w:rsidP="002023F5">
            <w:pPr>
              <w:pStyle w:val="Tabletext"/>
              <w:jc w:val="right"/>
            </w:pPr>
            <w:r>
              <w:t>115</w:t>
            </w:r>
          </w:p>
        </w:tc>
      </w:tr>
      <w:tr w:rsidR="002F5D85" w14:paraId="40A32B66" w14:textId="1EDA4AE4" w:rsidTr="00127B53">
        <w:tc>
          <w:tcPr>
            <w:tcW w:w="0" w:type="auto"/>
          </w:tcPr>
          <w:p w14:paraId="143E03B3" w14:textId="6D9295EC" w:rsidR="002F5D85" w:rsidRDefault="002F5D85" w:rsidP="00405503">
            <w:pPr>
              <w:pStyle w:val="Tabletext"/>
            </w:pPr>
            <w:r>
              <w:t xml:space="preserve">Cold-related </w:t>
            </w:r>
          </w:p>
        </w:tc>
        <w:tc>
          <w:tcPr>
            <w:tcW w:w="0" w:type="auto"/>
          </w:tcPr>
          <w:p w14:paraId="2A209FE7" w14:textId="4350DA58" w:rsidR="002F5D85" w:rsidRDefault="002F5D85" w:rsidP="002023F5">
            <w:pPr>
              <w:pStyle w:val="Tabletext"/>
              <w:jc w:val="right"/>
            </w:pPr>
            <w:r>
              <w:t>54</w:t>
            </w:r>
          </w:p>
        </w:tc>
        <w:tc>
          <w:tcPr>
            <w:tcW w:w="0" w:type="auto"/>
          </w:tcPr>
          <w:p w14:paraId="1151F202" w14:textId="66A3BBC7" w:rsidR="002F5D85" w:rsidRDefault="002F5D85" w:rsidP="002023F5">
            <w:pPr>
              <w:pStyle w:val="Tabletext"/>
              <w:jc w:val="right"/>
            </w:pPr>
            <w:r>
              <w:t>120</w:t>
            </w:r>
          </w:p>
        </w:tc>
        <w:tc>
          <w:tcPr>
            <w:tcW w:w="0" w:type="auto"/>
          </w:tcPr>
          <w:p w14:paraId="3777DCA1" w14:textId="391B0655" w:rsidR="002F5D85" w:rsidRDefault="002F5D85" w:rsidP="002023F5">
            <w:pPr>
              <w:pStyle w:val="Tabletext"/>
              <w:jc w:val="right"/>
            </w:pPr>
            <w:r>
              <w:t>174</w:t>
            </w:r>
          </w:p>
        </w:tc>
      </w:tr>
      <w:tr w:rsidR="002F5D85" w14:paraId="010EB7D4" w14:textId="0C57D120" w:rsidTr="00127B53">
        <w:tc>
          <w:tcPr>
            <w:tcW w:w="0" w:type="auto"/>
          </w:tcPr>
          <w:p w14:paraId="4EC4B0A9" w14:textId="2B8E7473" w:rsidR="002F5D85" w:rsidRDefault="002F5D85" w:rsidP="00405503">
            <w:pPr>
              <w:pStyle w:val="Tabletext"/>
            </w:pPr>
            <w:r>
              <w:t>Any temperature</w:t>
            </w:r>
          </w:p>
        </w:tc>
        <w:tc>
          <w:tcPr>
            <w:tcW w:w="0" w:type="auto"/>
          </w:tcPr>
          <w:p w14:paraId="6ABA1D9B" w14:textId="77777777" w:rsidR="002F5D85" w:rsidRDefault="002F5D85" w:rsidP="002023F5">
            <w:pPr>
              <w:pStyle w:val="Tabletext"/>
              <w:jc w:val="right"/>
            </w:pPr>
            <w:r>
              <w:t>81</w:t>
            </w:r>
          </w:p>
        </w:tc>
        <w:tc>
          <w:tcPr>
            <w:tcW w:w="0" w:type="auto"/>
          </w:tcPr>
          <w:p w14:paraId="04C013B4" w14:textId="54E73DDE" w:rsidR="002F5D85" w:rsidRDefault="002F5D85" w:rsidP="002023F5">
            <w:pPr>
              <w:pStyle w:val="Tabletext"/>
              <w:jc w:val="right"/>
            </w:pPr>
            <w:r>
              <w:t>171</w:t>
            </w:r>
          </w:p>
        </w:tc>
        <w:tc>
          <w:tcPr>
            <w:tcW w:w="0" w:type="auto"/>
          </w:tcPr>
          <w:p w14:paraId="1FFE7ACA" w14:textId="0751DF25" w:rsidR="002F5D85" w:rsidRDefault="002F5D85" w:rsidP="002023F5">
            <w:pPr>
              <w:pStyle w:val="Tabletext"/>
              <w:jc w:val="right"/>
            </w:pPr>
            <w:r>
              <w:t>252</w:t>
            </w:r>
          </w:p>
        </w:tc>
      </w:tr>
      <w:tr w:rsidR="002F5D85" w14:paraId="2AAD9108" w14:textId="00B959C6" w:rsidTr="00127B53">
        <w:tc>
          <w:tcPr>
            <w:tcW w:w="0" w:type="auto"/>
          </w:tcPr>
          <w:p w14:paraId="2CAEDE70" w14:textId="77777777" w:rsidR="002F5D85" w:rsidRDefault="002F5D85" w:rsidP="00405503">
            <w:pPr>
              <w:pStyle w:val="Tabletext"/>
            </w:pPr>
            <w:r>
              <w:t>None</w:t>
            </w:r>
          </w:p>
        </w:tc>
        <w:tc>
          <w:tcPr>
            <w:tcW w:w="0" w:type="auto"/>
          </w:tcPr>
          <w:p w14:paraId="4B983EC9" w14:textId="400C4480" w:rsidR="002F5D85" w:rsidRDefault="002F5D85" w:rsidP="002023F5">
            <w:pPr>
              <w:pStyle w:val="Tabletext"/>
              <w:spacing w:after="160"/>
              <w:jc w:val="right"/>
            </w:pPr>
            <w:r>
              <w:t>5,605</w:t>
            </w:r>
          </w:p>
        </w:tc>
        <w:tc>
          <w:tcPr>
            <w:tcW w:w="0" w:type="auto"/>
          </w:tcPr>
          <w:p w14:paraId="11C1BFA7" w14:textId="76A8AD46" w:rsidR="002F5D85" w:rsidRDefault="002F5D85" w:rsidP="002023F5">
            <w:pPr>
              <w:pStyle w:val="Tabletext"/>
              <w:spacing w:after="160"/>
              <w:jc w:val="right"/>
            </w:pPr>
            <w:r>
              <w:t>18,496</w:t>
            </w:r>
          </w:p>
        </w:tc>
        <w:tc>
          <w:tcPr>
            <w:tcW w:w="0" w:type="auto"/>
          </w:tcPr>
          <w:p w14:paraId="61B5B1DB" w14:textId="113F0EFC" w:rsidR="002F5D85" w:rsidRDefault="002F5D85" w:rsidP="002023F5">
            <w:pPr>
              <w:pStyle w:val="Tabletext"/>
              <w:spacing w:after="160"/>
              <w:jc w:val="right"/>
            </w:pPr>
            <w:r>
              <w:t>24,101</w:t>
            </w:r>
          </w:p>
        </w:tc>
      </w:tr>
    </w:tbl>
    <w:p w14:paraId="5FA1A031" w14:textId="2047BE89" w:rsidR="008D0432" w:rsidRDefault="008D0432" w:rsidP="008D0432">
      <w:r>
        <w:t xml:space="preserve">To explore patterns in households that experienced temperature-related morbidity </w:t>
      </w:r>
      <w:r w:rsidR="00637DFD">
        <w:t>we</w:t>
      </w:r>
      <w:r>
        <w:t xml:space="preserve"> </w:t>
      </w:r>
      <w:r w:rsidR="00FF282D">
        <w:t>narrowed</w:t>
      </w:r>
      <w:r>
        <w:t xml:space="preserve"> the over 750 household characteristics described in the RECS dataset to </w:t>
      </w:r>
      <w:r w:rsidR="006C61B1">
        <w:t xml:space="preserve">approximately </w:t>
      </w:r>
      <w:r w:rsidR="00C91C85">
        <w:t>3</w:t>
      </w:r>
      <w:r w:rsidR="006C61B1">
        <w:t xml:space="preserve">0 </w:t>
      </w:r>
      <w:r>
        <w:t>related to</w:t>
      </w:r>
      <w:r w:rsidR="00C87584">
        <w:t xml:space="preserve"> either vulnerability or exposure to extreme temperature</w:t>
      </w:r>
      <w:r>
        <w:t xml:space="preserve">. These variables </w:t>
      </w:r>
      <w:r w:rsidR="000927BB">
        <w:t>fall under</w:t>
      </w:r>
      <w:r>
        <w:t xml:space="preserve"> </w:t>
      </w:r>
      <w:r w:rsidR="00C87584">
        <w:t>5</w:t>
      </w:r>
      <w:r>
        <w:t xml:space="preserve"> categories: climate, demographic, building construction, building envelope, and building HVAC</w:t>
      </w:r>
      <w:r w:rsidR="009A532E">
        <w:t>. We describe these building and household characteristics in the subsequent sections</w:t>
      </w:r>
      <w:r w:rsidR="000927BB">
        <w:t>.</w:t>
      </w:r>
      <w:r w:rsidR="009A532E">
        <w:t xml:space="preserve"> </w:t>
      </w:r>
      <w:r w:rsidR="009A532E">
        <w:fldChar w:fldCharType="begin"/>
      </w:r>
      <w:r w:rsidR="009A532E">
        <w:instrText xml:space="preserve"> REF _Ref80686156 \h </w:instrText>
      </w:r>
      <w:r w:rsidR="00000000">
        <w:fldChar w:fldCharType="separate"/>
      </w:r>
      <w:r w:rsidR="009A532E">
        <w:fldChar w:fldCharType="end"/>
      </w:r>
      <w:r w:rsidR="009A532E">
        <w:fldChar w:fldCharType="begin"/>
      </w:r>
      <w:r w:rsidR="009A532E">
        <w:instrText xml:space="preserve"> REF _Ref77436719 \h </w:instrText>
      </w:r>
      <w:r w:rsidR="009A532E">
        <w:fldChar w:fldCharType="separate"/>
      </w:r>
      <w:r w:rsidR="009A532E">
        <w:t xml:space="preserve">Table </w:t>
      </w:r>
      <w:r w:rsidR="009A532E">
        <w:rPr>
          <w:noProof/>
        </w:rPr>
        <w:t>2</w:t>
      </w:r>
      <w:r w:rsidR="009A532E">
        <w:fldChar w:fldCharType="end"/>
      </w:r>
      <w:r w:rsidR="009A532E">
        <w:t xml:space="preserve"> provides an overall summary</w:t>
      </w:r>
      <w:r w:rsidR="00D00B11">
        <w:t xml:space="preserve"> of all input variables</w:t>
      </w:r>
      <w:r w:rsidR="009A532E">
        <w:t>.</w:t>
      </w:r>
      <w:r w:rsidR="00EF347C">
        <w:t xml:space="preserve"> </w:t>
      </w:r>
    </w:p>
    <w:p w14:paraId="30F64462" w14:textId="096F5F26" w:rsidR="009A532E" w:rsidRDefault="009A532E" w:rsidP="009A532E">
      <w:pPr>
        <w:pStyle w:val="Heading3List"/>
      </w:pPr>
      <w:r>
        <w:t>Climate</w:t>
      </w:r>
    </w:p>
    <w:p w14:paraId="568B7228" w14:textId="74DD5730" w:rsidR="008D0432" w:rsidRDefault="00232F02" w:rsidP="008D0432">
      <w:r>
        <w:t>Ground s</w:t>
      </w:r>
      <w:r w:rsidR="008D0432">
        <w:t xml:space="preserve">urface temperature is a climatic variable often reported in HVI </w:t>
      </w:r>
      <w:r w:rsidR="008D0432">
        <w:fldChar w:fldCharType="begin"/>
      </w:r>
      <w:r w:rsidR="00351C61">
        <w:instrText xml:space="preserve"> ADDIN ZOTERO_ITEM CSL_CITATION {"citationID":"yRxRxk9H","properties":{"formattedCitation":"(Uejio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rsidR="008D0432">
        <w:fldChar w:fldCharType="separate"/>
      </w:r>
      <w:r w:rsidR="008D0432" w:rsidRPr="00361DAE">
        <w:t>(Uejio et al. 2011)</w:t>
      </w:r>
      <w:r w:rsidR="008D0432">
        <w:fldChar w:fldCharType="end"/>
      </w:r>
      <w:r w:rsidR="008D0432">
        <w:t xml:space="preserve">, because it represents </w:t>
      </w:r>
      <w:r w:rsidR="00392DD7">
        <w:t xml:space="preserve">local </w:t>
      </w:r>
      <w:r w:rsidR="008D0432">
        <w:t xml:space="preserve">exposure to high temperatures. Due to the EIA’s objective to forecast energy demand, climatic variables in RECS are oriented towards HVAC system </w:t>
      </w:r>
      <w:r w:rsidR="000516FC">
        <w:t>operation</w:t>
      </w:r>
      <w:r w:rsidR="008D0432">
        <w:t>, such as cooling and heating degree-days</w:t>
      </w:r>
      <w:r w:rsidR="00323243">
        <w:t xml:space="preserve">, </w:t>
      </w:r>
      <w:r w:rsidR="008D0432">
        <w:t>cooling and heating design-temperature</w:t>
      </w:r>
      <w:r w:rsidR="00323243">
        <w:t xml:space="preserve">, and climate zone. </w:t>
      </w:r>
    </w:p>
    <w:p w14:paraId="62DE423B" w14:textId="4542BE69" w:rsidR="009A532E" w:rsidRDefault="009A532E" w:rsidP="009A532E">
      <w:pPr>
        <w:pStyle w:val="Heading3List"/>
      </w:pPr>
      <w:r>
        <w:t>Demographic</w:t>
      </w:r>
    </w:p>
    <w:p w14:paraId="3EA75A1F" w14:textId="57B5703C" w:rsidR="008D0432" w:rsidRDefault="008D0432" w:rsidP="008D0432">
      <w:r>
        <w:t xml:space="preserve">Many epidemiological studies have investigated the relationship between </w:t>
      </w:r>
      <w:r w:rsidR="009C5340">
        <w:t xml:space="preserve">different </w:t>
      </w:r>
      <w:r>
        <w:t xml:space="preserve">demographic and socioeconomic variables on heat-related mortality. Several studies identify elderly age as a vulnerability factor, but there is some ambiguity around the cut-off for higher risk: 60, 65, 70, or 75 </w:t>
      </w:r>
      <w:r>
        <w:fldChar w:fldCharType="begin"/>
      </w:r>
      <w:r w:rsidR="00351C61">
        <w:instrText xml:space="preserve"> ADDIN ZOTERO_ITEM CSL_CITATION {"citationID":"8RzoNcdN","properties":{"formattedCitation":"(Applegate et al. 1981; O\\uc0\\u8217{}Neill, Zanobetti, and Schwartz 2003; Ballester et al. 1997; Centers for Disease Control and Prevention (CDC) 1995; Conti et al. 2005)","plainCitation":"(Applegate et al. 1981; O’Neill, Zanobetti, and Schwartz 2003; Ballester et al. 1997; Centers for Disease Control and Prevention (CDC) 1995; Conti et al. 2005)","noteIndex":0},"citationItems":[{"id":373,"uris":["http://zotero.org/users/4259226/items/LCCSZ8II",["http://zotero.org/users/4259226/items/LCCSZ8II"]],"itemData":{"id":373,"type":"article-journal","abstract":"During the heat wave of 1980, average daily temperatures in Memphis first rose above the mean on June 25 and remained elevated for 26 consecutive days. In July 1980, 83 heat-related deaths were recorded as compared to none in July 1979. Most of these deaths occurred in elderly, poor, black, inner-city residents. There was a statistically significant increase in total mortality rates, deaths from natural causes, cardiovascular mortality rates, and the rate for persons dead on arrival. Virtually all the excess mortality was in persons over the age of 60. The rise in heat-related emergency room visits occurred three days prior to the rise in heat-related deaths. Local planning for future heat waves should focus on the inner-city black elderly. Heat-related deaths and emergency room visits should be reported to public health officials.","container-title":"Journal of the American Geriatrics Society","DOI":"10.1111/j.1532-5415.1981.tb01238.x","ISSN":"1532-5415","issue":"8","language":"en","note":"_eprint: https://agsjournals.onlinelibrary.wiley.com/doi/pdf/10.1111/j.1532-5415.1981.tb01238.x","page":"337-342","source":"Wiley Online Library","title":"Analysis of the 1980 Heat Wave in Memphis*","URL":"https://agsjournals.onlinelibrary.wiley.com/doi/abs/10.1111/j.1532-5415.1981.tb01238.x","volume":"29","author":[{"family":"Applegate","given":"William B."},{"family":"Runyan","given":"John W."},{"family":"Brasfield","given":"Linda"},{"family":"Williams","given":"Mary Lynn"},{"family":"Konigsberg","given":"Charles"},{"family":"Fouche","given":"Cheryl"}],"accessed":{"date-parts":[["2021",8,1]]},"issued":{"date-parts":[["1981"]]}}},{"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372,"uris":["http://zotero.org/users/4259226/items/6G4WMSGQ",["http://zotero.org/users/4259226/items/6G4WMSGQ"]],"itemData":{"id":372,"type":"article-journal","abstract":"BACKGROUND: Increased mortality is associated with both very low and very high ambient temperatures. This study assesses the relationship between daily numbers of deaths and variations in ambient temperature within the city of Valencia. METHODS: The daily number of deaths from all causes (total deaths and only those occurring in people aged over 70), as well as those deaths from specific causes (e.g. cardiovascular and respiratory diseases, malignant tumours and all causes except external ones) occurring within the city of Valencia were related to the average daily temperature using autoregressive Poisson regression controlling for seasonality, day of the week, holidays, air pollution, influenza incidence, and humidity. Temperature was measured within the regression model as two complementary variables: 'Heat' and 'Cold'; also taken into account were their delayed effects up to 2 weeks after measurement. RESULTS: Graphical analysis revealed a relationship between temperature and mortality according to the time of year. For the cooler months (November-April), the temperature at which mortality was lowest was the 'minimum' (i.e. around 15 degrees C), while for the warmer months (May-October), it occurred at around 24 degrees C. Because of this, a stratified analysis was undertaken with different values for the 'Heat' and 'Cold' variables according to which of the two seasons was involved. During the colder months of the year, higher temperatures tended to exert a rapid influence on mortality and the lower temperatures a more delayed relation. During the hot season it is the heat variable which more clearly manifests an effect, and this is prolonged over the two following weeks. Variations also occur according to age and cause of death. The effect of temperature is greater in persons aged over 70 years of age, and it is also greater in cases of circulatory and respiratory diseases. CONCLUSIONS: A statistically significant association has been found between temperature and mortality. This relationship is not monotonic, but mortality increases in proportion to the variance in ambient temperature from a range of temperatures that varies from winter to summer.","container-title":"International Journal of Epidemiology","DOI":"10.1093/ije/26.3.551","ISSN":"0300-5771","issue":"3","journalAbbreviation":"International Journal of Epidemiology","page":"551-561","source":"Silverchair","title":"Mortality as a function of temperature. A study in Valencia, Spain, 1991-1993.","URL":"https://doi.org/10.1093/ije/26.3.551","volume":"26","author":[{"family":"Ballester","given":"F"},{"family":"Corella","given":"D"},{"family":"Pérez-Hoyos","given":"S"},{"family":"Sáez","given":"M"},{"family":"Hervás","given":"A"}],"accessed":{"date-parts":[["2021",8,1]]},"issued":{"date-parts":[["1997",6,1]]}}},{"id":371,"uris":["http://zotero.org/users/4259226/items/QSVHVIHC",["http://zotero.org/users/4259226/items/QSVHVIHC"]],"itemData":{"id":371,"type":"article-journal","abstract":"During July 12-16, 1995, Chicago experienced unusually high maximum daily temperatures, ranging from 93 F to 104 F (33.9 C to 40.0 C). On July 13, the heat index peaked at 119 F (48.3 C)--a record high for the city. This report describes the heat-related deaths reported by the Cook County Medical Examiner's Office (CCMEO) during this heat wave.","container-title":"MMWR. Morbidity and mortality weekly report","ISSN":"0149-2195","issue":"31","journalAbbreviation":"MMWR Morb Mortal Wkly Rep","language":"eng","note":"PMID: 7623759","page":"577-579","source":"PubMed","title":"Heat-related mortality--Chicago, July 1995","volume":"44","author":[{"literal":"Centers for Disease Control and Prevention (CDC)"}],"issued":{"date-parts":[["1995",8,11]]}}},{"id":370,"uris":["http://zotero.org/users/4259226/items/NKN3XVZ3",["http://zotero.org/users/4259226/items/NKN3XVZ3"]],"itemData":{"id":370,"type":"article-journal","abstract":"Introduction: It is widely recognized that extreme climatic conditions during summer months may constitute a major public health threat. Owing to what is called the “urban heat island effect,” as well as to the consequences of heat waves on health, individuals living in cities have an elevated risk of death when temperature and humidity are high compared to those living in suburban and rural areas. Studies on heat wave-related mortality have further demonstrated that the greatest increases in mortality occur in the elderly. Following the unusually hot summer of 2003 and the dramatic news from neighboring countries such as France, the Italian Minister of Health requested the Istituto Superiore di Sanità-Bureau of Statistics to undertake an epidemiologic study of mortality in Italy during Summer 2003 to investigate whether there had been an excess of deaths, with a particular focus on the elderly population. Materials and methods: Communal offices, which maintain vital statistics, were asked for the individual records of death of residents registered daily during the period 1 June–31 August 2003 and during the same period of 2002 for each of the 21 capitals of the Italian regions. As it was necessary to obtain mortality data quickly from many municipalities and to make the analysis as soon as possible, the method adopted was comparison of mortality counts during the heat wave with figures observed during the same period of the previous year. Results: Compared with 2002, between 1 June and 31 August 2003, there was an overall increase in mortality of 3134 (from 20,564 to 23,698). The greatest increase was among the elderly; 2876 deaths (92%) occurred among people aged 75 years and older, a more than one-fifth increase (21.3%, from 13.517 to 16.393%). The highest increases were observed in the northwestern cities, which are generally characterized by cold weather, and in individuals 75 years and older: Turin (44.9%), Trento (35.2%), Milan (30.6%), and Genoa (22.2%). Of note are also the increases observed in two southern cities, L’Aquila (24.7%) and Potenza (25.4%), which are located, respectively, at 700 and 800m above see level. For Bari and Campobasso, both in the South, with a typically hot summer climate, the increase during the last 15 days of August was 186.2 and 450%, respectively. Conclusions: The relationship between mortality and discomfort due to climatic conditions as well as the short lag time give a clear public health message: preventive, social, and health care actions must be administered to the elderly and the frail to avoid excess deaths during heat waves.","container-title":"Environmental Research","DOI":"10.1016/j.envres.2004.10.009","ISSN":"0013-9351","issue":"3","journalAbbreviation":"Environmental Research","language":"en","page":"390-399","source":"ScienceDirect","title":"Epidemiologic study of mortality during the Summer 2003 heat wave in Italy","URL":"https://www.sciencedirect.com/science/article/pii/S0013935104002154","volume":"98","author":[{"family":"Conti","given":"Susanna"},{"family":"Meli","given":"Paola"},{"family":"Minelli","given":"Giada"},{"family":"Solimini","given":"Renata"},{"family":"Toccaceli","given":"Virgilia"},{"family":"Vichi","given":"Monica"},{"family":"Beltrano","given":"Carmen"},{"family":"Perini","given":"Luigi"}],"accessed":{"date-parts":[["2021",8,1]]},"issued":{"date-parts":[["2005",7,1]]}}}],"schema":"https://github.com/citation-style-language/schema/raw/master/csl-citation.json"} </w:instrText>
      </w:r>
      <w:r>
        <w:fldChar w:fldCharType="separate"/>
      </w:r>
      <w:r w:rsidRPr="00F070A1">
        <w:rPr>
          <w:rFonts w:cs="Times New Roman"/>
          <w:szCs w:val="24"/>
        </w:rPr>
        <w:t>(Applegate et al. 1981; O’Neill, Zanobetti, and Schwartz 2003; Ballester et al. 1997; Centers for Disease Control and Prevention (CDC) 1995; Conti et al. 2005)</w:t>
      </w:r>
      <w:r>
        <w:fldChar w:fldCharType="end"/>
      </w:r>
      <w:r>
        <w:t xml:space="preserve">. The elderly may be more likely to have co-morbidities and take medication that affect thermoregulation. They also may have limited mobility to access cooling centers or limit AC usage due to fixed income. Several studies also suggest a link between income and heat-related mortality as measured by poverty </w:t>
      </w:r>
      <w:r>
        <w:fldChar w:fldCharType="begin"/>
      </w:r>
      <w:r w:rsidR="00351C61">
        <w:instrText xml:space="preserve"> ADDIN ZOTERO_ITEM CSL_CITATION {"citationID":"HLxDcLqi","properties":{"formattedCitation":"(Naughton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(Naughton et al. 2002; Curriero et al. 2002)</w:t>
      </w:r>
      <w:r>
        <w:fldChar w:fldCharType="end"/>
      </w:r>
      <w:r>
        <w:t xml:space="preserve">, unemployment </w:t>
      </w:r>
      <w:r>
        <w:fldChar w:fldCharType="begin"/>
      </w:r>
      <w:r w:rsidR="00351C61">
        <w:instrText xml:space="preserve"> ADDIN ZOTERO_ITEM CSL_CITATION {"citationID":"0e0nM4XE","properties":{"formattedCitation":"(Nayak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105930">
        <w:t>(Nayak et al. 2018)</w:t>
      </w:r>
      <w:r>
        <w:fldChar w:fldCharType="end"/>
      </w:r>
      <w:r>
        <w:t xml:space="preserve">, renter status </w:t>
      </w:r>
      <w:r>
        <w:fldChar w:fldCharType="begin"/>
      </w:r>
      <w:r w:rsidR="00351C61">
        <w:instrText xml:space="preserve"> ADDIN ZOTERO_ITEM CSL_CITATION {"citationID":"6YGmhClx","properties":{"formattedCitation":"(Uejio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(Uejio et al. 2011; Wright et al. 2020)</w:t>
      </w:r>
      <w:r>
        <w:fldChar w:fldCharType="end"/>
      </w:r>
      <w:r>
        <w:t xml:space="preserve">, and utility payment </w:t>
      </w:r>
      <w:r>
        <w:fldChar w:fldCharType="begin"/>
      </w:r>
      <w:r w:rsidR="00351C61">
        <w:instrText xml:space="preserve"> ADDIN ZOTERO_ITEM CSL_CITATION {"citationID":"0CZXFn6A","properties":{"formattedCitation":"(Wright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943853">
        <w:t>(Wright et al. 2020)</w:t>
      </w:r>
      <w:r>
        <w:fldChar w:fldCharType="end"/>
      </w:r>
      <w:r>
        <w:t xml:space="preserve">. </w:t>
      </w:r>
      <w:proofErr w:type="spellStart"/>
      <w:r>
        <w:t>Klinenberg’s</w:t>
      </w:r>
      <w:proofErr w:type="spellEnd"/>
      <w:r>
        <w:t xml:space="preserve"> sociological analysis of the 1995 Chicago heat wave found a higher risk of death in individuals with limited social connections such as </w:t>
      </w:r>
      <w:r w:rsidR="009C5340">
        <w:t xml:space="preserve">those </w:t>
      </w:r>
      <w:r>
        <w:t xml:space="preserve">living alone </w:t>
      </w:r>
      <w:r>
        <w:fldChar w:fldCharType="begin"/>
      </w:r>
      <w:r w:rsidR="00351C61">
        <w:instrText xml:space="preserve"> ADDIN ZOTERO_ITEM CSL_CITATION {"citationID":"0QJPraa3","properties":{"formattedCitation":"(Klinenberg 2015)","plainCitation":"(Klinenberg 2015)","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wave","author":[{"family":"Klinenberg","given":"Eric"}],"issued":{"date-parts":[["2015"]]}}}],"schema":"https://github.com/citation-style-language/schema/raw/master/csl-citation.json"} </w:instrText>
      </w:r>
      <w:r>
        <w:fldChar w:fldCharType="separate"/>
      </w:r>
      <w:r w:rsidRPr="00BA4B6C">
        <w:t>(Klinenberg 2015)</w:t>
      </w:r>
      <w:r>
        <w:fldChar w:fldCharType="end"/>
      </w:r>
      <w:r>
        <w:t xml:space="preserve">. </w:t>
      </w:r>
      <w:r w:rsidR="009C5340">
        <w:t xml:space="preserve">These individuals may be at higher risk of not being checked on regularly during a heat emergency. </w:t>
      </w:r>
      <w:r>
        <w:t xml:space="preserve">On the other hand large households (7+ members) may have elevated heat mortality risk </w:t>
      </w:r>
      <w:r>
        <w:fldChar w:fldCharType="begin"/>
      </w:r>
      <w:r w:rsidR="00351C61">
        <w:instrText xml:space="preserve"> ADDIN ZOTERO_ITEM CSL_CITATION {"citationID":"HTeHEhXL","properties":{"formattedCitation":"(Uejio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ED7B70">
        <w:t>(Uejio et al. 2011)</w:t>
      </w:r>
      <w:r>
        <w:fldChar w:fldCharType="end"/>
      </w:r>
      <w:r>
        <w:t xml:space="preserve">. The impact of race and ethnicity  on heat-related mortality is mixed, with some studies finding a higher risk for African Americans or non-white racial and ethnic groups </w:t>
      </w:r>
      <w:r>
        <w:fldChar w:fldCharType="begin"/>
      </w:r>
      <w:r w:rsidR="00351C61">
        <w:instrText xml:space="preserve"> ADDIN ZOTERO_ITEM CSL_CITATION {"citationID":"4d3Hmcfy","properties":{"formattedCitation":"(O\\uc0\\u8217{}Neill, Zanobetti, and Schwartz 2005; Schwartz 2005)","plainCitation":"(O’Neill, Zanobetti, and Schwartz 2005;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366,"uris":["http://zotero.org/users/4259226/items/6IAGCLCN",["http://zotero.org/users/4259226/items/6IAGCLCN"]],"itemData":{"id":366,"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URL":"https://www.jstor.org/stable/20486001","volume":"16","author":[{"family":"Schwartz","given":"Joel"}],"accessed":{"date-parts":[["2021",8,1]]},"issued":{"date-parts":[["2005"]]}}}],"schema":"https://github.com/citation-style-language/schema/raw/master/csl-citation.json"} </w:instrText>
      </w:r>
      <w:r>
        <w:fldChar w:fldCharType="separate"/>
      </w:r>
      <w:r w:rsidRPr="003C7E3B">
        <w:rPr>
          <w:rFonts w:cs="Times New Roman"/>
          <w:szCs w:val="24"/>
        </w:rPr>
        <w:t>(O’Neill, Zanobetti, and Schwartz 2005; Schwartz 2005)</w:t>
      </w:r>
      <w:r>
        <w:fldChar w:fldCharType="end"/>
      </w:r>
      <w:r>
        <w:t xml:space="preserve">. </w:t>
      </w:r>
    </w:p>
    <w:p w14:paraId="096D1721" w14:textId="77777777" w:rsidR="00EE070C" w:rsidRDefault="00EE070C">
      <w:pPr>
        <w:rPr>
          <w:sz w:val="18"/>
          <w:szCs w:val="18"/>
        </w:rPr>
      </w:pPr>
      <w:bookmarkStart w:id="2" w:name="_Ref77436719"/>
      <w:r>
        <w:br w:type="page"/>
      </w:r>
    </w:p>
    <w:p w14:paraId="28208B7C" w14:textId="58928E61" w:rsidR="00EE070C" w:rsidRDefault="00EE070C" w:rsidP="00EE070C">
      <w:pPr>
        <w:pStyle w:val="Tablecaption"/>
      </w:pPr>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2"/>
      <w:r>
        <w:t>. Summary of household characteristics derived from the RECS dataset relevant to the household’s vulnerability or exposure to extreme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533"/>
        <w:gridCol w:w="3023"/>
        <w:gridCol w:w="643"/>
        <w:gridCol w:w="924"/>
        <w:gridCol w:w="1908"/>
      </w:tblGrid>
      <w:tr w:rsidR="00EE070C" w14:paraId="09992093" w14:textId="77777777" w:rsidTr="00492F08">
        <w:trPr>
          <w:tblHeader/>
        </w:trPr>
        <w:tc>
          <w:tcPr>
            <w:tcW w:w="0" w:type="auto"/>
            <w:tcBorders>
              <w:top w:val="single" w:sz="4" w:space="0" w:color="DBDBDB" w:themeColor="accent3" w:themeTint="66"/>
              <w:bottom w:val="single" w:sz="4" w:space="0" w:color="DBDBDB" w:themeColor="accent3" w:themeTint="66"/>
            </w:tcBorders>
            <w:shd w:val="clear" w:color="auto" w:fill="auto"/>
          </w:tcPr>
          <w:p w14:paraId="0393E4C0" w14:textId="77777777" w:rsidR="00EE070C" w:rsidRPr="008C1A4F" w:rsidRDefault="00EE070C" w:rsidP="00492F08">
            <w:pPr>
              <w:pStyle w:val="Tabletext"/>
              <w:rPr>
                <w:b/>
                <w:bCs/>
              </w:rPr>
            </w:pPr>
            <w:r w:rsidRPr="008C1A4F">
              <w:rPr>
                <w:b/>
                <w:bCs/>
              </w:rPr>
              <w:t>Category</w:t>
            </w:r>
          </w:p>
        </w:tc>
        <w:tc>
          <w:tcPr>
            <w:tcW w:w="0" w:type="auto"/>
            <w:tcBorders>
              <w:top w:val="single" w:sz="4" w:space="0" w:color="DBDBDB" w:themeColor="accent3" w:themeTint="66"/>
              <w:bottom w:val="single" w:sz="4" w:space="0" w:color="DBDBDB" w:themeColor="accent3" w:themeTint="66"/>
            </w:tcBorders>
            <w:shd w:val="clear" w:color="auto" w:fill="auto"/>
          </w:tcPr>
          <w:p w14:paraId="5BBB3EEA" w14:textId="77777777" w:rsidR="00EE070C" w:rsidRPr="008C1A4F" w:rsidRDefault="00EE070C" w:rsidP="00492F08">
            <w:pPr>
              <w:pStyle w:val="Tabletext"/>
              <w:rPr>
                <w:b/>
                <w:bCs/>
              </w:rPr>
            </w:pPr>
            <w:r>
              <w:rPr>
                <w:b/>
                <w:bCs/>
              </w:rPr>
              <w:t>Household characteristic</w:t>
            </w:r>
          </w:p>
        </w:tc>
        <w:tc>
          <w:tcPr>
            <w:tcW w:w="0" w:type="auto"/>
            <w:tcBorders>
              <w:top w:val="single" w:sz="4" w:space="0" w:color="DBDBDB" w:themeColor="accent3" w:themeTint="66"/>
              <w:bottom w:val="single" w:sz="4" w:space="0" w:color="DBDBDB" w:themeColor="accent3" w:themeTint="66"/>
            </w:tcBorders>
          </w:tcPr>
          <w:p w14:paraId="39697472" w14:textId="77777777" w:rsidR="00EE070C" w:rsidRDefault="00EE070C" w:rsidP="00492F08">
            <w:pPr>
              <w:pStyle w:val="Tabletext"/>
              <w:rPr>
                <w:b/>
                <w:bCs/>
              </w:rPr>
            </w:pPr>
            <w:r>
              <w:rPr>
                <w:b/>
                <w:bCs/>
              </w:rPr>
              <w:t>RECS dataset variable description</w:t>
            </w:r>
          </w:p>
        </w:tc>
        <w:tc>
          <w:tcPr>
            <w:tcW w:w="0" w:type="auto"/>
            <w:tcBorders>
              <w:top w:val="single" w:sz="4" w:space="0" w:color="DBDBDB" w:themeColor="accent3" w:themeTint="66"/>
              <w:bottom w:val="single" w:sz="4" w:space="0" w:color="DBDBDB" w:themeColor="accent3" w:themeTint="66"/>
            </w:tcBorders>
            <w:shd w:val="clear" w:color="auto" w:fill="auto"/>
          </w:tcPr>
          <w:p w14:paraId="1DA5004C" w14:textId="77777777" w:rsidR="00EE070C" w:rsidRPr="00365353" w:rsidRDefault="00EE070C" w:rsidP="00492F08">
            <w:pPr>
              <w:pStyle w:val="Tabletext"/>
              <w:jc w:val="center"/>
              <w:rPr>
                <w:b/>
                <w:bCs/>
                <w:vertAlign w:val="superscript"/>
              </w:rPr>
            </w:pPr>
            <w:r>
              <w:rPr>
                <w:b/>
                <w:bCs/>
              </w:rPr>
              <w:t xml:space="preserve">Type </w:t>
            </w:r>
            <w:r>
              <w:rPr>
                <w:b/>
                <w:bCs/>
                <w:vertAlign w:val="superscript"/>
              </w:rPr>
              <w:t>a</w:t>
            </w:r>
          </w:p>
        </w:tc>
        <w:tc>
          <w:tcPr>
            <w:tcW w:w="0" w:type="auto"/>
            <w:tcBorders>
              <w:top w:val="single" w:sz="4" w:space="0" w:color="DBDBDB" w:themeColor="accent3" w:themeTint="66"/>
              <w:bottom w:val="single" w:sz="4" w:space="0" w:color="DBDBDB" w:themeColor="accent3" w:themeTint="66"/>
            </w:tcBorders>
          </w:tcPr>
          <w:p w14:paraId="5E093701" w14:textId="77777777" w:rsidR="00EE070C" w:rsidRDefault="00EE070C" w:rsidP="00492F08">
            <w:pPr>
              <w:pStyle w:val="Tabletext"/>
              <w:jc w:val="center"/>
              <w:rPr>
                <w:b/>
                <w:bCs/>
              </w:rPr>
            </w:pPr>
            <w:r>
              <w:rPr>
                <w:b/>
                <w:bCs/>
              </w:rPr>
              <w:t>Baseline</w:t>
            </w:r>
          </w:p>
        </w:tc>
        <w:tc>
          <w:tcPr>
            <w:tcW w:w="0" w:type="auto"/>
            <w:tcBorders>
              <w:top w:val="single" w:sz="4" w:space="0" w:color="DBDBDB" w:themeColor="accent3" w:themeTint="66"/>
              <w:bottom w:val="single" w:sz="4" w:space="0" w:color="DBDBDB" w:themeColor="accent3" w:themeTint="66"/>
            </w:tcBorders>
          </w:tcPr>
          <w:p w14:paraId="22900193" w14:textId="77777777" w:rsidR="00EE070C" w:rsidRDefault="00EE070C" w:rsidP="00492F08">
            <w:pPr>
              <w:pStyle w:val="Tabletext"/>
              <w:rPr>
                <w:b/>
                <w:bCs/>
              </w:rPr>
            </w:pPr>
            <w:r>
              <w:rPr>
                <w:b/>
                <w:bCs/>
              </w:rPr>
              <w:t>Reference</w:t>
            </w:r>
          </w:p>
        </w:tc>
      </w:tr>
      <w:tr w:rsidR="00EE070C" w14:paraId="5E77ECF1" w14:textId="77777777" w:rsidTr="00492F08">
        <w:tc>
          <w:tcPr>
            <w:tcW w:w="0" w:type="auto"/>
            <w:vMerge w:val="restart"/>
          </w:tcPr>
          <w:p w14:paraId="52835568" w14:textId="77777777" w:rsidR="00EE070C" w:rsidRDefault="00EE070C" w:rsidP="00492F08">
            <w:pPr>
              <w:pStyle w:val="Tabletext"/>
            </w:pPr>
            <w:r>
              <w:t>Climate</w:t>
            </w:r>
          </w:p>
        </w:tc>
        <w:tc>
          <w:tcPr>
            <w:tcW w:w="0" w:type="auto"/>
          </w:tcPr>
          <w:p w14:paraId="137064DB" w14:textId="77777777" w:rsidR="00EE070C" w:rsidRPr="00841CA2" w:rsidRDefault="00EE070C" w:rsidP="00492F08">
            <w:pPr>
              <w:pStyle w:val="Tabletext"/>
            </w:pPr>
            <w:r>
              <w:t>Cooling design temperature</w:t>
            </w:r>
          </w:p>
        </w:tc>
        <w:tc>
          <w:tcPr>
            <w:tcW w:w="0" w:type="auto"/>
          </w:tcPr>
          <w:p w14:paraId="59D9D284" w14:textId="77777777" w:rsidR="00EE070C" w:rsidRDefault="00EE070C" w:rsidP="00492F08">
            <w:pPr>
              <w:pStyle w:val="Tabletext"/>
            </w:pPr>
            <w:r w:rsidRPr="008012A2">
              <w:t>Dry bulb design temperature</w:t>
            </w:r>
            <w:r>
              <w:t xml:space="preserve"> (F)</w:t>
            </w:r>
            <w:r w:rsidRPr="008012A2">
              <w:t xml:space="preserve"> expected to be exceeded 1% of the time</w:t>
            </w:r>
          </w:p>
        </w:tc>
        <w:tc>
          <w:tcPr>
            <w:tcW w:w="0" w:type="auto"/>
          </w:tcPr>
          <w:p w14:paraId="146DEB32" w14:textId="77777777" w:rsidR="00EE070C" w:rsidRDefault="00EE070C" w:rsidP="00492F08">
            <w:pPr>
              <w:pStyle w:val="Tabletext"/>
              <w:jc w:val="center"/>
            </w:pPr>
            <w:r>
              <w:t>N</w:t>
            </w:r>
          </w:p>
        </w:tc>
        <w:tc>
          <w:tcPr>
            <w:tcW w:w="0" w:type="auto"/>
          </w:tcPr>
          <w:p w14:paraId="57E49D74" w14:textId="77777777" w:rsidR="00EE070C" w:rsidRDefault="00EE070C" w:rsidP="00492F08">
            <w:pPr>
              <w:pStyle w:val="Tabletext"/>
              <w:jc w:val="center"/>
            </w:pPr>
            <w:r w:rsidRPr="00147319">
              <w:sym w:font="Wingdings" w:char="F0FC"/>
            </w:r>
          </w:p>
        </w:tc>
        <w:tc>
          <w:tcPr>
            <w:tcW w:w="0" w:type="auto"/>
          </w:tcPr>
          <w:p w14:paraId="78793F22" w14:textId="77777777" w:rsidR="00EE070C" w:rsidRDefault="00EE070C" w:rsidP="00492F08">
            <w:pPr>
              <w:pStyle w:val="Tabletext"/>
            </w:pPr>
            <w:r>
              <w:fldChar w:fldCharType="begin"/>
            </w:r>
            <w:r>
              <w:instrText xml:space="preserve"> ADDIN ZOTERO_ITEM CSL_CITATION {"citationID":"VhcU3bKG","properties":{"formattedCitation":"(Uejio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w:t>
            </w:r>
            <w:proofErr w:type="spellStart"/>
            <w:r w:rsidRPr="00C376FD">
              <w:t>Uejio</w:t>
            </w:r>
            <w:proofErr w:type="spellEnd"/>
            <w:r w:rsidRPr="00C376FD">
              <w:t xml:space="preserve"> et al. 2011)</w:t>
            </w:r>
            <w:r>
              <w:fldChar w:fldCharType="end"/>
            </w:r>
          </w:p>
        </w:tc>
      </w:tr>
      <w:tr w:rsidR="00EE070C" w14:paraId="7878010D" w14:textId="77777777" w:rsidTr="00492F08">
        <w:tc>
          <w:tcPr>
            <w:tcW w:w="0" w:type="auto"/>
            <w:vMerge/>
          </w:tcPr>
          <w:p w14:paraId="39C9C17A" w14:textId="77777777" w:rsidR="00EE070C" w:rsidRDefault="00EE070C" w:rsidP="00492F08">
            <w:pPr>
              <w:pStyle w:val="Tabletext"/>
            </w:pPr>
          </w:p>
        </w:tc>
        <w:tc>
          <w:tcPr>
            <w:tcW w:w="0" w:type="auto"/>
          </w:tcPr>
          <w:p w14:paraId="0C103CB1" w14:textId="77777777" w:rsidR="00EE070C" w:rsidRPr="008012A2" w:rsidRDefault="00EE070C" w:rsidP="00492F08">
            <w:pPr>
              <w:pStyle w:val="Tabletext"/>
            </w:pPr>
            <w:r>
              <w:t>Heating design temperature</w:t>
            </w:r>
          </w:p>
        </w:tc>
        <w:tc>
          <w:tcPr>
            <w:tcW w:w="0" w:type="auto"/>
          </w:tcPr>
          <w:p w14:paraId="65F4FDD5" w14:textId="77777777" w:rsidR="00EE070C" w:rsidRDefault="00EE070C" w:rsidP="00492F08">
            <w:pPr>
              <w:pStyle w:val="Tabletext"/>
            </w:pPr>
            <w:r w:rsidRPr="0029071F">
              <w:t>Dry bulb design temperature</w:t>
            </w:r>
            <w:r>
              <w:t xml:space="preserve"> (F) </w:t>
            </w:r>
            <w:r w:rsidRPr="0029071F">
              <w:t>expected to be exceeded 99% of the time</w:t>
            </w:r>
          </w:p>
        </w:tc>
        <w:tc>
          <w:tcPr>
            <w:tcW w:w="0" w:type="auto"/>
          </w:tcPr>
          <w:p w14:paraId="02BAC2AD" w14:textId="77777777" w:rsidR="00EE070C" w:rsidRDefault="00EE070C" w:rsidP="00492F08">
            <w:pPr>
              <w:pStyle w:val="Tabletext"/>
              <w:jc w:val="center"/>
            </w:pPr>
            <w:r>
              <w:t>N</w:t>
            </w:r>
          </w:p>
        </w:tc>
        <w:tc>
          <w:tcPr>
            <w:tcW w:w="0" w:type="auto"/>
          </w:tcPr>
          <w:p w14:paraId="51CB28B5" w14:textId="77777777" w:rsidR="00EE070C" w:rsidRDefault="00EE070C" w:rsidP="00492F08">
            <w:pPr>
              <w:pStyle w:val="Tabletext"/>
              <w:jc w:val="center"/>
            </w:pPr>
            <w:r w:rsidRPr="00147319">
              <w:sym w:font="Wingdings" w:char="F0FC"/>
            </w:r>
          </w:p>
        </w:tc>
        <w:tc>
          <w:tcPr>
            <w:tcW w:w="0" w:type="auto"/>
          </w:tcPr>
          <w:p w14:paraId="79E59AFE" w14:textId="77777777" w:rsidR="00EE070C" w:rsidRDefault="00EE070C" w:rsidP="00492F08">
            <w:pPr>
              <w:pStyle w:val="Tabletext"/>
            </w:pPr>
            <w:r>
              <w:fldChar w:fldCharType="begin"/>
            </w:r>
            <w:r>
              <w:instrText xml:space="preserve"> ADDIN ZOTERO_ITEM CSL_CITATION {"citationID":"fhBcMm1g","properties":{"formattedCitation":"(Uejio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C376FD">
              <w:t>(</w:t>
            </w:r>
            <w:proofErr w:type="spellStart"/>
            <w:r w:rsidRPr="00C376FD">
              <w:t>Uejio</w:t>
            </w:r>
            <w:proofErr w:type="spellEnd"/>
            <w:r w:rsidRPr="00C376FD">
              <w:t xml:space="preserve"> et al. 2011)</w:t>
            </w:r>
            <w:r>
              <w:fldChar w:fldCharType="end"/>
            </w:r>
          </w:p>
        </w:tc>
      </w:tr>
      <w:tr w:rsidR="00EE070C" w14:paraId="300EDEAC" w14:textId="77777777" w:rsidTr="00492F08">
        <w:tc>
          <w:tcPr>
            <w:tcW w:w="0" w:type="auto"/>
            <w:vMerge w:val="restart"/>
          </w:tcPr>
          <w:p w14:paraId="2ECD3673" w14:textId="77777777" w:rsidR="00EE070C" w:rsidRDefault="00EE070C" w:rsidP="00492F08">
            <w:pPr>
              <w:pStyle w:val="Tabletext"/>
            </w:pPr>
            <w:r>
              <w:t>Demographic</w:t>
            </w:r>
          </w:p>
        </w:tc>
        <w:tc>
          <w:tcPr>
            <w:tcW w:w="0" w:type="auto"/>
          </w:tcPr>
          <w:p w14:paraId="11AEB4D2" w14:textId="77777777" w:rsidR="00EE070C" w:rsidRPr="0029071F" w:rsidRDefault="00EE070C" w:rsidP="00492F08">
            <w:pPr>
              <w:pStyle w:val="Tabletext"/>
            </w:pPr>
            <w:r>
              <w:t>Non-white</w:t>
            </w:r>
          </w:p>
        </w:tc>
        <w:tc>
          <w:tcPr>
            <w:tcW w:w="0" w:type="auto"/>
          </w:tcPr>
          <w:p w14:paraId="765B8400" w14:textId="77777777" w:rsidR="00EE070C" w:rsidRDefault="00EE070C" w:rsidP="00492F08">
            <w:pPr>
              <w:pStyle w:val="Tabletext"/>
            </w:pPr>
            <w:r w:rsidRPr="00BD38AB">
              <w:t>Householder (respondent) ra</w:t>
            </w:r>
            <w:r>
              <w:t>ce is non-white, or ethnicity is of Spanish descent.</w:t>
            </w:r>
          </w:p>
        </w:tc>
        <w:tc>
          <w:tcPr>
            <w:tcW w:w="0" w:type="auto"/>
          </w:tcPr>
          <w:p w14:paraId="2FE3D82E" w14:textId="77777777" w:rsidR="00EE070C" w:rsidRDefault="00EE070C" w:rsidP="00492F08">
            <w:pPr>
              <w:pStyle w:val="Tabletext"/>
              <w:jc w:val="center"/>
            </w:pPr>
            <w:r>
              <w:t>B</w:t>
            </w:r>
          </w:p>
        </w:tc>
        <w:tc>
          <w:tcPr>
            <w:tcW w:w="0" w:type="auto"/>
          </w:tcPr>
          <w:p w14:paraId="52E93101" w14:textId="77777777" w:rsidR="00EE070C" w:rsidRDefault="00EE070C" w:rsidP="00492F08">
            <w:pPr>
              <w:pStyle w:val="Tabletext"/>
              <w:jc w:val="center"/>
            </w:pPr>
            <w:r w:rsidRPr="00147319">
              <w:sym w:font="Wingdings" w:char="F0FC"/>
            </w:r>
          </w:p>
        </w:tc>
        <w:tc>
          <w:tcPr>
            <w:tcW w:w="0" w:type="auto"/>
          </w:tcPr>
          <w:p w14:paraId="5709DA77" w14:textId="77777777" w:rsidR="00EE070C" w:rsidRDefault="00EE070C" w:rsidP="00492F08">
            <w:pPr>
              <w:pStyle w:val="Tabletext"/>
            </w:pPr>
            <w:r>
              <w:fldChar w:fldCharType="begin"/>
            </w:r>
            <w:r>
              <w:instrText xml:space="preserve"> ADDIN ZOTERO_ITEM CSL_CITATION {"citationID":"rfKtCJmL","properties":{"formattedCitation":"(Schwartz 2005)","plainCitation":"(Schwartz 2005)","noteIndex":0},"citationItems":[{"id":1452,"uris":["http://zotero.org/users/4259226/items/6IAGCLCN"],"uri":["http://zotero.org/users/4259226/items/6IAGCLCN"],"itemData":{"id":1452,"type":"article-journal","abstract":"Background: Extremes of temperature are well known to be associated with excess mortality. Less is known about the characteristics of persons that put them at higher risk, particularly the role of medical conditions. Methods: To investigate these effects, I used a case-only approach to analyze 160,062 deaths in Wayne County, Michigan, among persons who were 65 years of age or older, who were covered by Medicare, and who had a previous hospital admission for heart and lung disease. Using their unique Medicare identification number, I traced deaths through Medicare hospital admission records to identify primary and secondary diagnoses for all admissions before death. I investigated the role of diabetes, myocardial infarction, congestive heart failure, chronic obstructive pulmonary disease, and pneumonia as modifiers of the risk of dying on an extreme temperature day. Hot days were defined as those greater than the 99th percentile of all days and cold days as those less than the 1st percentile. I also examined the role of sex, age (85 years of age and older), and nonwhite race as modifiers. Results: I found that patients with diabetes had a higher risk of dying on hot days than other subjects (odds ratio = 1.17; 95% confidence interval = 1.04-1.32). Persons with chronic obstructive pulmonary disease had elevated risks of dying on cold days (1.19; 1.07-1.33). Nonwhites had greater risks on both hot (1.22; 1.09-1.37) and cold (1.25; 1.12-1.40) days, and women had elevated risks on cold days (1.14; 1.02-1.26). The other conditions conveyed no higher risks than average. Conclusions: Sociodemographic characteristics and medical conditions can increase the likelihood of death associated with temperature extremes.","container-title":"Epidemiology","ISSN":"1044-3983","issue":"1","note":"publisher: Lippincott Williams &amp; Wilkins","page":"67-72","source":"JSTOR","title":"Who Is Sensitive to Extremes of Temperature? A Case-Only Analysis","title-short":"Who Is Sensitive to Extremes of Temperature?","volume":"16","author":[{"family":"Schwartz","given":"Joel"}],"issued":{"date-parts":[["2005"]]}}}],"schema":"https://github.com/citation-style-language/schema/raw/master/csl-citation.json"} </w:instrText>
            </w:r>
            <w:r>
              <w:fldChar w:fldCharType="separate"/>
            </w:r>
            <w:r w:rsidRPr="00AA0DF6">
              <w:t>(Schwartz 2005)</w:t>
            </w:r>
            <w:r>
              <w:fldChar w:fldCharType="end"/>
            </w:r>
          </w:p>
        </w:tc>
      </w:tr>
      <w:tr w:rsidR="00EE070C" w14:paraId="6BA79457" w14:textId="77777777" w:rsidTr="00492F08">
        <w:tc>
          <w:tcPr>
            <w:tcW w:w="0" w:type="auto"/>
            <w:vMerge/>
          </w:tcPr>
          <w:p w14:paraId="45814559" w14:textId="77777777" w:rsidR="00EE070C" w:rsidRDefault="00EE070C" w:rsidP="00492F08">
            <w:pPr>
              <w:pStyle w:val="Tabletext"/>
            </w:pPr>
          </w:p>
        </w:tc>
        <w:tc>
          <w:tcPr>
            <w:tcW w:w="0" w:type="auto"/>
          </w:tcPr>
          <w:p w14:paraId="0B4E5182" w14:textId="77777777" w:rsidR="00EE070C" w:rsidRDefault="00EE070C" w:rsidP="00492F08">
            <w:pPr>
              <w:pStyle w:val="Tabletext"/>
            </w:pPr>
            <w:r>
              <w:t xml:space="preserve">Age </w:t>
            </w:r>
            <w:r w:rsidRPr="00F715F0">
              <w:rPr>
                <w:u w:val="single"/>
              </w:rPr>
              <w:t>&gt;</w:t>
            </w:r>
            <w:r>
              <w:t>65</w:t>
            </w:r>
          </w:p>
        </w:tc>
        <w:tc>
          <w:tcPr>
            <w:tcW w:w="0" w:type="auto"/>
          </w:tcPr>
          <w:p w14:paraId="5699AA76" w14:textId="77777777" w:rsidR="00EE070C" w:rsidRPr="00D83DA9" w:rsidRDefault="00EE070C" w:rsidP="00492F08">
            <w:pPr>
              <w:pStyle w:val="Tabletext"/>
            </w:pPr>
            <w:r>
              <w:t xml:space="preserve">Respondent or household member age is </w:t>
            </w:r>
            <w:r w:rsidRPr="00F715F0">
              <w:rPr>
                <w:u w:val="single"/>
              </w:rPr>
              <w:t>&gt;</w:t>
            </w:r>
            <w:r>
              <w:t xml:space="preserve">65 </w:t>
            </w:r>
          </w:p>
        </w:tc>
        <w:tc>
          <w:tcPr>
            <w:tcW w:w="0" w:type="auto"/>
          </w:tcPr>
          <w:p w14:paraId="602D6095" w14:textId="77777777" w:rsidR="00EE070C" w:rsidRDefault="00EE070C" w:rsidP="00492F08">
            <w:pPr>
              <w:pStyle w:val="Tabletext"/>
              <w:jc w:val="center"/>
            </w:pPr>
            <w:r>
              <w:t>B</w:t>
            </w:r>
          </w:p>
        </w:tc>
        <w:tc>
          <w:tcPr>
            <w:tcW w:w="0" w:type="auto"/>
          </w:tcPr>
          <w:p w14:paraId="47DF2DAA" w14:textId="77777777" w:rsidR="00EE070C" w:rsidRDefault="00EE070C" w:rsidP="00492F08">
            <w:pPr>
              <w:pStyle w:val="Tabletext"/>
              <w:jc w:val="center"/>
            </w:pPr>
            <w:r w:rsidRPr="00147319">
              <w:sym w:font="Wingdings" w:char="F0FC"/>
            </w:r>
          </w:p>
        </w:tc>
        <w:tc>
          <w:tcPr>
            <w:tcW w:w="0" w:type="auto"/>
          </w:tcPr>
          <w:p w14:paraId="57E79E0F" w14:textId="77777777" w:rsidR="00EE070C" w:rsidRDefault="00EE070C" w:rsidP="00492F08">
            <w:pPr>
              <w:pStyle w:val="Tabletext"/>
            </w:pPr>
            <w:r>
              <w:fldChar w:fldCharType="begin"/>
            </w:r>
            <w:r>
              <w:instrText xml:space="preserve"> ADDIN ZOTERO_ITEM CSL_CITATION {"citationID":"CweXM1lx","properties":{"formattedCitation":"(O\\uc0\\u8217{}Neill, Zanobetti, and Schwartz 2003; Medina et al. 2006)","plainCitation":"(O’Neill, Zanobetti, and Schwartz 2003; Medina et al. 2006)","noteIndex":0},"citationItems":[{"id":374,"uris":["http://zotero.org/users/4259226/items/78CT7XF6",["http://zotero.org/users/4259226/items/78CT7XF6"]],"itemData":{"id":374,"type":"article-journal","abstract":"This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Cities","URL":"https://doi.org/10.1093/aje/kwg096","volume":"157","author":[{"family":"O’Neill","given":"Marie S."},{"family":"Zanobetti","given":"Antonella"},{"family":"Schwartz","given":"Joel"}],"accessed":{"date-parts":[["2021",8,1]]},"issued":{"date-parts":[["2003",6,15]]}}},{"id":368,"uris":["http://zotero.org/users/4259226/items/EJXJJYBX",["http://zotero.org/users/4259226/items/EJXJJYBX"]],"itemData":{"id":368,"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Mortality","URL":"https://ehp.niehs.nih.gov/doi/full/10.1289/ehp.9074","volume":"114","author":[{"family":"Medina","given":"-Ramón Mercedes"},{"family":"Zanobetti","given":"Antonella"},{"family":"Cavanagh","given":"David Paul"},{"family":"Schwartz","given":"Joel"}],"accessed":{"date-parts":[["2021",8,1]]},"issued":{"date-parts":[["2006",9,1]]}}}],"schema":"https://github.com/citation-style-language/schema/raw/master/csl-citation.json"} </w:instrText>
            </w:r>
            <w:r>
              <w:fldChar w:fldCharType="separate"/>
            </w:r>
            <w:r w:rsidRPr="0071295B">
              <w:rPr>
                <w:rFonts w:cs="Times New Roman"/>
                <w:szCs w:val="24"/>
              </w:rPr>
              <w:t xml:space="preserve">(O’Neill, </w:t>
            </w:r>
            <w:proofErr w:type="spellStart"/>
            <w:r w:rsidRPr="0071295B">
              <w:rPr>
                <w:rFonts w:cs="Times New Roman"/>
                <w:szCs w:val="24"/>
              </w:rPr>
              <w:t>Zanobetti</w:t>
            </w:r>
            <w:proofErr w:type="spellEnd"/>
            <w:r w:rsidRPr="0071295B">
              <w:rPr>
                <w:rFonts w:cs="Times New Roman"/>
                <w:szCs w:val="24"/>
              </w:rPr>
              <w:t>, and Schwartz 2003; Medina et al. 2006)</w:t>
            </w:r>
            <w:r>
              <w:fldChar w:fldCharType="end"/>
            </w:r>
          </w:p>
        </w:tc>
      </w:tr>
      <w:tr w:rsidR="00EE070C" w14:paraId="0A9086C7" w14:textId="77777777" w:rsidTr="00492F08">
        <w:tc>
          <w:tcPr>
            <w:tcW w:w="0" w:type="auto"/>
            <w:vMerge/>
          </w:tcPr>
          <w:p w14:paraId="16F2C738" w14:textId="77777777" w:rsidR="00EE070C" w:rsidRDefault="00EE070C" w:rsidP="00492F08">
            <w:pPr>
              <w:pStyle w:val="Tabletext"/>
            </w:pPr>
          </w:p>
        </w:tc>
        <w:tc>
          <w:tcPr>
            <w:tcW w:w="0" w:type="auto"/>
          </w:tcPr>
          <w:p w14:paraId="7AD15B53" w14:textId="77777777" w:rsidR="00EE070C" w:rsidRDefault="00EE070C" w:rsidP="00492F08">
            <w:pPr>
              <w:pStyle w:val="Tabletext"/>
            </w:pPr>
            <w:r>
              <w:t>Lives alone</w:t>
            </w:r>
          </w:p>
        </w:tc>
        <w:tc>
          <w:tcPr>
            <w:tcW w:w="0" w:type="auto"/>
          </w:tcPr>
          <w:p w14:paraId="4CA970E5" w14:textId="77777777" w:rsidR="00EE070C" w:rsidRPr="003378FF" w:rsidRDefault="00EE070C" w:rsidP="00492F08">
            <w:pPr>
              <w:pStyle w:val="Tabletext"/>
            </w:pPr>
            <w:r>
              <w:t>Number of household members = 1</w:t>
            </w:r>
          </w:p>
        </w:tc>
        <w:tc>
          <w:tcPr>
            <w:tcW w:w="0" w:type="auto"/>
          </w:tcPr>
          <w:p w14:paraId="1B5CD0B1" w14:textId="77777777" w:rsidR="00EE070C" w:rsidRDefault="00EE070C" w:rsidP="00492F08">
            <w:pPr>
              <w:pStyle w:val="Tabletext"/>
              <w:jc w:val="center"/>
            </w:pPr>
            <w:r>
              <w:t>B</w:t>
            </w:r>
          </w:p>
        </w:tc>
        <w:tc>
          <w:tcPr>
            <w:tcW w:w="0" w:type="auto"/>
          </w:tcPr>
          <w:p w14:paraId="52BEE56D" w14:textId="77777777" w:rsidR="00EE070C" w:rsidRDefault="00EE070C" w:rsidP="00492F08">
            <w:pPr>
              <w:pStyle w:val="Tabletext"/>
              <w:jc w:val="center"/>
            </w:pPr>
            <w:r w:rsidRPr="00147319">
              <w:sym w:font="Wingdings" w:char="F0FC"/>
            </w:r>
          </w:p>
        </w:tc>
        <w:tc>
          <w:tcPr>
            <w:tcW w:w="0" w:type="auto"/>
          </w:tcPr>
          <w:p w14:paraId="0074593F" w14:textId="77777777" w:rsidR="00EE070C" w:rsidRDefault="00EE070C" w:rsidP="00492F08">
            <w:pPr>
              <w:pStyle w:val="Tabletext"/>
            </w:pPr>
            <w:r>
              <w:fldChar w:fldCharType="begin"/>
            </w:r>
            <w:r>
              <w:instrText xml:space="preserve"> ADDIN ZOTERO_ITEM CSL_CITATION {"citationID":"lPQMfiK2","properties":{"formattedCitation":"(Klinenberg 2015; Naughton et al. 2002)","plainCitation":"(Klinenberg 2015; Naughton et al. 2002)","noteIndex":0},"citationItems":[{"id":550,"uris":["http://zotero.org/users/4259226/items/K7PW7IUS",["http://zotero.org/users/4259226/items/K7PW7IUS"]],"itemData":{"id":550,"type":"book","edition":"2","event-place":"Chicago","ISBN":"978-0-226-27618-2","publisher":"University of Chicago Press","publisher-place":"Chicago","source":"Google Scholar","title":"Heat wave: A social autopsy of disaster in Chicago","title-short":"Heat wave","author":[{"family":"Klinenberg","given":"Eric"}],"issued":{"date-parts":[["2015"]]}}},{"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A"}],"accessed":{"date-parts":[["2021",8,1]]},"issued":{"date-parts":[["2002",5,1]]}}}],"schema":"https://github.com/citation-style-language/schema/raw/master/csl-citation.json"} </w:instrText>
            </w:r>
            <w:r>
              <w:fldChar w:fldCharType="separate"/>
            </w:r>
            <w:r w:rsidRPr="00BA4B6C">
              <w:t>(</w:t>
            </w:r>
            <w:proofErr w:type="spellStart"/>
            <w:r w:rsidRPr="00BA4B6C">
              <w:t>Klinenberg</w:t>
            </w:r>
            <w:proofErr w:type="spellEnd"/>
            <w:r w:rsidRPr="00BA4B6C">
              <w:t xml:space="preserve"> 2015; Naughton et al. 2002)</w:t>
            </w:r>
            <w:r>
              <w:fldChar w:fldCharType="end"/>
            </w:r>
          </w:p>
        </w:tc>
      </w:tr>
      <w:tr w:rsidR="00EE070C" w14:paraId="49554818" w14:textId="77777777" w:rsidTr="00492F08">
        <w:tc>
          <w:tcPr>
            <w:tcW w:w="0" w:type="auto"/>
            <w:vMerge/>
          </w:tcPr>
          <w:p w14:paraId="658F3F4F" w14:textId="77777777" w:rsidR="00EE070C" w:rsidRDefault="00EE070C" w:rsidP="00492F08">
            <w:pPr>
              <w:pStyle w:val="Tabletext"/>
            </w:pPr>
          </w:p>
        </w:tc>
        <w:tc>
          <w:tcPr>
            <w:tcW w:w="0" w:type="auto"/>
          </w:tcPr>
          <w:p w14:paraId="437C95D3" w14:textId="77777777" w:rsidR="00EE070C" w:rsidRDefault="00EE070C" w:rsidP="00492F08">
            <w:pPr>
              <w:pStyle w:val="Tabletext"/>
            </w:pPr>
            <w:r>
              <w:t>Large households (7+ members)</w:t>
            </w:r>
          </w:p>
        </w:tc>
        <w:tc>
          <w:tcPr>
            <w:tcW w:w="0" w:type="auto"/>
          </w:tcPr>
          <w:p w14:paraId="1D8C92E6" w14:textId="77777777" w:rsidR="00EE070C" w:rsidRDefault="00EE070C" w:rsidP="00492F08">
            <w:pPr>
              <w:pStyle w:val="Tabletext"/>
            </w:pPr>
            <w:r>
              <w:t xml:space="preserve">Number of household members </w:t>
            </w:r>
            <w:r w:rsidRPr="006E1A73">
              <w:rPr>
                <w:u w:val="single"/>
              </w:rPr>
              <w:t>&gt;</w:t>
            </w:r>
            <w:r>
              <w:t xml:space="preserve"> 7</w:t>
            </w:r>
          </w:p>
        </w:tc>
        <w:tc>
          <w:tcPr>
            <w:tcW w:w="0" w:type="auto"/>
          </w:tcPr>
          <w:p w14:paraId="34EC53D4" w14:textId="77777777" w:rsidR="00EE070C" w:rsidRDefault="00EE070C" w:rsidP="00492F08">
            <w:pPr>
              <w:pStyle w:val="Tabletext"/>
              <w:jc w:val="center"/>
            </w:pPr>
            <w:r>
              <w:t>B</w:t>
            </w:r>
          </w:p>
        </w:tc>
        <w:tc>
          <w:tcPr>
            <w:tcW w:w="0" w:type="auto"/>
          </w:tcPr>
          <w:p w14:paraId="6958B06C" w14:textId="77777777" w:rsidR="00EE070C" w:rsidRDefault="00EE070C" w:rsidP="00492F08">
            <w:pPr>
              <w:pStyle w:val="Tabletext"/>
              <w:jc w:val="center"/>
            </w:pPr>
            <w:r w:rsidRPr="00147319">
              <w:sym w:font="Wingdings" w:char="F0FC"/>
            </w:r>
          </w:p>
        </w:tc>
        <w:tc>
          <w:tcPr>
            <w:tcW w:w="0" w:type="auto"/>
          </w:tcPr>
          <w:p w14:paraId="0A751939" w14:textId="77777777" w:rsidR="00EE070C" w:rsidRDefault="00EE070C" w:rsidP="00492F08">
            <w:pPr>
              <w:pStyle w:val="Tabletext"/>
            </w:pPr>
            <w:r>
              <w:fldChar w:fldCharType="begin"/>
            </w:r>
            <w:r>
              <w:instrText xml:space="preserve"> ADDIN ZOTERO_ITEM CSL_CITATION {"citationID":"0oINfz5g","properties":{"formattedCitation":"(Uejio et al. 2011)","plainCitation":"(Uejio et al. 2011)","noteIndex":0},"citationItems":[{"id":477,"uris":["http://zotero.org/users/4259226/items/NHEYK9AI",["http://zotero.org/users/4259226/items/NHEYK9AI"]],"itemData":{"id":477,"type":"article-journal","abstract":"Extreme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P."}],"accessed":{"date-parts":[["2021",6,8]]},"issued":{"date-parts":[["2011",3,1]]}}}],"schema":"https://github.com/citation-style-language/schema/raw/master/csl-citation.json"} </w:instrText>
            </w:r>
            <w:r>
              <w:fldChar w:fldCharType="separate"/>
            </w:r>
            <w:r w:rsidRPr="00F13CBD">
              <w:t>(</w:t>
            </w:r>
            <w:proofErr w:type="spellStart"/>
            <w:r w:rsidRPr="00F13CBD">
              <w:t>Uejio</w:t>
            </w:r>
            <w:proofErr w:type="spellEnd"/>
            <w:r w:rsidRPr="00F13CBD">
              <w:t xml:space="preserve"> et al. 2011)</w:t>
            </w:r>
            <w:r>
              <w:fldChar w:fldCharType="end"/>
            </w:r>
          </w:p>
        </w:tc>
      </w:tr>
      <w:tr w:rsidR="00EE070C" w14:paraId="6C0B88A4" w14:textId="77777777" w:rsidTr="00492F08">
        <w:tc>
          <w:tcPr>
            <w:tcW w:w="0" w:type="auto"/>
            <w:vMerge/>
          </w:tcPr>
          <w:p w14:paraId="67BB96E2" w14:textId="77777777" w:rsidR="00EE070C" w:rsidRDefault="00EE070C" w:rsidP="00492F08">
            <w:pPr>
              <w:pStyle w:val="Tabletext"/>
            </w:pPr>
          </w:p>
        </w:tc>
        <w:tc>
          <w:tcPr>
            <w:tcW w:w="0" w:type="auto"/>
          </w:tcPr>
          <w:p w14:paraId="229857F6" w14:textId="77777777" w:rsidR="00EE070C" w:rsidRDefault="00EE070C" w:rsidP="00492F08">
            <w:pPr>
              <w:pStyle w:val="Tabletext"/>
            </w:pPr>
            <w:r>
              <w:t>Poverty</w:t>
            </w:r>
          </w:p>
        </w:tc>
        <w:tc>
          <w:tcPr>
            <w:tcW w:w="0" w:type="auto"/>
          </w:tcPr>
          <w:p w14:paraId="49733582" w14:textId="77777777" w:rsidR="00EE070C" w:rsidRPr="007A2533" w:rsidRDefault="00EE070C" w:rsidP="00492F08">
            <w:pPr>
              <w:pStyle w:val="Tabletext"/>
            </w:pPr>
            <w:r>
              <w:t>Calculated from gross income and number of household members based on U.S. Census Bureau definition for poverty threshold</w:t>
            </w:r>
          </w:p>
        </w:tc>
        <w:tc>
          <w:tcPr>
            <w:tcW w:w="0" w:type="auto"/>
          </w:tcPr>
          <w:p w14:paraId="63D89E75" w14:textId="77777777" w:rsidR="00EE070C" w:rsidRDefault="00EE070C" w:rsidP="00492F08">
            <w:pPr>
              <w:pStyle w:val="Tabletext"/>
              <w:jc w:val="center"/>
            </w:pPr>
            <w:r>
              <w:t>B</w:t>
            </w:r>
          </w:p>
        </w:tc>
        <w:tc>
          <w:tcPr>
            <w:tcW w:w="0" w:type="auto"/>
          </w:tcPr>
          <w:p w14:paraId="0843CD5E" w14:textId="77777777" w:rsidR="00EE070C" w:rsidRDefault="00EE070C" w:rsidP="00492F08">
            <w:pPr>
              <w:pStyle w:val="Tabletext"/>
              <w:jc w:val="center"/>
            </w:pPr>
            <w:r w:rsidRPr="00147319">
              <w:sym w:font="Wingdings" w:char="F0FC"/>
            </w:r>
          </w:p>
        </w:tc>
        <w:tc>
          <w:tcPr>
            <w:tcW w:w="0" w:type="auto"/>
          </w:tcPr>
          <w:p w14:paraId="2C2A40FA" w14:textId="77777777" w:rsidR="00EE070C" w:rsidRDefault="00EE070C" w:rsidP="00492F08">
            <w:pPr>
              <w:pStyle w:val="Tabletext"/>
            </w:pPr>
            <w:r>
              <w:fldChar w:fldCharType="begin"/>
            </w:r>
            <w:r>
              <w:instrText xml:space="preserve"> ADDIN ZOTERO_ITEM CSL_CITATION {"citationID":"pRFftSOK","properties":{"formattedCitation":"(Naughton et al. 2002; Curriero et al. 2002)","plainCitation":"(Naughton et al. 2002; Curriero et al. 2002)","noteIndex":0},"citationItems":[{"id":369,"uris":["http://zotero.org/users/4259226/items/T3LPVVB9",["http://zotero.org/users/4259226/items/T3LPVVB9"]],"itemData":{"id":369,"type":"article-journal","abstract":"Background: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C67407">
              <w:t xml:space="preserve">(Naughton et al. 2002; </w:t>
            </w:r>
            <w:proofErr w:type="spellStart"/>
            <w:r w:rsidRPr="00C67407">
              <w:t>Curriero</w:t>
            </w:r>
            <w:proofErr w:type="spellEnd"/>
            <w:r w:rsidRPr="00C67407">
              <w:t xml:space="preserve"> et al. 2002)</w:t>
            </w:r>
            <w:r>
              <w:fldChar w:fldCharType="end"/>
            </w:r>
          </w:p>
        </w:tc>
      </w:tr>
      <w:tr w:rsidR="00EE070C" w14:paraId="16E02E68" w14:textId="77777777" w:rsidTr="00492F08">
        <w:tc>
          <w:tcPr>
            <w:tcW w:w="0" w:type="auto"/>
            <w:vMerge/>
          </w:tcPr>
          <w:p w14:paraId="1185E2E8" w14:textId="77777777" w:rsidR="00EE070C" w:rsidRDefault="00EE070C" w:rsidP="00492F08">
            <w:pPr>
              <w:pStyle w:val="Tabletext"/>
            </w:pPr>
          </w:p>
        </w:tc>
        <w:tc>
          <w:tcPr>
            <w:tcW w:w="0" w:type="auto"/>
          </w:tcPr>
          <w:p w14:paraId="585EA457" w14:textId="77777777" w:rsidR="00EE070C" w:rsidRDefault="00EE070C" w:rsidP="00492F08">
            <w:pPr>
              <w:pStyle w:val="Tabletext"/>
            </w:pPr>
            <w:r>
              <w:t>Unemployed</w:t>
            </w:r>
          </w:p>
        </w:tc>
        <w:tc>
          <w:tcPr>
            <w:tcW w:w="0" w:type="auto"/>
          </w:tcPr>
          <w:p w14:paraId="41D37113" w14:textId="77777777" w:rsidR="00EE070C" w:rsidRPr="00E97EBB" w:rsidRDefault="00EE070C" w:rsidP="00492F08">
            <w:pPr>
              <w:pStyle w:val="Tabletext"/>
            </w:pPr>
            <w:r>
              <w:t>Respondent is unemployed or retired</w:t>
            </w:r>
          </w:p>
        </w:tc>
        <w:tc>
          <w:tcPr>
            <w:tcW w:w="0" w:type="auto"/>
          </w:tcPr>
          <w:p w14:paraId="67A5CD14" w14:textId="77777777" w:rsidR="00EE070C" w:rsidRDefault="00EE070C" w:rsidP="00492F08">
            <w:pPr>
              <w:pStyle w:val="Tabletext"/>
              <w:jc w:val="center"/>
            </w:pPr>
            <w:r>
              <w:t>B</w:t>
            </w:r>
          </w:p>
        </w:tc>
        <w:tc>
          <w:tcPr>
            <w:tcW w:w="0" w:type="auto"/>
          </w:tcPr>
          <w:p w14:paraId="5EB956AC" w14:textId="77777777" w:rsidR="00EE070C" w:rsidRDefault="00EE070C" w:rsidP="00492F08">
            <w:pPr>
              <w:pStyle w:val="Tabletext"/>
              <w:jc w:val="center"/>
            </w:pPr>
            <w:r w:rsidRPr="00147319">
              <w:sym w:font="Wingdings" w:char="F0FC"/>
            </w:r>
          </w:p>
        </w:tc>
        <w:tc>
          <w:tcPr>
            <w:tcW w:w="0" w:type="auto"/>
          </w:tcPr>
          <w:p w14:paraId="073EFF98" w14:textId="77777777" w:rsidR="00EE070C" w:rsidRDefault="00EE070C" w:rsidP="00492F08">
            <w:pPr>
              <w:pStyle w:val="Tabletext"/>
            </w:pPr>
            <w:r>
              <w:fldChar w:fldCharType="begin"/>
            </w:r>
            <w:r>
              <w:instrText xml:space="preserve"> ADDIN ZOTERO_ITEM CSL_CITATION {"citationID":"eOaoIBfG","properties":{"formattedCitation":"(Nayak et al. 2018)","plainCitation":"(Nayak et al. 2018)","noteIndex":0},"citationItems":[{"id":309,"uris":["http://zotero.org/users/4259226/items/RAGBKUL2",["http://zotero.org/users/4259226/items/RAGBKUL2"]],"itemData":{"id":309,"type":"article-journal","abstract":"Objectives\nThe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273A69">
              <w:t>(Nayak et al. 2018)</w:t>
            </w:r>
            <w:r>
              <w:fldChar w:fldCharType="end"/>
            </w:r>
          </w:p>
        </w:tc>
      </w:tr>
      <w:tr w:rsidR="00EE070C" w14:paraId="24707D10" w14:textId="77777777" w:rsidTr="00492F08">
        <w:tc>
          <w:tcPr>
            <w:tcW w:w="0" w:type="auto"/>
            <w:vMerge/>
          </w:tcPr>
          <w:p w14:paraId="31610A7F" w14:textId="77777777" w:rsidR="00EE070C" w:rsidRDefault="00EE070C" w:rsidP="00492F08">
            <w:pPr>
              <w:pStyle w:val="Tabletext"/>
            </w:pPr>
          </w:p>
        </w:tc>
        <w:tc>
          <w:tcPr>
            <w:tcW w:w="0" w:type="auto"/>
          </w:tcPr>
          <w:p w14:paraId="72DC853F" w14:textId="77777777" w:rsidR="00EE070C" w:rsidRDefault="00EE070C" w:rsidP="00492F08">
            <w:pPr>
              <w:pStyle w:val="Tabletext"/>
            </w:pPr>
            <w:r>
              <w:t xml:space="preserve">Education </w:t>
            </w:r>
            <w:r w:rsidRPr="00E86CCB">
              <w:rPr>
                <w:u w:val="single"/>
              </w:rPr>
              <w:t>&lt;</w:t>
            </w:r>
            <w:r>
              <w:t xml:space="preserve"> High School</w:t>
            </w:r>
          </w:p>
        </w:tc>
        <w:tc>
          <w:tcPr>
            <w:tcW w:w="0" w:type="auto"/>
          </w:tcPr>
          <w:p w14:paraId="10F0BD4C" w14:textId="77777777" w:rsidR="00EE070C" w:rsidRPr="00E97EBB" w:rsidRDefault="00EE070C" w:rsidP="00492F08">
            <w:pPr>
              <w:pStyle w:val="Tabletext"/>
            </w:pPr>
            <w:r>
              <w:t>Highest education attained is high school or equivalent</w:t>
            </w:r>
          </w:p>
        </w:tc>
        <w:tc>
          <w:tcPr>
            <w:tcW w:w="0" w:type="auto"/>
          </w:tcPr>
          <w:p w14:paraId="7E9AC660" w14:textId="77777777" w:rsidR="00EE070C" w:rsidRDefault="00EE070C" w:rsidP="00492F08">
            <w:pPr>
              <w:pStyle w:val="Tabletext"/>
              <w:jc w:val="center"/>
            </w:pPr>
          </w:p>
        </w:tc>
        <w:tc>
          <w:tcPr>
            <w:tcW w:w="0" w:type="auto"/>
          </w:tcPr>
          <w:p w14:paraId="12B952CE" w14:textId="77777777" w:rsidR="00EE070C" w:rsidRDefault="00EE070C" w:rsidP="00492F08">
            <w:pPr>
              <w:pStyle w:val="Tabletext"/>
              <w:jc w:val="center"/>
            </w:pPr>
            <w:r w:rsidRPr="00147319">
              <w:sym w:font="Wingdings" w:char="F0FC"/>
            </w:r>
          </w:p>
        </w:tc>
        <w:tc>
          <w:tcPr>
            <w:tcW w:w="0" w:type="auto"/>
          </w:tcPr>
          <w:p w14:paraId="6AAA5AF6" w14:textId="77777777" w:rsidR="00EE070C" w:rsidRDefault="00EE070C" w:rsidP="00492F08">
            <w:pPr>
              <w:pStyle w:val="Tabletext"/>
            </w:pPr>
            <w:r>
              <w:fldChar w:fldCharType="begin"/>
            </w:r>
            <w:r>
              <w:instrText xml:space="preserve"> ADDIN ZOTERO_ITEM CSL_CITATION {"citationID":"Q7Iqc6sr","properties":{"formattedCitation":"(Curriero et al. 2002; O\\uc0\\u8217{}Neill, Zanobetti, and Schwartz 2003; Medina et al. 2006)","plainCitation":"(Curriero et al. 2002; O’Neill, Zanobetti, and Schwartz 2003; Medina et al. 2006)","noteIndex":0},"citationItems":[{"id":1442,"uris":["http://zotero.org/users/4259226/items/SMTBQKCK"],"uri":["http://zotero.org/users/4259226/items/SMTBQKCK"],"itemData":{"id":1442,"type":"article-journal","abstract":"Episodes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A."}],"issued":{"date-parts":[["2002",1,1]]}}},{"id":1423,"uris":["http://zotero.org/users/4259226/items/78CT7XF6"],"uri":["http://zotero.org/users/4259226/items/78CT7XF6"],"itemData":{"id":1423,"type":"article-journal","abstract":"This paper examines effect modification of heat- and cold-related mortality in seven US cities in 1986–1993. City-specific Poisson regression analyses of daily noninjury mortality were fit with predictors of mean daily apparent temperature (a construct reflecting physiologic effects of temperature and humidity), time, barometric pressure, day of the week, and particulate matter less than 10 µm in aerodynamic diameter. Percentage change in mortality was calculated at 29°C apparent temperature (lag 0) and at –5°C (mean of lags 1, 2, and 3) relative to 15°C. Separate models were fit to death counts stratified by age, race, gender, education, and place of death. Effect estimates were combined across cities, treating city as a random effect. Deaths among Blacks compared with Whites, deaths among the less educated, and deaths outside a hospital were more strongly associated with hot and cold temperatures, but gender made no difference. Stronger cold associations were found for those less than age 65 years, but heat effects did not vary by age. The strongest effect modifier was place of death for heat, with out-of-hospital effects more than five times greater than in-hospital deaths, supporting the biologic plausibility of the associations. Place of death, race, and educational attainment indicate vulnerability to temperature-related mortality, reflecting inequities in health impacts related to climate change.","container-title":"American Journal of Epidemiology","DOI":"10.1093/aje/kwg096","ISSN":"0002-9262","issue":"12","journalAbbreviation":"American Journal of Epidemiology","page":"1074-1082","source":"Silverchair","title":"Modifiers of the Temperature and Mortality Association in Seven US Cities","volume":"157","author":[{"family":"O’Neill","given":"Marie S."},{"family":"Zanobetti","given":"Antonella"},{"family":"Schwartz","given":"Joel"}],"issued":{"date-parts":[["2003",6,15]]}}},{"id":1440,"uris":["http://zotero.org/users/4259226/items/EJXJJYBX"],"uri":["http://zotero.org/users/4259226/items/EJXJJYBX"],"itemData":{"id":1440,"type":"article-journal","abstract":"Background\n\nExtremes of temperature are associated with short-term increases in daily mortality.\n\nObjectives\n\nWe set out to identify subpopulations and mortality causes with increased susceptibility to temperature extremes.\n\nMethods\n\nWe conducted a case-only analysis using daily mortality and hourly weather data from 50 U.S. cities for the period 1989–2000, covering a total of 7,789,655 deaths. We used distributions of daily minimum and maximum temperature in each city to define extremely hot days (≥ 99th percentile) and extremely cold days (≤ 1st percentile), respectively. For each (hypothesized) effect modifier, a city-specific logistic regression model was fitted and an overall estimate calculated in a subsequent meta-analysis.\n\nResults\n\nOlder subjects [odds ratio (OR) = 1.020; 95% confidence interval (CI), 1.005–1.034], diabetics (OR = 1.035; 95% CI, 1.010–1.062), blacks (OR = 1.037; 95% CI, 1.016–1.059), and those dying outside a hospital (OR = 1.066; 95% CI, 1.036–1.098) were more susceptible to extreme heat, with some differences observed between those dying from a cardiovascular disease and other decedents. Cardiovascular deaths (OR = 1.053; 95% CI, 1.036–1.070), and especially cardiac arrest deaths (OR =1.137; 95% CI, 1.051–1.230), showed a greater relative increase on extremely cold days, whereas the increase in heat-related mortality was marginally higher for those with coexisting atrial fibrillation (OR = 1.059; 95% CI, 0.996–1.125).\n\nConclusions\n\nIn this study we identified several subpopulations and mortality causes particularly susceptible to temperature extremes. This knowledge may contribute to establishing health programs that would better protect the vulnerable.","container-title":"Environmental Health Perspectives","DOI":"10.1289/ehp.9074","issue":"9","note":"publisher: Environmental Health Perspectives","page":"1331-1336","source":"ehp.niehs.nih.gov (Atypon)","title":"Extreme Temperatures and Mortality: Assessing Effect Modification by Personal Characteristics and Specific Cause of Death in a Multi-City Case-Only Analysis","title-short":"Extreme Temperatures and Mortality","volume":"114","author":[{"family":"Medina","given":"-Ramón Mercedes"},{"family":"Zanobetti","given":"Antonella"},{"family":"Cavanagh","given":"David Paul"},{"family":"Schwartz","given":"Joel"}],"issued":{"date-parts":[["2006",9,1]]}}}],"schema":"https://github.com/citation-style-language/schema/raw/master/csl-citation.json"} </w:instrText>
            </w:r>
            <w:r>
              <w:fldChar w:fldCharType="separate"/>
            </w:r>
            <w:r w:rsidRPr="006350CE">
              <w:rPr>
                <w:rFonts w:cs="Times New Roman"/>
                <w:szCs w:val="24"/>
              </w:rPr>
              <w:t>(</w:t>
            </w:r>
            <w:proofErr w:type="spellStart"/>
            <w:r w:rsidRPr="006350CE">
              <w:rPr>
                <w:rFonts w:cs="Times New Roman"/>
                <w:szCs w:val="24"/>
              </w:rPr>
              <w:t>Curriero</w:t>
            </w:r>
            <w:proofErr w:type="spellEnd"/>
            <w:r w:rsidRPr="006350CE">
              <w:rPr>
                <w:rFonts w:cs="Times New Roman"/>
                <w:szCs w:val="24"/>
              </w:rPr>
              <w:t xml:space="preserve"> et al. 2002; O’Neill, </w:t>
            </w:r>
            <w:proofErr w:type="spellStart"/>
            <w:r w:rsidRPr="006350CE">
              <w:rPr>
                <w:rFonts w:cs="Times New Roman"/>
                <w:szCs w:val="24"/>
              </w:rPr>
              <w:t>Zanobetti</w:t>
            </w:r>
            <w:proofErr w:type="spellEnd"/>
            <w:r w:rsidRPr="006350CE">
              <w:rPr>
                <w:rFonts w:cs="Times New Roman"/>
                <w:szCs w:val="24"/>
              </w:rPr>
              <w:t>, and Schwartz 2003; Medina et al. 2006)</w:t>
            </w:r>
            <w:r>
              <w:fldChar w:fldCharType="end"/>
            </w:r>
          </w:p>
        </w:tc>
      </w:tr>
      <w:tr w:rsidR="00EE070C" w14:paraId="525A2A60" w14:textId="77777777" w:rsidTr="00492F08">
        <w:tc>
          <w:tcPr>
            <w:tcW w:w="0" w:type="auto"/>
            <w:vMerge/>
          </w:tcPr>
          <w:p w14:paraId="0A7AA5A8" w14:textId="77777777" w:rsidR="00EE070C" w:rsidRDefault="00EE070C" w:rsidP="00492F08">
            <w:pPr>
              <w:pStyle w:val="Tabletext"/>
            </w:pPr>
          </w:p>
        </w:tc>
        <w:tc>
          <w:tcPr>
            <w:tcW w:w="0" w:type="auto"/>
          </w:tcPr>
          <w:p w14:paraId="1E31E584" w14:textId="77777777" w:rsidR="00EE070C" w:rsidRPr="007A2533" w:rsidRDefault="00EE070C" w:rsidP="00492F08">
            <w:pPr>
              <w:pStyle w:val="Tabletext"/>
            </w:pPr>
            <w:r>
              <w:t>Renting</w:t>
            </w:r>
          </w:p>
        </w:tc>
        <w:tc>
          <w:tcPr>
            <w:tcW w:w="0" w:type="auto"/>
          </w:tcPr>
          <w:p w14:paraId="7B3EB75D" w14:textId="77777777" w:rsidR="00EE070C" w:rsidRDefault="00EE070C" w:rsidP="00492F08">
            <w:pPr>
              <w:pStyle w:val="Tabletext"/>
            </w:pPr>
            <w:r>
              <w:t>Household pays rent</w:t>
            </w:r>
          </w:p>
        </w:tc>
        <w:tc>
          <w:tcPr>
            <w:tcW w:w="0" w:type="auto"/>
          </w:tcPr>
          <w:p w14:paraId="300D76C1" w14:textId="77777777" w:rsidR="00EE070C" w:rsidRDefault="00EE070C" w:rsidP="00492F08">
            <w:pPr>
              <w:pStyle w:val="Tabletext"/>
              <w:jc w:val="center"/>
            </w:pPr>
            <w:r>
              <w:t>B</w:t>
            </w:r>
          </w:p>
        </w:tc>
        <w:tc>
          <w:tcPr>
            <w:tcW w:w="0" w:type="auto"/>
          </w:tcPr>
          <w:p w14:paraId="0F918948" w14:textId="77777777" w:rsidR="00EE070C" w:rsidRDefault="00EE070C" w:rsidP="00492F08">
            <w:pPr>
              <w:pStyle w:val="Tabletext"/>
              <w:jc w:val="center"/>
            </w:pPr>
            <w:r w:rsidRPr="00147319">
              <w:sym w:font="Wingdings" w:char="F0FC"/>
            </w:r>
          </w:p>
        </w:tc>
        <w:tc>
          <w:tcPr>
            <w:tcW w:w="0" w:type="auto"/>
          </w:tcPr>
          <w:p w14:paraId="5D4C475A" w14:textId="77777777" w:rsidR="00EE070C" w:rsidRDefault="00EE070C" w:rsidP="00492F08">
            <w:pPr>
              <w:pStyle w:val="Tabletext"/>
            </w:pPr>
            <w:r>
              <w:fldChar w:fldCharType="begin"/>
            </w:r>
            <w:r>
              <w:instrText xml:space="preserve"> ADDIN ZOTERO_ITEM CSL_CITATION {"citationID":"pQGPnQW4","properties":{"formattedCitation":"(Wright et al. 2020)","plainCitation":"(Wright et al. 2020)","dontUpdate":true,"noteIndex":0},"citationItems":[{"id":395,"uris":["http://zotero.org/users/4259226/items/G792S7PH",["http://zotero.org/users/4259226/items/G792S7PH"]],"itemData":{"id":395,"type":"article-journal","abstract":"The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fldChar w:fldCharType="end"/>
            </w:r>
            <w:r>
              <w:t xml:space="preserve"> </w:t>
            </w:r>
            <w:r>
              <w:fldChar w:fldCharType="begin"/>
            </w:r>
            <w:r>
              <w:instrText xml:space="preserve"> ADDIN ZOTERO_ITEM CSL_CITATION {"citationID":"FyQgWWYs","properties":{"formattedCitation":"(Uejio et al. 2011; Wright et al. 2020)","plainCitation":"(Uejio et al. 2011; Wright et al. 2020)","noteIndex":0},"citationItems":[{"id":477,"uris":["http://zotero.org/users/4259226/items/NHEYK9AI",["http://zotero.org/users/4259226/items/NHEYK9AI"]],"itemData":{"id":477,"type":"article-journal","abstract":"Extreme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8941AE">
              <w:t>(</w:t>
            </w:r>
            <w:proofErr w:type="spellStart"/>
            <w:r w:rsidRPr="008941AE">
              <w:t>Uejio</w:t>
            </w:r>
            <w:proofErr w:type="spellEnd"/>
            <w:r w:rsidRPr="008941AE">
              <w:t xml:space="preserve"> et al. 2011; Wright et al. 2020)</w:t>
            </w:r>
            <w:r>
              <w:fldChar w:fldCharType="end"/>
            </w:r>
          </w:p>
        </w:tc>
      </w:tr>
      <w:tr w:rsidR="00EE070C" w14:paraId="28B13355" w14:textId="77777777" w:rsidTr="00492F08">
        <w:tc>
          <w:tcPr>
            <w:tcW w:w="0" w:type="auto"/>
            <w:vMerge/>
          </w:tcPr>
          <w:p w14:paraId="6818872E" w14:textId="77777777" w:rsidR="00EE070C" w:rsidRDefault="00EE070C" w:rsidP="00492F08">
            <w:pPr>
              <w:pStyle w:val="Tabletext"/>
            </w:pPr>
          </w:p>
        </w:tc>
        <w:tc>
          <w:tcPr>
            <w:tcW w:w="0" w:type="auto"/>
          </w:tcPr>
          <w:p w14:paraId="1006D58B" w14:textId="77777777" w:rsidR="00EE070C" w:rsidRPr="00926E1D" w:rsidRDefault="00EE070C" w:rsidP="00492F08">
            <w:pPr>
              <w:pStyle w:val="Tabletext"/>
            </w:pPr>
            <w:r>
              <w:t>Pays utility or for other fuel</w:t>
            </w:r>
          </w:p>
        </w:tc>
        <w:tc>
          <w:tcPr>
            <w:tcW w:w="0" w:type="auto"/>
          </w:tcPr>
          <w:p w14:paraId="713AE333" w14:textId="77777777" w:rsidR="00EE070C" w:rsidRDefault="00EE070C" w:rsidP="00492F08">
            <w:pPr>
              <w:pStyle w:val="Tabletext"/>
            </w:pPr>
            <w:r>
              <w:t xml:space="preserve">Household </w:t>
            </w:r>
            <w:r w:rsidRPr="00926E1D">
              <w:t>pays for electricity</w:t>
            </w:r>
            <w:r>
              <w:t>, natural gas, propane, and/or fuel oil</w:t>
            </w:r>
          </w:p>
        </w:tc>
        <w:tc>
          <w:tcPr>
            <w:tcW w:w="0" w:type="auto"/>
          </w:tcPr>
          <w:p w14:paraId="7B2B1415" w14:textId="77777777" w:rsidR="00EE070C" w:rsidRDefault="00EE070C" w:rsidP="00492F08">
            <w:pPr>
              <w:pStyle w:val="Tabletext"/>
              <w:jc w:val="center"/>
            </w:pPr>
            <w:r>
              <w:t>B</w:t>
            </w:r>
          </w:p>
        </w:tc>
        <w:tc>
          <w:tcPr>
            <w:tcW w:w="0" w:type="auto"/>
          </w:tcPr>
          <w:p w14:paraId="3EAE73DF" w14:textId="77777777" w:rsidR="00EE070C" w:rsidRDefault="00EE070C" w:rsidP="00492F08">
            <w:pPr>
              <w:pStyle w:val="Tabletext"/>
              <w:jc w:val="center"/>
            </w:pPr>
          </w:p>
        </w:tc>
        <w:tc>
          <w:tcPr>
            <w:tcW w:w="0" w:type="auto"/>
          </w:tcPr>
          <w:p w14:paraId="45A010CC" w14:textId="77777777" w:rsidR="00EE070C" w:rsidRDefault="00EE070C" w:rsidP="00492F08">
            <w:pPr>
              <w:pStyle w:val="Tabletext"/>
            </w:pPr>
            <w:r>
              <w:fldChar w:fldCharType="begin"/>
            </w:r>
            <w:r>
              <w:instrText xml:space="preserve"> ADDIN ZOTERO_ITEM CSL_CITATION {"citationID":"8YeAOaRw","properties":{"formattedCitation":"(Wright et al. 2020)","plainCitation":"(Wright et al. 2020)","noteIndex":0},"citationItems":[{"id":395,"uris":["http://zotero.org/users/4259226/items/G792S7PH",["http://zotero.org/users/4259226/items/G792S7PH"]],"itemData":{"id":395,"type":"article-journal","abstract":"The causes and consequences of indoor heat exposure are receiving growing attention as global temperature rises and people seek respite from the heat in indoor spaces. In this study, we measured indoor temperatures of 46 air-conditioned residences in Phoenix, Arizona, United States. Temperatures were collected concurrently at 5-min intervals from August 21 to September 19, 2016. Indoor temperatures exhibited significant heterogeneity across all residences, ranging from 16.5 to 37.2 °C with a mean (SD) of 26.4 °C (2.2 °C). On average, the 5-min indoor temperatures were moderately correlated with outdoor temperature (r = 0.421), although individual household correlations were highly variable, ranging from r = -0.244 to r = 0.924. Households were grouped into six clusters using K-means based on 19 temperature metrics. We tested for differences in demographic, behavior, and infrastructure indicators between those six clusters based on responses to a social survey. Nearly half the variance in preferred thermostat setting was explained by cluster (R2 = 0.455, p &lt; .001). For the most part, measures of air-conditioning use, limitations on air-conditioning use, and household resources (e.g., income) did not vary significantly by cluster. The same was true for heat-related health and comfort outcomes. Two households that did not pay their own electric bill were by far the coldest homes (average temperature of 20.0 °C). We conclude that indoor temperature preference may supersede concerns related to the cost of using air-conditioning and that resource-constrained households may be sacrificing other necessities to keep their homes comfortable.","container-title":"Building and Environment","DOI":"10.1016/j.buildenv.2020.107187","ISSN":"0360-1323","journalAbbreviation":"Building and Environment","language":"en","page":"107187","source":"ScienceDirect","title":"Social and behavioral determinants of indoor temperatures in air-conditioned homes","URL":"https://www.sciencedirect.com/science/article/pii/S036013232030559X","volume":"183","author":[{"family":"Wright","given":"Mary K."},{"family":"Hondula","given":"David M."},{"family":"Chakalian","given":"Paul M."},{"family":"Kurtz","given":"Liza C."},{"family":"Watkins","given":"Lance"},{"family":"Gronlund","given":"Carina J."},{"family":"Larsen","given":"Larissa"},{"family":"Mallen","given":"Evan"},{"family":"Harlan","given":"Sharon L."}],"accessed":{"date-parts":[["2021",7,5]]},"issued":{"date-parts":[["2020",10,1]]}}}],"schema":"https://github.com/citation-style-language/schema/raw/master/csl-citation.json"} </w:instrText>
            </w:r>
            <w:r>
              <w:fldChar w:fldCharType="separate"/>
            </w:r>
            <w:r w:rsidRPr="006350CE">
              <w:t>(Wright et al. 2020)</w:t>
            </w:r>
            <w:r>
              <w:fldChar w:fldCharType="end"/>
            </w:r>
          </w:p>
        </w:tc>
      </w:tr>
      <w:tr w:rsidR="00EE070C" w14:paraId="0E72470E" w14:textId="77777777" w:rsidTr="00492F08">
        <w:tc>
          <w:tcPr>
            <w:tcW w:w="0" w:type="auto"/>
            <w:vMerge w:val="restart"/>
          </w:tcPr>
          <w:p w14:paraId="310B19D3" w14:textId="77777777" w:rsidR="00EE070C" w:rsidRDefault="00EE070C" w:rsidP="00492F08">
            <w:pPr>
              <w:pStyle w:val="Tabletext"/>
            </w:pPr>
            <w:r>
              <w:t>Building construction</w:t>
            </w:r>
          </w:p>
        </w:tc>
        <w:tc>
          <w:tcPr>
            <w:tcW w:w="0" w:type="auto"/>
          </w:tcPr>
          <w:p w14:paraId="11EA743E" w14:textId="77777777" w:rsidR="00EE070C" w:rsidRPr="00C73EBE" w:rsidRDefault="00EE070C" w:rsidP="00492F08">
            <w:pPr>
              <w:pStyle w:val="Tabletext"/>
            </w:pPr>
            <w:r>
              <w:t>Construction age</w:t>
            </w:r>
          </w:p>
        </w:tc>
        <w:tc>
          <w:tcPr>
            <w:tcW w:w="0" w:type="auto"/>
          </w:tcPr>
          <w:p w14:paraId="6A7A3807" w14:textId="77777777" w:rsidR="00EE070C" w:rsidRDefault="00EE070C" w:rsidP="00492F08">
            <w:pPr>
              <w:pStyle w:val="Tabletext"/>
            </w:pPr>
            <w:r>
              <w:t>Estimated year</w:t>
            </w:r>
            <w:r w:rsidRPr="000B3BB5">
              <w:t xml:space="preserve"> when housing unit was built</w:t>
            </w:r>
            <w:r>
              <w:t xml:space="preserve"> (taken as the maximum of the range in RECS response coding)</w:t>
            </w:r>
          </w:p>
        </w:tc>
        <w:tc>
          <w:tcPr>
            <w:tcW w:w="0" w:type="auto"/>
          </w:tcPr>
          <w:p w14:paraId="6DC445A6" w14:textId="77777777" w:rsidR="00EE070C" w:rsidRDefault="00EE070C" w:rsidP="00492F08">
            <w:pPr>
              <w:pStyle w:val="Tabletext"/>
              <w:jc w:val="center"/>
            </w:pPr>
            <w:r>
              <w:t>N</w:t>
            </w:r>
          </w:p>
        </w:tc>
        <w:tc>
          <w:tcPr>
            <w:tcW w:w="0" w:type="auto"/>
          </w:tcPr>
          <w:p w14:paraId="1DB0DABB" w14:textId="77777777" w:rsidR="00EE070C" w:rsidRDefault="00EE070C" w:rsidP="00492F08">
            <w:pPr>
              <w:pStyle w:val="Tabletext"/>
              <w:jc w:val="center"/>
            </w:pPr>
            <w:r w:rsidRPr="00147319">
              <w:sym w:font="Wingdings" w:char="F0FC"/>
            </w:r>
          </w:p>
        </w:tc>
        <w:tc>
          <w:tcPr>
            <w:tcW w:w="0" w:type="auto"/>
          </w:tcPr>
          <w:p w14:paraId="24C4014A" w14:textId="77777777" w:rsidR="00EE070C" w:rsidRDefault="00EE070C" w:rsidP="00492F08">
            <w:pPr>
              <w:pStyle w:val="Tabletext"/>
            </w:pPr>
            <w:r>
              <w:fldChar w:fldCharType="begin"/>
            </w:r>
            <w:r>
              <w:instrText xml:space="preserve"> ADDIN ZOTERO_ITEM CSL_CITATION {"citationID":"N9Za3HBQ","properties":{"formattedCitation":"(Mavrogianni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3924ED">
              <w:t>(</w:t>
            </w:r>
            <w:proofErr w:type="spellStart"/>
            <w:r w:rsidRPr="003924ED">
              <w:t>Mavrogianni</w:t>
            </w:r>
            <w:proofErr w:type="spellEnd"/>
            <w:r w:rsidRPr="003924ED">
              <w:t xml:space="preserve"> et al. 2012)</w:t>
            </w:r>
            <w:r>
              <w:fldChar w:fldCharType="end"/>
            </w:r>
          </w:p>
        </w:tc>
      </w:tr>
      <w:tr w:rsidR="00EE070C" w14:paraId="3612C29D" w14:textId="77777777" w:rsidTr="00492F08">
        <w:tc>
          <w:tcPr>
            <w:tcW w:w="0" w:type="auto"/>
            <w:vMerge/>
          </w:tcPr>
          <w:p w14:paraId="511CAF63" w14:textId="77777777" w:rsidR="00EE070C" w:rsidRDefault="00EE070C" w:rsidP="00492F08">
            <w:pPr>
              <w:pStyle w:val="Tabletext"/>
            </w:pPr>
          </w:p>
        </w:tc>
        <w:tc>
          <w:tcPr>
            <w:tcW w:w="0" w:type="auto"/>
          </w:tcPr>
          <w:p w14:paraId="548157DC" w14:textId="77777777" w:rsidR="00EE070C" w:rsidRPr="008B05EB" w:rsidRDefault="00EE070C" w:rsidP="00492F08">
            <w:pPr>
              <w:pStyle w:val="Tabletext"/>
            </w:pPr>
            <w:r>
              <w:t>Apartment</w:t>
            </w:r>
          </w:p>
        </w:tc>
        <w:tc>
          <w:tcPr>
            <w:tcW w:w="0" w:type="auto"/>
          </w:tcPr>
          <w:p w14:paraId="0114662C" w14:textId="77777777" w:rsidR="00EE070C" w:rsidRDefault="00EE070C" w:rsidP="00492F08">
            <w:pPr>
              <w:pStyle w:val="Tabletext"/>
            </w:pPr>
            <w:r>
              <w:t>Type of housing unit is low-rise or high-rise apartment</w:t>
            </w:r>
          </w:p>
        </w:tc>
        <w:tc>
          <w:tcPr>
            <w:tcW w:w="0" w:type="auto"/>
          </w:tcPr>
          <w:p w14:paraId="06A051E5" w14:textId="77777777" w:rsidR="00EE070C" w:rsidRDefault="00EE070C" w:rsidP="00492F08">
            <w:pPr>
              <w:pStyle w:val="Tabletext"/>
              <w:jc w:val="center"/>
            </w:pPr>
            <w:r>
              <w:t>B</w:t>
            </w:r>
          </w:p>
        </w:tc>
        <w:tc>
          <w:tcPr>
            <w:tcW w:w="0" w:type="auto"/>
          </w:tcPr>
          <w:p w14:paraId="4F72829A" w14:textId="77777777" w:rsidR="00EE070C" w:rsidRDefault="00EE070C" w:rsidP="00492F08">
            <w:pPr>
              <w:pStyle w:val="Tabletext"/>
              <w:jc w:val="center"/>
            </w:pPr>
          </w:p>
        </w:tc>
        <w:tc>
          <w:tcPr>
            <w:tcW w:w="0" w:type="auto"/>
          </w:tcPr>
          <w:p w14:paraId="77092D10" w14:textId="77777777" w:rsidR="00EE070C" w:rsidRDefault="00EE070C" w:rsidP="00492F08">
            <w:pPr>
              <w:pStyle w:val="Tabletext"/>
            </w:pPr>
            <w:r>
              <w:fldChar w:fldCharType="begin"/>
            </w:r>
            <w:r>
              <w:instrText xml:space="preserve"> ADDIN ZOTERO_ITEM CSL_CITATION {"citationID":"IBoMFzCF","properties":{"formattedCitation":"(Lomas 2021)","plainCitation":"(Lomas 2021)","noteIndex":0},"citationItems":[{"id":669,"uris":["http://zotero.org/users/4259226/items/MDLDX24R"],"uri":["http://zotero.org/users/4259226/items/MDLDX24R"],"itemData":{"id":669,"type":"article-journal","abstract":"Summertime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Cities","DOI":"10.5334/bc.128","ISSN":"2632-6655","issue":"1","language":"en","note":"number: 1\npublisher: Ubiquity Press","page":"487–494","source":"journal-buildingscities.org","title":"Summertime overheating in dwellings in temperate climates","volume":"2","author":[{"family":"Lomas","given":"Kevin J."}],"issued":{"date-parts":[["2021",5,27]]}}}],"schema":"https://github.com/citation-style-language/schema/raw/master/csl-citation.json"} </w:instrText>
            </w:r>
            <w:r>
              <w:fldChar w:fldCharType="separate"/>
            </w:r>
            <w:r w:rsidRPr="000732E2">
              <w:t>(Lomas 2021)</w:t>
            </w:r>
            <w:r>
              <w:fldChar w:fldCharType="end"/>
            </w:r>
          </w:p>
        </w:tc>
      </w:tr>
      <w:tr w:rsidR="00EE070C" w14:paraId="46714133" w14:textId="77777777" w:rsidTr="00492F08">
        <w:tc>
          <w:tcPr>
            <w:tcW w:w="0" w:type="auto"/>
          </w:tcPr>
          <w:p w14:paraId="08C0C7FF" w14:textId="77777777" w:rsidR="00EE070C" w:rsidRDefault="00EE070C" w:rsidP="00492F08">
            <w:pPr>
              <w:pStyle w:val="Tabletext"/>
            </w:pPr>
          </w:p>
        </w:tc>
        <w:tc>
          <w:tcPr>
            <w:tcW w:w="0" w:type="auto"/>
          </w:tcPr>
          <w:p w14:paraId="66C535A3" w14:textId="77777777" w:rsidR="00EE070C" w:rsidRDefault="00EE070C" w:rsidP="00492F08">
            <w:pPr>
              <w:pStyle w:val="Tabletext"/>
            </w:pPr>
            <w:r>
              <w:t>Mobile</w:t>
            </w:r>
          </w:p>
        </w:tc>
        <w:tc>
          <w:tcPr>
            <w:tcW w:w="0" w:type="auto"/>
          </w:tcPr>
          <w:p w14:paraId="36A78A4D" w14:textId="77777777" w:rsidR="00EE070C" w:rsidRDefault="00EE070C" w:rsidP="00492F08">
            <w:pPr>
              <w:pStyle w:val="Tabletext"/>
            </w:pPr>
            <w:r>
              <w:t>Type of housing unit is mobile home</w:t>
            </w:r>
          </w:p>
        </w:tc>
        <w:tc>
          <w:tcPr>
            <w:tcW w:w="0" w:type="auto"/>
          </w:tcPr>
          <w:p w14:paraId="54718EE1" w14:textId="77777777" w:rsidR="00EE070C" w:rsidRDefault="00EE070C" w:rsidP="00492F08">
            <w:pPr>
              <w:pStyle w:val="Tabletext"/>
              <w:jc w:val="center"/>
            </w:pPr>
            <w:r>
              <w:t>B</w:t>
            </w:r>
          </w:p>
        </w:tc>
        <w:tc>
          <w:tcPr>
            <w:tcW w:w="0" w:type="auto"/>
          </w:tcPr>
          <w:p w14:paraId="23831E97" w14:textId="77777777" w:rsidR="00EE070C" w:rsidRDefault="00EE070C" w:rsidP="00492F08">
            <w:pPr>
              <w:pStyle w:val="Tabletext"/>
              <w:jc w:val="center"/>
            </w:pPr>
          </w:p>
        </w:tc>
        <w:tc>
          <w:tcPr>
            <w:tcW w:w="0" w:type="auto"/>
          </w:tcPr>
          <w:p w14:paraId="783939F4" w14:textId="77777777" w:rsidR="00EE070C" w:rsidRDefault="00EE070C" w:rsidP="00492F08">
            <w:pPr>
              <w:pStyle w:val="Tabletext"/>
            </w:pPr>
          </w:p>
        </w:tc>
      </w:tr>
      <w:tr w:rsidR="00EE070C" w14:paraId="5B959D4B" w14:textId="77777777" w:rsidTr="00492F08">
        <w:tc>
          <w:tcPr>
            <w:tcW w:w="0" w:type="auto"/>
            <w:vMerge w:val="restart"/>
          </w:tcPr>
          <w:p w14:paraId="01DF093D" w14:textId="77777777" w:rsidR="00EE070C" w:rsidRDefault="00EE070C" w:rsidP="00492F08">
            <w:pPr>
              <w:pStyle w:val="Tabletext"/>
            </w:pPr>
            <w:r>
              <w:t>Building envelope</w:t>
            </w:r>
          </w:p>
        </w:tc>
        <w:tc>
          <w:tcPr>
            <w:tcW w:w="0" w:type="auto"/>
          </w:tcPr>
          <w:p w14:paraId="6472161E" w14:textId="77777777" w:rsidR="00EE070C" w:rsidRPr="000B3BB5" w:rsidRDefault="00EE070C" w:rsidP="00492F08">
            <w:pPr>
              <w:pStyle w:val="Tabletext"/>
            </w:pPr>
            <w:r>
              <w:t>Thermal mass</w:t>
            </w:r>
          </w:p>
        </w:tc>
        <w:tc>
          <w:tcPr>
            <w:tcW w:w="0" w:type="auto"/>
          </w:tcPr>
          <w:p w14:paraId="07C75625" w14:textId="77777777" w:rsidR="00EE070C" w:rsidRDefault="00EE070C" w:rsidP="00492F08">
            <w:pPr>
              <w:pStyle w:val="Tabletext"/>
            </w:pPr>
            <w:r>
              <w:t>Wall or roof type is a thermally massive material (brick, stone, or concrete)</w:t>
            </w:r>
          </w:p>
        </w:tc>
        <w:tc>
          <w:tcPr>
            <w:tcW w:w="0" w:type="auto"/>
          </w:tcPr>
          <w:p w14:paraId="05407A60" w14:textId="77777777" w:rsidR="00EE070C" w:rsidRDefault="00EE070C" w:rsidP="00492F08">
            <w:pPr>
              <w:pStyle w:val="Tabletext"/>
              <w:jc w:val="center"/>
            </w:pPr>
            <w:r>
              <w:t>B</w:t>
            </w:r>
          </w:p>
        </w:tc>
        <w:tc>
          <w:tcPr>
            <w:tcW w:w="0" w:type="auto"/>
          </w:tcPr>
          <w:p w14:paraId="15A35971" w14:textId="77777777" w:rsidR="00EE070C" w:rsidRDefault="00EE070C" w:rsidP="00492F08">
            <w:pPr>
              <w:pStyle w:val="Tabletext"/>
              <w:jc w:val="center"/>
            </w:pPr>
          </w:p>
        </w:tc>
        <w:tc>
          <w:tcPr>
            <w:tcW w:w="0" w:type="auto"/>
          </w:tcPr>
          <w:p w14:paraId="36AB101B" w14:textId="77777777" w:rsidR="00EE070C" w:rsidRDefault="00EE070C" w:rsidP="00492F08">
            <w:pPr>
              <w:pStyle w:val="Tabletext"/>
            </w:pPr>
            <w:r>
              <w:fldChar w:fldCharType="begin"/>
            </w:r>
            <w:r>
              <w:instrText xml:space="preserve"> ADDIN ZOTERO_ITEM CSL_CITATION {"citationID":"uh0BhlL7","properties":{"formattedCitation":"(Porritt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C17A3D">
              <w:t>(Porritt et al. 2012)</w:t>
            </w:r>
            <w:r>
              <w:fldChar w:fldCharType="end"/>
            </w:r>
          </w:p>
        </w:tc>
      </w:tr>
      <w:tr w:rsidR="00EE070C" w14:paraId="2E5FC604" w14:textId="77777777" w:rsidTr="00492F08">
        <w:tc>
          <w:tcPr>
            <w:tcW w:w="0" w:type="auto"/>
            <w:vMerge/>
          </w:tcPr>
          <w:p w14:paraId="15C03D03" w14:textId="77777777" w:rsidR="00EE070C" w:rsidRDefault="00EE070C" w:rsidP="00492F08">
            <w:pPr>
              <w:pStyle w:val="Tabletext"/>
            </w:pPr>
          </w:p>
        </w:tc>
        <w:tc>
          <w:tcPr>
            <w:tcW w:w="0" w:type="auto"/>
          </w:tcPr>
          <w:p w14:paraId="0AF14BBF" w14:textId="77777777" w:rsidR="00EE070C" w:rsidRPr="004B6F83" w:rsidRDefault="00EE070C" w:rsidP="00492F08">
            <w:pPr>
              <w:pStyle w:val="Tabletext"/>
            </w:pPr>
            <w:r>
              <w:t>Insulation</w:t>
            </w:r>
          </w:p>
        </w:tc>
        <w:tc>
          <w:tcPr>
            <w:tcW w:w="0" w:type="auto"/>
          </w:tcPr>
          <w:p w14:paraId="65F3A5F1" w14:textId="77777777" w:rsidR="00EE070C" w:rsidRDefault="00EE070C" w:rsidP="00492F08">
            <w:pPr>
              <w:pStyle w:val="Tabletext"/>
            </w:pPr>
            <w:r w:rsidRPr="00B92528">
              <w:t>Level of insulation</w:t>
            </w:r>
          </w:p>
        </w:tc>
        <w:tc>
          <w:tcPr>
            <w:tcW w:w="0" w:type="auto"/>
          </w:tcPr>
          <w:p w14:paraId="4F31FA4C" w14:textId="77777777" w:rsidR="00EE070C" w:rsidRDefault="00EE070C" w:rsidP="00492F08">
            <w:pPr>
              <w:pStyle w:val="Tabletext"/>
              <w:jc w:val="center"/>
            </w:pPr>
            <w:r>
              <w:t>N</w:t>
            </w:r>
          </w:p>
        </w:tc>
        <w:tc>
          <w:tcPr>
            <w:tcW w:w="0" w:type="auto"/>
          </w:tcPr>
          <w:p w14:paraId="4B5C1717" w14:textId="77777777" w:rsidR="00EE070C" w:rsidRDefault="00EE070C" w:rsidP="00492F08">
            <w:pPr>
              <w:pStyle w:val="Tabletext"/>
              <w:jc w:val="center"/>
            </w:pPr>
          </w:p>
        </w:tc>
        <w:tc>
          <w:tcPr>
            <w:tcW w:w="0" w:type="auto"/>
          </w:tcPr>
          <w:p w14:paraId="26EEB343" w14:textId="77777777" w:rsidR="00EE070C" w:rsidRDefault="00EE070C" w:rsidP="00492F08">
            <w:pPr>
              <w:pStyle w:val="Tabletext"/>
            </w:pPr>
            <w:r>
              <w:fldChar w:fldCharType="begin"/>
            </w:r>
            <w:r>
              <w:instrText xml:space="preserve"> ADDIN ZOTERO_ITEM CSL_CITATION {"citationID":"JBbBf6Yc","properties":{"formattedCitation":"(Mavrogianni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CF56D1">
              <w:t>(</w:t>
            </w:r>
            <w:proofErr w:type="spellStart"/>
            <w:r w:rsidRPr="00CF56D1">
              <w:t>Mavrogianni</w:t>
            </w:r>
            <w:proofErr w:type="spellEnd"/>
            <w:r w:rsidRPr="00CF56D1">
              <w:t xml:space="preserve"> et al. 2012)</w:t>
            </w:r>
            <w:r>
              <w:fldChar w:fldCharType="end"/>
            </w:r>
          </w:p>
        </w:tc>
      </w:tr>
      <w:tr w:rsidR="00EE070C" w14:paraId="4802A065" w14:textId="77777777" w:rsidTr="00492F08">
        <w:tc>
          <w:tcPr>
            <w:tcW w:w="0" w:type="auto"/>
            <w:vMerge/>
          </w:tcPr>
          <w:p w14:paraId="2B3C5588" w14:textId="77777777" w:rsidR="00EE070C" w:rsidRDefault="00EE070C" w:rsidP="00492F08">
            <w:pPr>
              <w:pStyle w:val="Tabletext"/>
            </w:pPr>
          </w:p>
        </w:tc>
        <w:tc>
          <w:tcPr>
            <w:tcW w:w="0" w:type="auto"/>
          </w:tcPr>
          <w:p w14:paraId="44AA0039" w14:textId="77777777" w:rsidR="00EE070C" w:rsidRPr="00B92528" w:rsidRDefault="00EE070C" w:rsidP="00492F08">
            <w:pPr>
              <w:pStyle w:val="Tabletext"/>
            </w:pPr>
            <w:r>
              <w:t>Infiltration</w:t>
            </w:r>
          </w:p>
        </w:tc>
        <w:tc>
          <w:tcPr>
            <w:tcW w:w="0" w:type="auto"/>
          </w:tcPr>
          <w:p w14:paraId="48D75EED" w14:textId="77777777" w:rsidR="00EE070C" w:rsidRDefault="00EE070C" w:rsidP="00492F08">
            <w:pPr>
              <w:pStyle w:val="Tabletext"/>
            </w:pPr>
            <w:r w:rsidRPr="000E52F8">
              <w:t>Frequency of draft</w:t>
            </w:r>
          </w:p>
        </w:tc>
        <w:tc>
          <w:tcPr>
            <w:tcW w:w="0" w:type="auto"/>
          </w:tcPr>
          <w:p w14:paraId="09618A3C" w14:textId="77777777" w:rsidR="00EE070C" w:rsidRDefault="00EE070C" w:rsidP="00492F08">
            <w:pPr>
              <w:pStyle w:val="Tabletext"/>
              <w:jc w:val="center"/>
            </w:pPr>
            <w:r>
              <w:t>N</w:t>
            </w:r>
          </w:p>
        </w:tc>
        <w:tc>
          <w:tcPr>
            <w:tcW w:w="0" w:type="auto"/>
          </w:tcPr>
          <w:p w14:paraId="7E00D4FE" w14:textId="77777777" w:rsidR="00EE070C" w:rsidRDefault="00EE070C" w:rsidP="00492F08">
            <w:pPr>
              <w:pStyle w:val="Tabletext"/>
              <w:jc w:val="center"/>
            </w:pPr>
          </w:p>
        </w:tc>
        <w:tc>
          <w:tcPr>
            <w:tcW w:w="0" w:type="auto"/>
          </w:tcPr>
          <w:p w14:paraId="00F81322" w14:textId="77777777" w:rsidR="00EE070C" w:rsidRDefault="00EE070C" w:rsidP="00492F08">
            <w:pPr>
              <w:pStyle w:val="Tabletext"/>
            </w:pPr>
            <w:r>
              <w:fldChar w:fldCharType="begin"/>
            </w:r>
            <w:r>
              <w:instrText xml:space="preserve"> ADDIN ZOTERO_ITEM CSL_CITATION {"citationID":"IEkaNfhH","properties":{"formattedCitation":"(Samuelson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1CB2669B" w14:textId="77777777" w:rsidTr="00492F08">
        <w:tc>
          <w:tcPr>
            <w:tcW w:w="0" w:type="auto"/>
            <w:vMerge/>
          </w:tcPr>
          <w:p w14:paraId="27D02081" w14:textId="77777777" w:rsidR="00EE070C" w:rsidRDefault="00EE070C" w:rsidP="00492F08">
            <w:pPr>
              <w:pStyle w:val="Tabletext"/>
            </w:pPr>
          </w:p>
        </w:tc>
        <w:tc>
          <w:tcPr>
            <w:tcW w:w="0" w:type="auto"/>
          </w:tcPr>
          <w:p w14:paraId="767BC3AF" w14:textId="77777777" w:rsidR="00EE070C" w:rsidRPr="000E52F8" w:rsidRDefault="00EE070C" w:rsidP="00492F08">
            <w:pPr>
              <w:pStyle w:val="Tabletext"/>
            </w:pPr>
            <w:r>
              <w:t>Window-to-wall-ratio</w:t>
            </w:r>
          </w:p>
        </w:tc>
        <w:tc>
          <w:tcPr>
            <w:tcW w:w="0" w:type="auto"/>
          </w:tcPr>
          <w:p w14:paraId="050F1414" w14:textId="77777777" w:rsidR="00EE070C" w:rsidRDefault="00EE070C" w:rsidP="00492F08">
            <w:pPr>
              <w:pStyle w:val="Tabletext"/>
            </w:pPr>
            <w:r w:rsidRPr="000E52F8">
              <w:t>Number of windows</w:t>
            </w:r>
          </w:p>
        </w:tc>
        <w:tc>
          <w:tcPr>
            <w:tcW w:w="0" w:type="auto"/>
          </w:tcPr>
          <w:p w14:paraId="2E81EE5A" w14:textId="77777777" w:rsidR="00EE070C" w:rsidRDefault="00EE070C" w:rsidP="00492F08">
            <w:pPr>
              <w:pStyle w:val="Tabletext"/>
              <w:jc w:val="center"/>
            </w:pPr>
            <w:r>
              <w:t>N</w:t>
            </w:r>
          </w:p>
        </w:tc>
        <w:tc>
          <w:tcPr>
            <w:tcW w:w="0" w:type="auto"/>
          </w:tcPr>
          <w:p w14:paraId="49A1B72E" w14:textId="77777777" w:rsidR="00EE070C" w:rsidRDefault="00EE070C" w:rsidP="00492F08">
            <w:pPr>
              <w:pStyle w:val="Tabletext"/>
              <w:jc w:val="center"/>
            </w:pPr>
          </w:p>
        </w:tc>
        <w:tc>
          <w:tcPr>
            <w:tcW w:w="0" w:type="auto"/>
          </w:tcPr>
          <w:p w14:paraId="5BFD3A4C" w14:textId="77777777" w:rsidR="00EE070C" w:rsidRDefault="00EE070C" w:rsidP="00492F08">
            <w:pPr>
              <w:pStyle w:val="Tabletext"/>
            </w:pPr>
            <w:r>
              <w:fldChar w:fldCharType="begin"/>
            </w:r>
            <w:r>
              <w:instrText xml:space="preserve"> ADDIN ZOTERO_ITEM CSL_CITATION {"citationID":"VD2qiyfE","properties":{"formattedCitation":"(Samuelson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6E051666" w14:textId="77777777" w:rsidTr="00492F08">
        <w:tc>
          <w:tcPr>
            <w:tcW w:w="0" w:type="auto"/>
            <w:vMerge/>
          </w:tcPr>
          <w:p w14:paraId="0316F87E" w14:textId="77777777" w:rsidR="00EE070C" w:rsidRDefault="00EE070C" w:rsidP="00492F08">
            <w:pPr>
              <w:pStyle w:val="Tabletext"/>
            </w:pPr>
          </w:p>
        </w:tc>
        <w:tc>
          <w:tcPr>
            <w:tcW w:w="0" w:type="auto"/>
          </w:tcPr>
          <w:p w14:paraId="2347A562" w14:textId="77777777" w:rsidR="00EE070C" w:rsidRPr="000E52F8" w:rsidRDefault="00EE070C" w:rsidP="00492F08">
            <w:pPr>
              <w:pStyle w:val="Tabletext"/>
            </w:pPr>
            <w:r>
              <w:t>Window frame</w:t>
            </w:r>
          </w:p>
        </w:tc>
        <w:tc>
          <w:tcPr>
            <w:tcW w:w="0" w:type="auto"/>
          </w:tcPr>
          <w:p w14:paraId="0EA06F82" w14:textId="77777777" w:rsidR="00EE070C" w:rsidRDefault="00EE070C" w:rsidP="00492F08">
            <w:pPr>
              <w:pStyle w:val="Tabletext"/>
            </w:pPr>
            <w:r w:rsidRPr="002D4B49">
              <w:t>Window frame material</w:t>
            </w:r>
          </w:p>
        </w:tc>
        <w:tc>
          <w:tcPr>
            <w:tcW w:w="0" w:type="auto"/>
          </w:tcPr>
          <w:p w14:paraId="3BE27C9C" w14:textId="77777777" w:rsidR="00EE070C" w:rsidRDefault="00EE070C" w:rsidP="00492F08">
            <w:pPr>
              <w:pStyle w:val="Tabletext"/>
              <w:jc w:val="center"/>
            </w:pPr>
            <w:r>
              <w:t>C</w:t>
            </w:r>
          </w:p>
        </w:tc>
        <w:tc>
          <w:tcPr>
            <w:tcW w:w="0" w:type="auto"/>
          </w:tcPr>
          <w:p w14:paraId="7AD330DA" w14:textId="77777777" w:rsidR="00EE070C" w:rsidRDefault="00EE070C" w:rsidP="00492F08">
            <w:pPr>
              <w:pStyle w:val="Tabletext"/>
              <w:jc w:val="center"/>
            </w:pPr>
          </w:p>
        </w:tc>
        <w:tc>
          <w:tcPr>
            <w:tcW w:w="0" w:type="auto"/>
          </w:tcPr>
          <w:p w14:paraId="130626A4" w14:textId="77777777" w:rsidR="00EE070C" w:rsidRDefault="00EE070C" w:rsidP="00492F08">
            <w:pPr>
              <w:pStyle w:val="Tabletext"/>
            </w:pPr>
            <w:r>
              <w:fldChar w:fldCharType="begin"/>
            </w:r>
            <w:r>
              <w:instrText xml:space="preserve"> ADDIN ZOTERO_ITEM CSL_CITATION {"citationID":"fA5xJMCu","properties":{"formattedCitation":"(Mavrogianni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w:t>
            </w:r>
            <w:proofErr w:type="spellStart"/>
            <w:r w:rsidRPr="00B82823">
              <w:t>Mavrogianni</w:t>
            </w:r>
            <w:proofErr w:type="spellEnd"/>
            <w:r w:rsidRPr="00B82823">
              <w:t xml:space="preserve"> et al. 2012)</w:t>
            </w:r>
            <w:r>
              <w:fldChar w:fldCharType="end"/>
            </w:r>
          </w:p>
        </w:tc>
      </w:tr>
      <w:tr w:rsidR="00EE070C" w14:paraId="7DF4622B" w14:textId="77777777" w:rsidTr="00492F08">
        <w:tc>
          <w:tcPr>
            <w:tcW w:w="0" w:type="auto"/>
            <w:vMerge/>
          </w:tcPr>
          <w:p w14:paraId="5439496E" w14:textId="77777777" w:rsidR="00EE070C" w:rsidRDefault="00EE070C" w:rsidP="00492F08">
            <w:pPr>
              <w:pStyle w:val="Tabletext"/>
            </w:pPr>
          </w:p>
        </w:tc>
        <w:tc>
          <w:tcPr>
            <w:tcW w:w="0" w:type="auto"/>
          </w:tcPr>
          <w:p w14:paraId="34C2DCE6" w14:textId="77777777" w:rsidR="00EE070C" w:rsidRPr="002D4B49" w:rsidRDefault="00EE070C" w:rsidP="00492F08">
            <w:pPr>
              <w:pStyle w:val="Tabletext"/>
            </w:pPr>
            <w:r>
              <w:t>Glazing type</w:t>
            </w:r>
          </w:p>
        </w:tc>
        <w:tc>
          <w:tcPr>
            <w:tcW w:w="0" w:type="auto"/>
          </w:tcPr>
          <w:p w14:paraId="32A13886" w14:textId="77777777" w:rsidR="00EE070C" w:rsidRDefault="00EE070C" w:rsidP="00492F08">
            <w:pPr>
              <w:pStyle w:val="Tabletext"/>
            </w:pPr>
            <w:r w:rsidRPr="00D866CD">
              <w:t>Type of glass in most windows</w:t>
            </w:r>
          </w:p>
        </w:tc>
        <w:tc>
          <w:tcPr>
            <w:tcW w:w="0" w:type="auto"/>
          </w:tcPr>
          <w:p w14:paraId="6E0245C4" w14:textId="77777777" w:rsidR="00EE070C" w:rsidRDefault="00EE070C" w:rsidP="00492F08">
            <w:pPr>
              <w:pStyle w:val="Tabletext"/>
              <w:jc w:val="center"/>
            </w:pPr>
            <w:r>
              <w:t>N</w:t>
            </w:r>
          </w:p>
        </w:tc>
        <w:tc>
          <w:tcPr>
            <w:tcW w:w="0" w:type="auto"/>
          </w:tcPr>
          <w:p w14:paraId="683B6F48" w14:textId="77777777" w:rsidR="00EE070C" w:rsidRDefault="00EE070C" w:rsidP="00492F08">
            <w:pPr>
              <w:pStyle w:val="Tabletext"/>
              <w:jc w:val="center"/>
            </w:pPr>
          </w:p>
        </w:tc>
        <w:tc>
          <w:tcPr>
            <w:tcW w:w="0" w:type="auto"/>
          </w:tcPr>
          <w:p w14:paraId="4B28F965" w14:textId="77777777" w:rsidR="00EE070C" w:rsidRDefault="00EE070C" w:rsidP="00492F08">
            <w:pPr>
              <w:pStyle w:val="Tabletext"/>
            </w:pPr>
            <w:r>
              <w:fldChar w:fldCharType="begin"/>
            </w:r>
            <w:r>
              <w:instrText xml:space="preserve"> ADDIN ZOTERO_ITEM CSL_CITATION {"citationID":"rJXo7Xp7","properties":{"formattedCitation":"(Mavrogianni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B82823">
              <w:t>(</w:t>
            </w:r>
            <w:proofErr w:type="spellStart"/>
            <w:r w:rsidRPr="00B82823">
              <w:t>Mavrogianni</w:t>
            </w:r>
            <w:proofErr w:type="spellEnd"/>
            <w:r w:rsidRPr="00B82823">
              <w:t xml:space="preserve"> et al. 2012)</w:t>
            </w:r>
            <w:r>
              <w:fldChar w:fldCharType="end"/>
            </w:r>
          </w:p>
        </w:tc>
      </w:tr>
      <w:tr w:rsidR="00EE070C" w14:paraId="56DF3F3B" w14:textId="77777777" w:rsidTr="00492F08">
        <w:tc>
          <w:tcPr>
            <w:tcW w:w="0" w:type="auto"/>
            <w:vMerge w:val="restart"/>
          </w:tcPr>
          <w:p w14:paraId="2366FA98" w14:textId="77777777" w:rsidR="00EE070C" w:rsidRDefault="00EE070C" w:rsidP="00492F08">
            <w:pPr>
              <w:pStyle w:val="Tabletext"/>
            </w:pPr>
            <w:r>
              <w:t>Building HVAC</w:t>
            </w:r>
          </w:p>
        </w:tc>
        <w:tc>
          <w:tcPr>
            <w:tcW w:w="0" w:type="auto"/>
          </w:tcPr>
          <w:p w14:paraId="40A84D25" w14:textId="77777777" w:rsidR="00EE070C" w:rsidRPr="00EB0857" w:rsidRDefault="00EE070C" w:rsidP="00492F08">
            <w:pPr>
              <w:pStyle w:val="Tabletext"/>
            </w:pPr>
            <w:r>
              <w:t>AC presence</w:t>
            </w:r>
          </w:p>
        </w:tc>
        <w:tc>
          <w:tcPr>
            <w:tcW w:w="0" w:type="auto"/>
          </w:tcPr>
          <w:p w14:paraId="13A45990" w14:textId="77777777" w:rsidR="00EE070C" w:rsidRDefault="00EE070C" w:rsidP="00492F08">
            <w:pPr>
              <w:pStyle w:val="Tabletext"/>
            </w:pPr>
            <w:r w:rsidRPr="00EB0857">
              <w:t>Air conditioning equipment used</w:t>
            </w:r>
          </w:p>
        </w:tc>
        <w:tc>
          <w:tcPr>
            <w:tcW w:w="0" w:type="auto"/>
          </w:tcPr>
          <w:p w14:paraId="230CA9FA" w14:textId="77777777" w:rsidR="00EE070C" w:rsidRDefault="00EE070C" w:rsidP="00492F08">
            <w:pPr>
              <w:pStyle w:val="Tabletext"/>
              <w:jc w:val="center"/>
            </w:pPr>
            <w:r>
              <w:t>B</w:t>
            </w:r>
          </w:p>
        </w:tc>
        <w:tc>
          <w:tcPr>
            <w:tcW w:w="0" w:type="auto"/>
          </w:tcPr>
          <w:p w14:paraId="37E1AC4B" w14:textId="77777777" w:rsidR="00EE070C" w:rsidRDefault="00EE070C" w:rsidP="00492F08">
            <w:pPr>
              <w:pStyle w:val="Tabletext"/>
              <w:jc w:val="center"/>
            </w:pPr>
            <w:r>
              <w:sym w:font="Wingdings" w:char="F0FC"/>
            </w:r>
          </w:p>
        </w:tc>
        <w:tc>
          <w:tcPr>
            <w:tcW w:w="0" w:type="auto"/>
          </w:tcPr>
          <w:p w14:paraId="679B963B" w14:textId="77777777" w:rsidR="00EE070C" w:rsidRDefault="00EE070C" w:rsidP="00492F08">
            <w:pPr>
              <w:pStyle w:val="Tabletext"/>
            </w:pPr>
            <w:r>
              <w:fldChar w:fldCharType="begin"/>
            </w:r>
            <w:r>
              <w:instrText xml:space="preserve"> ADDIN ZOTERO_ITEM CSL_CITATION {"citationID":"bGKRUrWk","properties":{"formattedCitation":"(Curriero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931F71">
              <w:t>(</w:t>
            </w:r>
            <w:proofErr w:type="spellStart"/>
            <w:r w:rsidRPr="00931F71">
              <w:t>Curriero</w:t>
            </w:r>
            <w:proofErr w:type="spellEnd"/>
            <w:r w:rsidRPr="00931F71">
              <w:t xml:space="preserve"> et al. 2002)</w:t>
            </w:r>
            <w:r>
              <w:fldChar w:fldCharType="end"/>
            </w:r>
          </w:p>
        </w:tc>
      </w:tr>
      <w:tr w:rsidR="00EE070C" w14:paraId="26E368A4" w14:textId="77777777" w:rsidTr="00492F08">
        <w:tc>
          <w:tcPr>
            <w:tcW w:w="0" w:type="auto"/>
            <w:vMerge/>
          </w:tcPr>
          <w:p w14:paraId="4D89A68E" w14:textId="77777777" w:rsidR="00EE070C" w:rsidRDefault="00EE070C" w:rsidP="00492F08">
            <w:pPr>
              <w:pStyle w:val="Tabletext"/>
            </w:pPr>
          </w:p>
        </w:tc>
        <w:tc>
          <w:tcPr>
            <w:tcW w:w="0" w:type="auto"/>
          </w:tcPr>
          <w:p w14:paraId="34C7738C" w14:textId="77777777" w:rsidR="00EE070C" w:rsidRPr="00EB0857" w:rsidRDefault="00EE070C" w:rsidP="00492F08">
            <w:pPr>
              <w:pStyle w:val="Tabletext"/>
            </w:pPr>
            <w:r>
              <w:t>Heating presence</w:t>
            </w:r>
          </w:p>
        </w:tc>
        <w:tc>
          <w:tcPr>
            <w:tcW w:w="0" w:type="auto"/>
          </w:tcPr>
          <w:p w14:paraId="62A89328" w14:textId="77777777" w:rsidR="00EE070C" w:rsidRDefault="00EE070C" w:rsidP="00492F08">
            <w:pPr>
              <w:pStyle w:val="Tabletext"/>
            </w:pPr>
            <w:r w:rsidRPr="00EB0857">
              <w:t>Space heating used</w:t>
            </w:r>
          </w:p>
        </w:tc>
        <w:tc>
          <w:tcPr>
            <w:tcW w:w="0" w:type="auto"/>
          </w:tcPr>
          <w:p w14:paraId="78224270" w14:textId="77777777" w:rsidR="00EE070C" w:rsidRDefault="00EE070C" w:rsidP="00492F08">
            <w:pPr>
              <w:pStyle w:val="Tabletext"/>
              <w:jc w:val="center"/>
            </w:pPr>
            <w:r>
              <w:t>B</w:t>
            </w:r>
          </w:p>
        </w:tc>
        <w:tc>
          <w:tcPr>
            <w:tcW w:w="0" w:type="auto"/>
          </w:tcPr>
          <w:p w14:paraId="555BCBE1" w14:textId="77777777" w:rsidR="00EE070C" w:rsidRDefault="00EE070C" w:rsidP="00492F08">
            <w:pPr>
              <w:pStyle w:val="Tabletext"/>
              <w:jc w:val="center"/>
            </w:pPr>
            <w:r>
              <w:sym w:font="Wingdings" w:char="F0FC"/>
            </w:r>
          </w:p>
        </w:tc>
        <w:tc>
          <w:tcPr>
            <w:tcW w:w="0" w:type="auto"/>
          </w:tcPr>
          <w:p w14:paraId="3DA9670E" w14:textId="77777777" w:rsidR="00EE070C" w:rsidRDefault="00EE070C" w:rsidP="00492F08">
            <w:pPr>
              <w:pStyle w:val="Tabletext"/>
            </w:pPr>
            <w:r>
              <w:fldChar w:fldCharType="begin"/>
            </w:r>
            <w:r>
              <w:instrText xml:space="preserve"> ADDIN ZOTERO_ITEM CSL_CITATION {"citationID":"ctuRDqTF","properties":{"formattedCitation":"(Curriero et al. 2002)","plainCitation":"(Curriero et al. 2002)","noteIndex":0},"citationItems":[{"id":1442,"uris":["http://zotero.org/users/4259226/items/SMTBQKCK"],"uri":["http://zotero.org/users/4259226/items/SMTBQKCK"],"itemData":{"id":1442,"type":"article-journal","abstract":"Episodes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States","volume":"155","author":[{"family":"Curriero","given":"Frank C."},{"family":"Heiner","given":"Karlyn S."},{"family":"Samet","given":"Jonathan M."},{"family":"Zeger","given":"Scott L."},{"family":"Strug","given":"Lisa"},{"family":"Patz","given":"Jonathan A."}],"issued":{"date-parts":[["2002",1,1]]}}}],"schema":"https://github.com/citation-style-language/schema/raw/master/csl-citation.json"} </w:instrText>
            </w:r>
            <w:r>
              <w:fldChar w:fldCharType="separate"/>
            </w:r>
            <w:r w:rsidRPr="004366BF">
              <w:t>(</w:t>
            </w:r>
            <w:proofErr w:type="spellStart"/>
            <w:r w:rsidRPr="004366BF">
              <w:t>Curriero</w:t>
            </w:r>
            <w:proofErr w:type="spellEnd"/>
            <w:r w:rsidRPr="004366BF">
              <w:t xml:space="preserve"> et al. 2002)</w:t>
            </w:r>
            <w:r>
              <w:fldChar w:fldCharType="end"/>
            </w:r>
          </w:p>
        </w:tc>
      </w:tr>
      <w:tr w:rsidR="00EE070C" w14:paraId="0DD77CBA" w14:textId="77777777" w:rsidTr="00492F08">
        <w:tc>
          <w:tcPr>
            <w:tcW w:w="0" w:type="auto"/>
            <w:vMerge/>
          </w:tcPr>
          <w:p w14:paraId="7D322C46" w14:textId="77777777" w:rsidR="00EE070C" w:rsidRDefault="00EE070C" w:rsidP="00492F08">
            <w:pPr>
              <w:pStyle w:val="Tabletext"/>
            </w:pPr>
          </w:p>
        </w:tc>
        <w:tc>
          <w:tcPr>
            <w:tcW w:w="0" w:type="auto"/>
          </w:tcPr>
          <w:p w14:paraId="08D96B53" w14:textId="77777777" w:rsidR="00EE070C" w:rsidRDefault="00EE070C" w:rsidP="00492F08">
            <w:pPr>
              <w:pStyle w:val="Tabletext"/>
            </w:pPr>
            <w:r>
              <w:t>AC type</w:t>
            </w:r>
          </w:p>
        </w:tc>
        <w:tc>
          <w:tcPr>
            <w:tcW w:w="0" w:type="auto"/>
          </w:tcPr>
          <w:p w14:paraId="17F7063A" w14:textId="77777777" w:rsidR="00EE070C" w:rsidRPr="00EB0857" w:rsidRDefault="00EE070C" w:rsidP="00492F08">
            <w:pPr>
              <w:pStyle w:val="Tabletext"/>
            </w:pPr>
            <w:r w:rsidRPr="00EB0857">
              <w:t>Type of air conditioning equipment used</w:t>
            </w:r>
            <w:r>
              <w:t>.</w:t>
            </w:r>
          </w:p>
        </w:tc>
        <w:tc>
          <w:tcPr>
            <w:tcW w:w="0" w:type="auto"/>
          </w:tcPr>
          <w:p w14:paraId="7AB6A5F3" w14:textId="77777777" w:rsidR="00EE070C" w:rsidRDefault="00EE070C" w:rsidP="00492F08">
            <w:pPr>
              <w:pStyle w:val="Tabletext"/>
              <w:jc w:val="center"/>
            </w:pPr>
            <w:r>
              <w:t>C</w:t>
            </w:r>
          </w:p>
        </w:tc>
        <w:tc>
          <w:tcPr>
            <w:tcW w:w="0" w:type="auto"/>
          </w:tcPr>
          <w:p w14:paraId="4C095509" w14:textId="77777777" w:rsidR="00EE070C" w:rsidRDefault="00EE070C" w:rsidP="00492F08">
            <w:pPr>
              <w:pStyle w:val="Tabletext"/>
              <w:jc w:val="center"/>
            </w:pPr>
          </w:p>
        </w:tc>
        <w:tc>
          <w:tcPr>
            <w:tcW w:w="0" w:type="auto"/>
          </w:tcPr>
          <w:p w14:paraId="1D101A8E" w14:textId="77777777" w:rsidR="00EE070C" w:rsidRDefault="00EE070C" w:rsidP="00492F08">
            <w:pPr>
              <w:pStyle w:val="Tabletext"/>
            </w:pPr>
            <w:r>
              <w:fldChar w:fldCharType="begin"/>
            </w:r>
            <w:r>
              <w:instrText xml:space="preserve"> ADDIN ZOTERO_ITEM CSL_CITATION {"citationID":"hdux0WA4","properties":{"formattedCitation":"(O\\uc0\\u8217{}Neill,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 xml:space="preserve">(O’Neill, </w:t>
            </w:r>
            <w:proofErr w:type="spellStart"/>
            <w:r w:rsidRPr="00687A62">
              <w:rPr>
                <w:rFonts w:cs="Times New Roman"/>
                <w:szCs w:val="24"/>
              </w:rPr>
              <w:t>Zanobetti</w:t>
            </w:r>
            <w:proofErr w:type="spellEnd"/>
            <w:r w:rsidRPr="00687A62">
              <w:rPr>
                <w:rFonts w:cs="Times New Roman"/>
                <w:szCs w:val="24"/>
              </w:rPr>
              <w:t xml:space="preserve">, and Schwartz 2005; </w:t>
            </w:r>
            <w:r w:rsidRPr="00687A62">
              <w:rPr>
                <w:rFonts w:cs="Times New Roman"/>
                <w:szCs w:val="24"/>
              </w:rPr>
              <w:lastRenderedPageBreak/>
              <w:t>Samuelson et al. 2020)</w:t>
            </w:r>
            <w:r>
              <w:fldChar w:fldCharType="end"/>
            </w:r>
          </w:p>
        </w:tc>
      </w:tr>
      <w:tr w:rsidR="00EE070C" w14:paraId="5A5C8CD9" w14:textId="77777777" w:rsidTr="00492F08">
        <w:tc>
          <w:tcPr>
            <w:tcW w:w="0" w:type="auto"/>
            <w:vMerge/>
          </w:tcPr>
          <w:p w14:paraId="1ED89575" w14:textId="77777777" w:rsidR="00EE070C" w:rsidRDefault="00EE070C" w:rsidP="00492F08">
            <w:pPr>
              <w:pStyle w:val="Tabletext"/>
            </w:pPr>
          </w:p>
        </w:tc>
        <w:tc>
          <w:tcPr>
            <w:tcW w:w="0" w:type="auto"/>
          </w:tcPr>
          <w:p w14:paraId="75EA7195" w14:textId="77777777" w:rsidR="00EE070C" w:rsidRDefault="00EE070C" w:rsidP="00492F08">
            <w:pPr>
              <w:pStyle w:val="Tabletext"/>
            </w:pPr>
            <w:r>
              <w:t>Heating type</w:t>
            </w:r>
          </w:p>
        </w:tc>
        <w:tc>
          <w:tcPr>
            <w:tcW w:w="0" w:type="auto"/>
          </w:tcPr>
          <w:p w14:paraId="3E14574B" w14:textId="77777777" w:rsidR="00EE070C" w:rsidRPr="00EB0857" w:rsidRDefault="00EE070C" w:rsidP="00492F08">
            <w:pPr>
              <w:pStyle w:val="Tabletext"/>
            </w:pPr>
            <w:r w:rsidRPr="00EB0857">
              <w:t>Main space heating equipment type</w:t>
            </w:r>
            <w:r>
              <w:t>.</w:t>
            </w:r>
          </w:p>
        </w:tc>
        <w:tc>
          <w:tcPr>
            <w:tcW w:w="0" w:type="auto"/>
          </w:tcPr>
          <w:p w14:paraId="2D659CF5" w14:textId="77777777" w:rsidR="00EE070C" w:rsidRDefault="00EE070C" w:rsidP="00492F08">
            <w:pPr>
              <w:pStyle w:val="Tabletext"/>
              <w:jc w:val="center"/>
            </w:pPr>
            <w:r>
              <w:t>C</w:t>
            </w:r>
          </w:p>
        </w:tc>
        <w:tc>
          <w:tcPr>
            <w:tcW w:w="0" w:type="auto"/>
          </w:tcPr>
          <w:p w14:paraId="2E432C23" w14:textId="77777777" w:rsidR="00EE070C" w:rsidRDefault="00EE070C" w:rsidP="00492F08">
            <w:pPr>
              <w:pStyle w:val="Tabletext"/>
              <w:jc w:val="center"/>
            </w:pPr>
          </w:p>
        </w:tc>
        <w:tc>
          <w:tcPr>
            <w:tcW w:w="0" w:type="auto"/>
          </w:tcPr>
          <w:p w14:paraId="6200F8FA" w14:textId="77777777" w:rsidR="00EE070C" w:rsidRDefault="00EE070C" w:rsidP="00492F08">
            <w:pPr>
              <w:pStyle w:val="Tabletext"/>
            </w:pPr>
            <w:r>
              <w:fldChar w:fldCharType="begin"/>
            </w:r>
            <w:r>
              <w:instrText xml:space="preserve"> ADDIN ZOTERO_ITEM CSL_CITATION {"citationID":"9Bp9FF0H","properties":{"formattedCitation":"(O\\uc0\\u8217{}Neill, Zanobetti, and Schwartz 2005; Samuelson et al. 2020)","plainCitation":"(O’Neill, Zanobetti, and Schwartz 2005; Samuelson et al. 2020)","noteIndex":0},"citationItems":[{"id":364,"uris":["http://zotero.org/users/4259226/items/T9J4U9SX",["http://zotero.org/users/4259226/items/T9J4U9SX"]],"itemData":{"id":364,"type":"article-journal","abstract":"Daily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rPr>
                <w:rFonts w:cs="Times New Roman"/>
                <w:szCs w:val="24"/>
              </w:rPr>
              <w:t xml:space="preserve">(O’Neill, </w:t>
            </w:r>
            <w:proofErr w:type="spellStart"/>
            <w:r w:rsidRPr="00687A62">
              <w:rPr>
                <w:rFonts w:cs="Times New Roman"/>
                <w:szCs w:val="24"/>
              </w:rPr>
              <w:t>Zanobetti</w:t>
            </w:r>
            <w:proofErr w:type="spellEnd"/>
            <w:r w:rsidRPr="00687A62">
              <w:rPr>
                <w:rFonts w:cs="Times New Roman"/>
                <w:szCs w:val="24"/>
              </w:rPr>
              <w:t>, and Schwartz 2005; Samuelson et al. 2020)</w:t>
            </w:r>
            <w:r>
              <w:fldChar w:fldCharType="end"/>
            </w:r>
          </w:p>
        </w:tc>
      </w:tr>
      <w:tr w:rsidR="00EE070C" w14:paraId="4F307C55" w14:textId="77777777" w:rsidTr="00492F08">
        <w:tc>
          <w:tcPr>
            <w:tcW w:w="0" w:type="auto"/>
            <w:vMerge/>
          </w:tcPr>
          <w:p w14:paraId="2B944E9B" w14:textId="77777777" w:rsidR="00EE070C" w:rsidRDefault="00EE070C" w:rsidP="00492F08">
            <w:pPr>
              <w:pStyle w:val="Tabletext"/>
            </w:pPr>
          </w:p>
        </w:tc>
        <w:tc>
          <w:tcPr>
            <w:tcW w:w="0" w:type="auto"/>
          </w:tcPr>
          <w:p w14:paraId="739847C1" w14:textId="77777777" w:rsidR="00EE070C" w:rsidRDefault="00EE070C" w:rsidP="00492F08">
            <w:pPr>
              <w:pStyle w:val="Tabletext"/>
            </w:pPr>
            <w:r>
              <w:t>Energy insecurity</w:t>
            </w:r>
          </w:p>
        </w:tc>
        <w:tc>
          <w:tcPr>
            <w:tcW w:w="0" w:type="auto"/>
          </w:tcPr>
          <w:p w14:paraId="3405A0D7" w14:textId="77777777" w:rsidR="00EE070C" w:rsidRDefault="00EE070C" w:rsidP="00492F08">
            <w:pPr>
              <w:pStyle w:val="Tabletext"/>
            </w:pPr>
            <w:r>
              <w:t>Household reported difficulty paying energy bills; repairing or replacing broken heating or cooling equipment; or that they had kept their home at unsafe temperatures because of cost concerns</w:t>
            </w:r>
          </w:p>
        </w:tc>
        <w:tc>
          <w:tcPr>
            <w:tcW w:w="0" w:type="auto"/>
          </w:tcPr>
          <w:p w14:paraId="56F816F8" w14:textId="77777777" w:rsidR="00EE070C" w:rsidRDefault="00EE070C" w:rsidP="00492F08">
            <w:pPr>
              <w:pStyle w:val="Tabletext"/>
              <w:jc w:val="center"/>
            </w:pPr>
            <w:r>
              <w:t>B</w:t>
            </w:r>
          </w:p>
        </w:tc>
        <w:tc>
          <w:tcPr>
            <w:tcW w:w="0" w:type="auto"/>
          </w:tcPr>
          <w:p w14:paraId="06961126" w14:textId="77777777" w:rsidR="00EE070C" w:rsidRPr="00A4046F" w:rsidRDefault="00EE070C" w:rsidP="00492F08">
            <w:pPr>
              <w:pStyle w:val="Tabletext"/>
              <w:jc w:val="center"/>
            </w:pPr>
          </w:p>
        </w:tc>
        <w:tc>
          <w:tcPr>
            <w:tcW w:w="0" w:type="auto"/>
          </w:tcPr>
          <w:p w14:paraId="461C853E" w14:textId="77777777" w:rsidR="00EE070C" w:rsidRDefault="00EE070C" w:rsidP="00492F08">
            <w:pPr>
              <w:pStyle w:val="Tabletext"/>
            </w:pPr>
            <w:r w:rsidRPr="00A4046F">
              <w:t>Naughton et al. 2002; MCDPH 2019)</w:t>
            </w:r>
          </w:p>
        </w:tc>
      </w:tr>
      <w:tr w:rsidR="00EE070C" w14:paraId="255352E3" w14:textId="77777777" w:rsidTr="00492F08">
        <w:tc>
          <w:tcPr>
            <w:tcW w:w="0" w:type="auto"/>
            <w:vMerge/>
          </w:tcPr>
          <w:p w14:paraId="121E966F" w14:textId="77777777" w:rsidR="00EE070C" w:rsidRDefault="00EE070C" w:rsidP="00492F08">
            <w:pPr>
              <w:pStyle w:val="Tabletext"/>
            </w:pPr>
          </w:p>
        </w:tc>
        <w:tc>
          <w:tcPr>
            <w:tcW w:w="0" w:type="auto"/>
          </w:tcPr>
          <w:p w14:paraId="3A7DD3BA" w14:textId="77777777" w:rsidR="00EE070C" w:rsidRPr="00EB0857" w:rsidRDefault="00EE070C" w:rsidP="00492F08">
            <w:pPr>
              <w:pStyle w:val="Tabletext"/>
            </w:pPr>
            <w:r>
              <w:t>Ceiling fans</w:t>
            </w:r>
          </w:p>
        </w:tc>
        <w:tc>
          <w:tcPr>
            <w:tcW w:w="0" w:type="auto"/>
          </w:tcPr>
          <w:p w14:paraId="08305147" w14:textId="77777777" w:rsidR="00EE070C" w:rsidRPr="00EB0857" w:rsidRDefault="00EE070C" w:rsidP="00492F08">
            <w:pPr>
              <w:pStyle w:val="Tabletext"/>
            </w:pPr>
            <w:r w:rsidRPr="00EB0857">
              <w:t>Number of ceiling fans used</w:t>
            </w:r>
          </w:p>
        </w:tc>
        <w:tc>
          <w:tcPr>
            <w:tcW w:w="0" w:type="auto"/>
          </w:tcPr>
          <w:p w14:paraId="40AAC7F1" w14:textId="77777777" w:rsidR="00EE070C" w:rsidRDefault="00EE070C" w:rsidP="00492F08">
            <w:pPr>
              <w:pStyle w:val="Tabletext"/>
              <w:jc w:val="center"/>
            </w:pPr>
            <w:r>
              <w:t>N</w:t>
            </w:r>
          </w:p>
        </w:tc>
        <w:tc>
          <w:tcPr>
            <w:tcW w:w="0" w:type="auto"/>
          </w:tcPr>
          <w:p w14:paraId="72C53666" w14:textId="77777777" w:rsidR="00EE070C" w:rsidRDefault="00EE070C" w:rsidP="00492F08">
            <w:pPr>
              <w:pStyle w:val="Tabletext"/>
              <w:jc w:val="center"/>
            </w:pPr>
          </w:p>
        </w:tc>
        <w:tc>
          <w:tcPr>
            <w:tcW w:w="0" w:type="auto"/>
          </w:tcPr>
          <w:p w14:paraId="12C4DCB2" w14:textId="77777777" w:rsidR="00EE070C" w:rsidRDefault="00EE070C" w:rsidP="00492F08">
            <w:pPr>
              <w:pStyle w:val="Tabletext"/>
            </w:pPr>
            <w:r>
              <w:fldChar w:fldCharType="begin"/>
            </w:r>
            <w:r>
              <w:instrText xml:space="preserve"> ADDIN ZOTERO_ITEM CSL_CITATION {"citationID":"4E2G9DgR","properties":{"formattedCitation":"(Samuelson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7C75383" w14:textId="77777777" w:rsidTr="00492F08">
        <w:trPr>
          <w:trHeight w:val="56"/>
        </w:trPr>
        <w:tc>
          <w:tcPr>
            <w:tcW w:w="0" w:type="auto"/>
            <w:vMerge/>
          </w:tcPr>
          <w:p w14:paraId="089F871D" w14:textId="77777777" w:rsidR="00EE070C" w:rsidRDefault="00EE070C" w:rsidP="00492F08">
            <w:pPr>
              <w:pStyle w:val="Tabletext"/>
            </w:pPr>
          </w:p>
        </w:tc>
        <w:tc>
          <w:tcPr>
            <w:tcW w:w="0" w:type="auto"/>
          </w:tcPr>
          <w:p w14:paraId="6B0F234C" w14:textId="77777777" w:rsidR="00EE070C" w:rsidRPr="00EB0857" w:rsidRDefault="00EE070C" w:rsidP="00492F08">
            <w:pPr>
              <w:pStyle w:val="Tabletext"/>
            </w:pPr>
            <w:r>
              <w:t>Floor fans</w:t>
            </w:r>
          </w:p>
        </w:tc>
        <w:tc>
          <w:tcPr>
            <w:tcW w:w="0" w:type="auto"/>
          </w:tcPr>
          <w:p w14:paraId="3ECA0A8D" w14:textId="77777777" w:rsidR="00EE070C" w:rsidRPr="00EB0857" w:rsidRDefault="00EE070C" w:rsidP="00492F08">
            <w:pPr>
              <w:pStyle w:val="Tabletext"/>
            </w:pPr>
            <w:r w:rsidRPr="00EB0857">
              <w:t>Number of floor, window, or table fans used</w:t>
            </w:r>
          </w:p>
        </w:tc>
        <w:tc>
          <w:tcPr>
            <w:tcW w:w="0" w:type="auto"/>
          </w:tcPr>
          <w:p w14:paraId="6803AB4C" w14:textId="77777777" w:rsidR="00EE070C" w:rsidRDefault="00EE070C" w:rsidP="00492F08">
            <w:pPr>
              <w:pStyle w:val="Tabletext"/>
              <w:jc w:val="center"/>
            </w:pPr>
            <w:r>
              <w:t>N</w:t>
            </w:r>
          </w:p>
        </w:tc>
        <w:tc>
          <w:tcPr>
            <w:tcW w:w="0" w:type="auto"/>
          </w:tcPr>
          <w:p w14:paraId="6FCF67E9" w14:textId="77777777" w:rsidR="00EE070C" w:rsidRDefault="00EE070C" w:rsidP="00492F08">
            <w:pPr>
              <w:pStyle w:val="Tabletext"/>
              <w:jc w:val="center"/>
            </w:pPr>
          </w:p>
        </w:tc>
        <w:tc>
          <w:tcPr>
            <w:tcW w:w="0" w:type="auto"/>
          </w:tcPr>
          <w:p w14:paraId="02D245AB" w14:textId="77777777" w:rsidR="00EE070C" w:rsidRDefault="00EE070C" w:rsidP="00492F08">
            <w:pPr>
              <w:pStyle w:val="Tabletext"/>
            </w:pPr>
            <w:r>
              <w:fldChar w:fldCharType="begin"/>
            </w:r>
            <w:r>
              <w:instrText xml:space="preserve"> ADDIN ZOTERO_ITEM CSL_CITATION {"citationID":"vgz8LZI1","properties":{"formattedCitation":"(Samuelson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p>
        </w:tc>
      </w:tr>
      <w:tr w:rsidR="00EE070C" w14:paraId="5B82DEC4" w14:textId="77777777" w:rsidTr="00492F08">
        <w:trPr>
          <w:trHeight w:val="56"/>
        </w:trPr>
        <w:tc>
          <w:tcPr>
            <w:tcW w:w="0" w:type="auto"/>
            <w:vMerge/>
          </w:tcPr>
          <w:p w14:paraId="14DBB0BF" w14:textId="77777777" w:rsidR="00EE070C" w:rsidRDefault="00EE070C" w:rsidP="00492F08">
            <w:pPr>
              <w:pStyle w:val="Tabletext"/>
            </w:pPr>
          </w:p>
        </w:tc>
        <w:tc>
          <w:tcPr>
            <w:tcW w:w="0" w:type="auto"/>
          </w:tcPr>
          <w:p w14:paraId="4B1845EF" w14:textId="77777777" w:rsidR="00EE070C" w:rsidRDefault="00EE070C" w:rsidP="00492F08">
            <w:pPr>
              <w:pStyle w:val="Tabletext"/>
            </w:pPr>
            <w:r>
              <w:t>Off-grid</w:t>
            </w:r>
          </w:p>
        </w:tc>
        <w:tc>
          <w:tcPr>
            <w:tcW w:w="0" w:type="auto"/>
          </w:tcPr>
          <w:p w14:paraId="7D3FC4A7" w14:textId="77777777" w:rsidR="00EE070C" w:rsidRPr="00EB0857" w:rsidRDefault="00EE070C" w:rsidP="00492F08">
            <w:pPr>
              <w:pStyle w:val="Tabletext"/>
            </w:pPr>
            <w:r>
              <w:t>Home has back-up generator or on-site solar electricity generation</w:t>
            </w:r>
          </w:p>
        </w:tc>
        <w:tc>
          <w:tcPr>
            <w:tcW w:w="0" w:type="auto"/>
          </w:tcPr>
          <w:p w14:paraId="12682AEA" w14:textId="77777777" w:rsidR="00EE070C" w:rsidRDefault="00EE070C" w:rsidP="00492F08">
            <w:pPr>
              <w:pStyle w:val="Tabletext"/>
              <w:jc w:val="center"/>
            </w:pPr>
            <w:r>
              <w:t>B</w:t>
            </w:r>
          </w:p>
        </w:tc>
        <w:tc>
          <w:tcPr>
            <w:tcW w:w="0" w:type="auto"/>
          </w:tcPr>
          <w:p w14:paraId="41430A3B" w14:textId="77777777" w:rsidR="00EE070C" w:rsidRDefault="00EE070C" w:rsidP="00492F08">
            <w:pPr>
              <w:pStyle w:val="Tabletext"/>
              <w:jc w:val="center"/>
            </w:pPr>
          </w:p>
        </w:tc>
        <w:tc>
          <w:tcPr>
            <w:tcW w:w="0" w:type="auto"/>
          </w:tcPr>
          <w:p w14:paraId="43EC4E41" w14:textId="77777777" w:rsidR="00EE070C" w:rsidRDefault="00EE070C" w:rsidP="00492F08">
            <w:pPr>
              <w:pStyle w:val="Tabletext"/>
            </w:pPr>
          </w:p>
        </w:tc>
      </w:tr>
    </w:tbl>
    <w:p w14:paraId="5C1837C6" w14:textId="391CF214" w:rsidR="00EE070C" w:rsidRDefault="00EE070C" w:rsidP="00EE070C">
      <w:pPr>
        <w:pStyle w:val="Tabletext"/>
        <w:spacing w:after="160"/>
      </w:pPr>
      <w:r>
        <w:rPr>
          <w:vertAlign w:val="superscript"/>
        </w:rPr>
        <w:t>a</w:t>
      </w:r>
      <w:r>
        <w:t xml:space="preserve"> Type includes categorical (C), numerical (N), and binary (B)</w:t>
      </w:r>
    </w:p>
    <w:p w14:paraId="0CEA90A0" w14:textId="77777777" w:rsidR="00125F1F" w:rsidRDefault="00125F1F" w:rsidP="00125F1F">
      <w:pPr>
        <w:pStyle w:val="Heading3List"/>
      </w:pPr>
      <w:r>
        <w:t>Building construction</w:t>
      </w:r>
    </w:p>
    <w:p w14:paraId="2B20674E" w14:textId="184A3D65" w:rsidR="008D0432" w:rsidRDefault="008D0432" w:rsidP="008D0432">
      <w:r>
        <w:t xml:space="preserve">Building construction represents variables related to the building age and form. As mentioned in Section </w:t>
      </w:r>
      <w:r w:rsidR="00274451">
        <w:fldChar w:fldCharType="begin"/>
      </w:r>
      <w:r w:rsidR="00274451">
        <w:instrText xml:space="preserve"> REF _Ref150108267 \r \h </w:instrText>
      </w:r>
      <w:r w:rsidR="00274451">
        <w:fldChar w:fldCharType="separate"/>
      </w:r>
      <w:r w:rsidR="00274451">
        <w:t>1.2</w:t>
      </w:r>
      <w:r w:rsidR="00274451">
        <w:fldChar w:fldCharType="end"/>
      </w:r>
      <w:r>
        <w:t xml:space="preserve">, several city and state-level HVI use construction age as a </w:t>
      </w:r>
      <w:r w:rsidR="00274451">
        <w:t>catch-all</w:t>
      </w:r>
      <w:r>
        <w:t xml:space="preserve"> for other </w:t>
      </w:r>
      <w:r w:rsidR="00274451">
        <w:t xml:space="preserve">building </w:t>
      </w:r>
      <w:r>
        <w:t xml:space="preserve">characteristics </w:t>
      </w:r>
      <w:r>
        <w:fldChar w:fldCharType="begin"/>
      </w:r>
      <w:r w:rsidR="00351C61">
        <w:instrText xml:space="preserve"> ADDIN ZOTERO_ITEM CSL_CITATION {"citationID":"gAkNRE3i","properties":{"formattedCitation":"(Rinner et al. 2010; Uejio et al. 2011; Nayak et al. 2018)","plainCitation":"(Rinner et al. 2010; Uejio et al. 2011; Nayak et al. 2018)","noteIndex":0},"citationItems":[{"id":300,"uris":["http://zotero.org/users/4259226/items/NMDWFU2C",["http://zotero.org/users/4259226/items/NMDWFU2C"]],"itemData":{"id":300,"type":"article-journal","abstract":"Extreme hot weather is a threat to public health, and it is anticipated that the number of hot days and the duration of extreme heat events will increase with climate change. Already, heat-related illness and mortality is the dominant natural hazard in many countries. While everybody is at risk to varying degrees, there are known factors relating to heat exposure and sensitivity that make some population groups more vulnerable than others. The objective of this paper is to assess cartographic design decisions in creating heat vulnerability maps, and how they may affect the usefulness of different map types. Spatial patterns of heat vulnerability were visualized using maps representing individual exposure and sensitivity indicators, composite vulnerability indices, and geographical hot spots of vulnerability. The composite indices were calculated using the ordered weighted averaging (OWA) multi-criteria analysis method. Hot spots were determined using local indicators of spatial association (LISA). This study is part of an ongoing project which aims to identify vulnerable populations within the City of Toronto, Canada, in order to support targeted response and mitigation. The maps were found to be a valuable addition to the hot weather planning toolkit supporting neighborhood-level interventions.","container-title":"Cartography and Geographic Information Science","DOI":"10.1559/152304010790588089","ISSN":"1523-0406","issue":"1","note":"publisher: Taylor &amp; Francis\n_eprint: https://doi.org/10.1559/152304010790588089","page":"31-44","source":"Taylor and Francis+NEJM","title":"The Role of Maps in Neighborhood-level Heat Vulnerability Assessment for the City of Toronto","URL":"https://doi.org/10.1559/152304010790588089","volume":"37","author":[{"family":"Rinner","given":"Claus"},{"family":"Patychuk","given":"Dianne"},{"family":"Bassil","given":"Kate"},{"family":"Nasr","given":"Shiraz"},{"family":"Gower","given":"Stephanie"},{"family":"Campbell","given":"Monica"}],"accessed":{"date-parts":[["2021",6,8]]},"issued":{"date-parts":[["2010",1,1]]}}},{"id":477,"uris":["http://zotero.org/users/4259226/items/NHEYK9AI",["http://zotero.org/users/4259226/items/NHEYK9AI"]],"itemData":{"id":477,"type":"article-journal","abstract":"Extreme heat is an important weather hazard associated with excess mortality and morbidity. We determine the relative importance of heat exposure and the built environment, socioeconomic vulnerability, and neighborhood stability for heat mortality (Philadelphia, PA, USA) or heat distress (Phoenix, AZ, USA), using an ecologic study design. We use spatial Generalized Linear and Mixed Models to account for non-independence (spatial autocorrelation) between neighboring census block groups. Failing to account for spatial autocorrelation can provide misleading statistical results. Phoenix neighborhoods with more heat exposure, Black, Hispanic, linguistically and socially isolated residents, and vacant households made more heat distress calls. Philadelphia heat mortality neighborhoods were more likely to have low housing values and a higher proportion of Black residents. Our methodology can identify important risk factors and geographic areas to target interventions.","collection-title":"Geographies of Care","container-title":"Health &amp; Place","DOI":"10.1016/j.healthplace.2010.12.005","ISSN":"1353-8292","issue":"2","journalAbbreviation":"Health &amp; Place","language":"en","page":"498-507","source":"ScienceDirect","title":"Intra-urban societal vulnerability to extreme heat: The role of heat exposure and the built environment, socioeconomics, and neighborhood stability","title-short":"Intra-urban societal vulnerability to extreme heat","URL":"https://www.sciencedirect.com/science/article/pii/S1353829210001838","volume":"17","author":[{"family":"Uejio","given":"Christopher K."},{"family":"Wilhelmi","given":"Olga V."},{"family":"Golden","given":"Jay S."},{"family":"Mills","given":"David M."},{"family":"Gulino","given":"Sam P."},{"family":"Samenow","given":"Jason P."}],"accessed":{"date-parts":[["2021",6,8]]},"issued":{"date-parts":[["2011",3,1]]}}},{"id":309,"uris":["http://zotero.org/users/4259226/items/RAGBKUL2",["http://zotero.org/users/4259226/items/RAGBKUL2"]],"itemData":{"id":309,"type":"article-journal","abstract":"Objectives\nThe frequency and intensity of extreme heat events are increasing in New York State (NYS) and have been linked with increased heat-related morbidity and mortality. But these effects are not uniform across the state and can vary across large regions due to regional sociodemographic and environmental factors which impact an individual's response or adaptive capacity to heat and in turn contribute to vulnerability among certain populations. We developed a heat vulnerability index (HVI) to identify heat-vulnerable populations and regions in NYS.\nStudy design\nCensus tract level environmental and sociodemographic heat-vulnerability variables were used to develop the HVI to identify heat-vulnerable populations and areas.\nMethods\nVariables were identified from a comprehensive literature review and climate-health research in NYS. We obtained data from 2010 US Census Bureau and 2011 National Land Cover Database. We used principal component analysis to reduce correlated variables to fewer uncorrelated components, and then calculated the cumulative HVI for each census tract by summing up the scores across the components. The HVI was then mapped across NYS (excluding New York City) to display spatial vulnerability. The prevalence rates of heat stress were compared across HVI score categories.\nResults\nThirteen variables were reduced to four meaningful components representing 1) social/language vulnerability; 2) socioeconomic vulnerability; 3) environmental/urban vulnerability; and 4) elderly/ social isolation. Vulnerability to heat varied spatially in NYS with the HVI showing that metropolitan areas were most vulnerable, with language barriers and socioeconomic disadvantage contributing to the most vulnerability. Reliability of the HVI was supported by preliminary results where higher rates of heat stress were collocated in the regions with the highest HVI.\nConclusions\nThe NYS HVI showed spatial variability in heat vulnerability across the state. Mapping the HVI allows quick identification of regions in NYS that could benefit from targeted interventions. The HVI will be used as a planning tool to help allocate appropriate adaptation measures like cooling centers and issue heat alerts to mitigate effects of heat in vulnerable areas.","collection-title":"Special issue on Health and high temperatures","container-title":"Public Health","DOI":"10.1016/j.puhe.2017.09.006","ISSN":"0033-3506","journalAbbreviation":"Public Health","language":"en","page":"127-137","source":"ScienceDirect","title":"Development of a heat vulnerability index for New York State","URL":"https://www.sciencedirect.com/science/article/pii/S003335061730327X","volume":"161","author":[{"family":"Nayak","given":"S. G."},{"family":"Shrestha","given":"S."},{"family":"Kinney","given":"P. L."},{"family":"Ross","given":"Z."},{"family":"Sheridan","given":"S. C."},{"family":"Pantea","given":"C. I."},{"family":"Hsu","given":"W. H."},{"family":"Muscatiello","given":"N."},{"family":"Hwang","given":"S. A."}],"accessed":{"date-parts":[["2021",6,8]]},"issued":{"date-parts":[["2018",8,1]]}}}],"schema":"https://github.com/citation-style-language/schema/raw/master/csl-citation.json"} </w:instrText>
      </w:r>
      <w:r>
        <w:fldChar w:fldCharType="separate"/>
      </w:r>
      <w:r w:rsidRPr="00C94FC7">
        <w:t>(Rinner et al. 2010; Uejio et al. 2011; Nayak et al. 2018)</w:t>
      </w:r>
      <w:r>
        <w:fldChar w:fldCharType="end"/>
      </w:r>
      <w:r>
        <w:t xml:space="preserve">. A building performance simulation study of London dwellings found a significant impact of archetype, a combination of construction age and construction type on overheating risk </w:t>
      </w:r>
      <w:r>
        <w:fldChar w:fldCharType="begin"/>
      </w:r>
      <w:r w:rsidR="00351C61">
        <w:instrText xml:space="preserve"> ADDIN ZOTERO_ITEM CSL_CITATION {"citationID":"Do9dSpGB","properties":{"formattedCitation":"(Mavrogianni et al. 2012)","plainCitation":"(Mavrogianni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schema":"https://github.com/citation-style-language/schema/raw/master/csl-citation.json"} </w:instrText>
      </w:r>
      <w:r>
        <w:fldChar w:fldCharType="separate"/>
      </w:r>
      <w:r w:rsidRPr="00E606B8">
        <w:t>(Mavrogianni et al. 2012)</w:t>
      </w:r>
      <w:r>
        <w:fldChar w:fldCharType="end"/>
      </w:r>
      <w:r>
        <w:t xml:space="preserve">. Samuelson et al. </w:t>
      </w:r>
      <w:r>
        <w:fldChar w:fldCharType="begin"/>
      </w:r>
      <w:r w:rsidR="00351C61">
        <w:instrText xml:space="preserve"> ADDIN ZOTERO_ITEM CSL_CITATION {"citationID":"Mbd680ip","properties":{"formattedCitation":"(Samuelson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w:t>
      </w:r>
      <w:r w:rsidR="003D0D7B">
        <w:t xml:space="preserve">suggests </w:t>
      </w:r>
      <w:r>
        <w:t>that detached buildings may</w:t>
      </w:r>
      <w:r w:rsidR="00036A3B">
        <w:t xml:space="preserve"> be less vulnerable due to a</w:t>
      </w:r>
      <w:r>
        <w:t xml:space="preserve"> greater potential for exposed walls to exchange heat and more opportunities for cross-ventilation. Similarly, Lomas </w:t>
      </w:r>
      <w:r>
        <w:fldChar w:fldCharType="begin"/>
      </w:r>
      <w:r w:rsidR="00351C61">
        <w:instrText xml:space="preserve"> ADDIN ZOTERO_ITEM CSL_CITATION {"citationID":"J4RPAozv","properties":{"formattedCitation":"(Lomas 2021)","plainCitation":"(Lomas 2021)","noteIndex":0},"citationItems":[{"id":479,"uris":["http://zotero.org/users/4259226/items/MDLDX24R",["http://zotero.org/users/4259226/items/MDLDX24R"]],"itemData":{"id":479,"type":"article-journal","abstract":"Summertime overheating in both new and existing dwellings is widespread and increasing, even in temperate climates. There is an urgent need to solve the problem. Flats (apartments) and small dwellings, especially those in cities, are particularly at risk. Elderly and vulnerable people are particularly affected. This briefing note presents current knowledge about this problem and what might be done about it. It is directed at planners, designers, policymakers as well as local authorities, housing associations and other organisations that manage stocks of dwellings.\n\nKey findings\n\n•The research community and others have revealed the extent, severity and causes of summertime overheating in dwellings.•Flats, even in temperate climates, are particularly at risk of overheating. •Methods of construction and refurbishment and global warming are making the problem worse.•Overheating affects mortality and morbidity, with the elderly and vulnerable particularly affected.•Well-established passive heat-protection measures can, in most cases, prevent or remove the problem.•Examples of good design practice are being verified through monitoring and occupant experience surveys.•Professionals concerned with the design and refurbishment of dwellings must now focus on keeping them cool in summer as well as warm in winter.","container-title":"Buildings and Cities","DOI":"10.5334/bc.128","ISSN":"2632-6655","issue":"1","language":"en","license":"Authors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Ubiquity Press","page":"487–494","source":"journal-buildingscities.org","title":"Summertime overheating in dwellings in temperate climates","URL":"http://journal-buildingscities.org/articles/10.5334/bc.128/","volume":"2","author":[{"family":"Lomas","given":"Kevin J."}],"accessed":{"date-parts":[["2021",6,7]]},"issued":{"date-parts":[["2021",5,27]]}}}],"schema":"https://github.com/citation-style-language/schema/raw/master/csl-citation.json"} </w:instrText>
      </w:r>
      <w:r>
        <w:fldChar w:fldCharType="separate"/>
      </w:r>
      <w:r w:rsidR="000732E2" w:rsidRPr="000732E2">
        <w:t>(Lomas 2021)</w:t>
      </w:r>
      <w:r>
        <w:fldChar w:fldCharType="end"/>
      </w:r>
      <w:r>
        <w:t xml:space="preserve"> singles out flats or apartments because</w:t>
      </w:r>
      <w:r w:rsidR="00D86566">
        <w:t xml:space="preserve"> of more limited opportunities for natural ventilation</w:t>
      </w:r>
      <w:r>
        <w:t xml:space="preserve">. </w:t>
      </w:r>
    </w:p>
    <w:p w14:paraId="2D1DC666" w14:textId="585BE2EF" w:rsidR="00125F1F" w:rsidRDefault="00125F1F" w:rsidP="00125F1F">
      <w:pPr>
        <w:pStyle w:val="Heading3List"/>
      </w:pPr>
      <w:r>
        <w:t>Building envelope</w:t>
      </w:r>
    </w:p>
    <w:p w14:paraId="1527E43E" w14:textId="3510B6F3" w:rsidR="008D0432" w:rsidRDefault="008D0432" w:rsidP="00636EE7">
      <w:r>
        <w:t xml:space="preserve">The building envelope represents the materials that separate the interior and exterior of the building. Building performance simulations find wall insulation reduces the overheating risk when applied to the exterior, but may increase overheating risk when applied to the interior </w:t>
      </w:r>
      <w:r>
        <w:fldChar w:fldCharType="begin"/>
      </w:r>
      <w:r w:rsidR="00351C61">
        <w:instrText xml:space="preserve"> ADDIN ZOTERO_ITEM CSL_CITATION {"citationID":"nHzpi3LD","properties":{"formattedCitation":"(Mavrogianni et al. 2012; Porritt et al. 2012)","plainCitation":"(Mavrogianni et al. 2012; Porritt et al. 2012)","noteIndex":0},"citationItems":[{"id":482,"uris":["http://zotero.org/users/4259226/items/UL4RJQ75",["http://zotero.org/users/4259226/items/UL4RJQ75"]],"itemData":{"id":482,"type":"article-journal","abstract":"Cities are expected to experience an increasing risk of overheating due to climate change and the urban heat island phenomenon. Although external factors, such as urban morphology and greening, may influence the spatio-temporal variation of overheating risk, the individual building characteristics are also likely to be important. This paper presents the results of EnergyPlus dynamic thermal simulations of 3456 combinations of dwelling types and characteristics selected to represent the London domestic stock. Two Design Summer Year weather files were used to represent the current and future climate: the CIBSE 1984–2004 and a UKCP09 future weather file (50th percentile of external temperature, 2050s, medium emissions scenario). Appreciable variation between dwelling types but generally greater variation within dwelling type was found depending on such factors as orientation, surrounding buildings and insulation levels. Under the current climate, the insulation levels had considerable impact on indoor temperatures, with combined retrofitting of roof insulation and window upgrades reducing daytime living room temperatures during the warmest continuous 5-day period of modelling by, on average, 0.76 °C (%95C.I. 0.63, 0.89 °C) for mean temperature and 1.30 °C (%95C.I. 1.05, 1.54 °C) for maximum temperature. On the other hand, internally retrofitted walls and floors tended to increase daytime living room temperatures, with a combined effect of 0.46 °C (%95C.I. 0.33, 0.60 °C) increase in mean temperature and 0.71 °C (%95C.I. 0.47, 0.96) increase in maximum temperature. Within the context of a changing climate, knowledge of insulation characteristics after retrofitting is crucial for the accurate identification of dwellings with greatest overheating potential.","collection-title":"Implications of a Changing Climate for Buildings","container-title":"Building and Environment","DOI":"10.1016/j.buildenv.2011.12.003","ISSN":"0360-1323","journalAbbreviation":"Building and Environment","language":"en","page":"117-130","source":"ScienceDirect","title":"Building characteristics as determinants of propensity to high indoor summer temperatures in London dwellings","URL":"https://www.sciencedirect.com/science/article/pii/S0360132311004197","volume":"55","author":[{"family":"Mavrogianni","given":"Anna"},{"family":"Wilkinson","given":"Paul"},{"family":"Davies","given":"Michael"},{"family":"Biddulph","given":"Phillip"},{"family":"Oikonomou","given":"Eleni"}],"accessed":{"date-parts":[["2021",6,3]]},"issued":{"date-parts":[["2012",9,1]]}}},{"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543F50">
        <w:t>(Mavrogianni et al. 2012; Porritt et al. 2012)</w:t>
      </w:r>
      <w:r>
        <w:fldChar w:fldCharType="end"/>
      </w:r>
      <w:r>
        <w:t xml:space="preserve">. Porritt et al. </w:t>
      </w:r>
      <w:r>
        <w:fldChar w:fldCharType="begin"/>
      </w:r>
      <w:r w:rsidR="00351C61">
        <w:instrText xml:space="preserve"> ADDIN ZOTERO_ITEM CSL_CITATION {"citationID":"wNmxBBNS","properties":{"formattedCitation":"(Porritt et al. 2012)","plainCitation":"(Porritt et al. 2012)","noteIndex":0},"citationItems":[{"id":483,"uris":["http://zotero.org/users/4259226/items/ZMB952BS",["http://zotero.org/users/4259226/items/ZMB952BS"]],"itemData":{"id":483,"type":"article-journal","abstract":"Extreme weather events, including heat waves, are predicted to increase in both frequency and severity over the coming decades. Low house building rates and a growing population mean there is a need to adapt existing dwellings. Research presented here uses dynamic thermal simulation to model the effect of passive heat wave mitigating interventions for UK dwellings. Interventions include a range of additions and modifications to solar shading, insulation and ventilation. Results are presented for typical end and mid terrace houses, with four orientations, two occupancy profiles and using weather data from the 2003 heat wave. Results show the effectiveness of interventions that reduce solar gains through the building fabric, such as external wall insulation and solar reflective coatings. Internal wall insulation is shown to be less effective and can increase the overheating problem in some cases. Control of solar gains through glazing, using shutters and fixed shading, are also effective, particularly for south, east and west-facing rooms. Results are also presented which demonstrate how it is possible to select combinations of interventions that both eliminate overheating and reduce space heating energy use. The cost of interventions is also considered in the final analysis.","collection-title":"Cool Roofs, Cool Pavements, Cool Cities, and Cool World","container-title":"Energy and Buildings","DOI":"10.1016/j.enbuild.2012.01.043","ISSN":"0378-7788","journalAbbreviation":"Energy and Buildings","language":"en","page":"16-27","source":"ScienceDirect","title":"Ranking of interventions to reduce dwelling overheating during heat waves","URL":"https://www.sciencedirect.com/science/article/pii/S0378778812000898","volume":"55","author":[{"family":"Porritt","given":"S. M."},{"family":"Cropper","given":"P. C."},{"family":"Shao","given":"L."},{"family":"Goodier","given":"C. I."}],"accessed":{"date-parts":[["2021",6,3]]},"issued":{"date-parts":[["2012",12,1]]}}}],"schema":"https://github.com/citation-style-language/schema/raw/master/csl-citation.json"} </w:instrText>
      </w:r>
      <w:r>
        <w:fldChar w:fldCharType="separate"/>
      </w:r>
      <w:r w:rsidRPr="00D81CAC">
        <w:t>(Porritt et al. 2012)</w:t>
      </w:r>
      <w:r>
        <w:fldChar w:fldCharType="end"/>
      </w:r>
      <w:r>
        <w:t xml:space="preserve"> also found a correlation between roof and wall surface reflectivity i.e., inverse of solar absorptivity and overheating risk. Samuelson et al. </w:t>
      </w:r>
      <w:r>
        <w:fldChar w:fldCharType="begin"/>
      </w:r>
      <w:r w:rsidR="00351C61">
        <w:instrText xml:space="preserve"> ADDIN ZOTERO_ITEM CSL_CITATION {"citationID":"S1nEAbg2","properties":{"formattedCitation":"(Samuelson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infers that other building envelope characteristics like infiltration, and window-to-wall ratio may also be significant. </w:t>
      </w:r>
      <w:r w:rsidR="00FD666F">
        <w:t xml:space="preserve">One HVI considered </w:t>
      </w:r>
      <w:r w:rsidR="004F65CD">
        <w:t>houses with thermally massive materials</w:t>
      </w:r>
      <w:r w:rsidR="00D71DE3">
        <w:t xml:space="preserve"> to have greater adaptive capacity</w:t>
      </w:r>
      <w:r w:rsidR="004F65CD">
        <w:t xml:space="preserve"> </w:t>
      </w:r>
      <w:r w:rsidR="004F65CD">
        <w:fldChar w:fldCharType="begin"/>
      </w:r>
      <w:r w:rsidR="00351C61">
        <w:instrText xml:space="preserve"> ADDIN ZOTERO_ITEM CSL_CITATION {"citationID":"eYKaB1Nc","properties":{"formattedCitation":"(Inostroza, Palme, and de la Barrera 2016)","plainCitation":"(Inostroza, Palme, and de la Barrera 2016)","noteIndex":0},"citationItems":[{"id":517,"uris":["http://zotero.org/users/4259226/items/UN6WPFGF",["http://zotero.org/users/4259226/items/UN6WPFGF"]],"itemData":{"id":517,"type":"article-journal","container-title":"PLOS ONE","DOI":"10.1371/journal.pone.0162464","ISSN":"1932-6203","issue":"9","journalAbbreviation":"PLoS ONE","language":"en","page":"e0162464","source":"DOI.org (Crossref)","title":"A Heat Vulnerability Index: Spatial Patterns of Exposure, Sensitivity and Adaptive Capacity for Santiago de Chile","title-short":"A Heat Vulnerability Index","URL":"https://dx.plos.org/10.1371/journal.pone.0162464","volume":"11","author":[{"family":"Inostroza","given":"Luis"},{"family":"Palme","given":"Massimo"},{"family":"Barrera","given":"Francisco","non-dropping-particle":"de la"}],"editor":[{"family":"Shaman","given":"Jeffrey"}],"accessed":{"date-parts":[["2021",8,31]]},"issued":{"date-parts":[["2016",9,8]]}}}],"schema":"https://github.com/citation-style-language/schema/raw/master/csl-citation.json"} </w:instrText>
      </w:r>
      <w:r w:rsidR="004F65CD">
        <w:fldChar w:fldCharType="separate"/>
      </w:r>
      <w:r w:rsidR="004F65CD" w:rsidRPr="004F65CD">
        <w:t>(Inostroza, Palme, and de la Barrera 2016)</w:t>
      </w:r>
      <w:r w:rsidR="004F65CD">
        <w:fldChar w:fldCharType="end"/>
      </w:r>
      <w:r w:rsidR="00D71DE3">
        <w:t>. Thermal mass describes building materials with high heat capacity, such as brick, stone, and concrete</w:t>
      </w:r>
      <w:r w:rsidR="007A46D6">
        <w:t xml:space="preserve">, which </w:t>
      </w:r>
      <w:r w:rsidR="00420AD7">
        <w:t>can</w:t>
      </w:r>
      <w:r w:rsidR="007A46D6">
        <w:t xml:space="preserve"> buffer temperature fluctuations. </w:t>
      </w:r>
    </w:p>
    <w:p w14:paraId="0B4D6591" w14:textId="0F666F79" w:rsidR="00125F1F" w:rsidRDefault="00125F1F" w:rsidP="00125F1F">
      <w:pPr>
        <w:pStyle w:val="Heading3List"/>
      </w:pPr>
      <w:r>
        <w:t>Building HVAC</w:t>
      </w:r>
    </w:p>
    <w:p w14:paraId="366BEE40" w14:textId="2F77C65B" w:rsidR="008D0432" w:rsidRDefault="008D0432" w:rsidP="008D0432">
      <w:r>
        <w:t xml:space="preserve">Building HVAC characteristics describe the presence </w:t>
      </w:r>
      <w:r>
        <w:fldChar w:fldCharType="begin"/>
      </w:r>
      <w:r w:rsidR="00351C61">
        <w:instrText xml:space="preserve"> ADDIN ZOTERO_ITEM CSL_CITATION {"citationID":"GL3pdvtq","properties":{"formattedCitation":"(Curriero et al. 2002)","plainCitation":"(Curriero et al. 2002)","noteIndex":0},"citationItems":[{"id":367,"uris":["http://zotero.org/users/4259226/items/SMTBQKCK",["http://zotero.org/users/4259226/items/SMTBQKCK"]],"itemData":{"id":367,"type":"article-journal","abstract":"Episodes of extremely hot or cold temperatures are associated with increased mortality. Time-series analyses show an association between temperature and mortality across a range of less extreme temperatures. In this paper, the authors describe the temperature-mortality association for 11 large eastern US cities in 1973–1994 by estimating the relative risks of mortality using log-linear regression analysis for time-series data and by exploring city characteristics associated with variations in this temperature-mortality relation. Current and recent days' temperatures were the weather components most strongly predictive of mortality, and mortality risk generally decreased as temperature increased from the coldest days to a certain threshold temperature, which varied by latitude, above which mortality risk increased as temperature increased. The authors also found a strong association of the temperature-mortality relation with latitude, with a greater effect of colder temperatures on mortality risk in more-southern cities and of warmer temperatures in more-northern cities. The percentage of households with air conditioners in the south and heaters in the north, which serve as indicators of socioeconomic status of the city population, also predicted weather-related mortality. The model developed in this analysis is potentially useful for projecting the consequences of climate-change scenarios and offering insights into susceptibility to the adverse effects of weather.","container-title":"American Journal of Epidemiology","DOI":"10.1093/aje/155.1.80","ISSN":"0002-9262","issue":"1","journalAbbreviation":"American Journal of Epidemiology","page":"80-87","source":"Silverchair","title":"Temperature and Mortality in 11 Cities of the Eastern United States","URL":"https://doi.org/10.1093/aje/155.1.80","volume":"155","author":[{"family":"Curriero","given":"Frank C."},{"family":"Heiner","given":"Karlyn S."},{"family":"Samet","given":"Jonathan M."},{"family":"Zeger","given":"Scott L."},{"family":"Strug","given":"Lisa"},{"family":"Patz","given":"Jonathan A."}],"accessed":{"date-parts":[["2021",8,1]]},"issued":{"date-parts":[["2002",1,1]]}}}],"schema":"https://github.com/citation-style-language/schema/raw/master/csl-citation.json"} </w:instrText>
      </w:r>
      <w:r>
        <w:fldChar w:fldCharType="separate"/>
      </w:r>
      <w:r w:rsidRPr="000B41BF">
        <w:t>(Curriero et al. 2002)</w:t>
      </w:r>
      <w:r>
        <w:fldChar w:fldCharType="end"/>
      </w:r>
      <w:r>
        <w:t xml:space="preserve">, type </w:t>
      </w:r>
      <w:r>
        <w:fldChar w:fldCharType="begin"/>
      </w:r>
      <w:r w:rsidR="00351C61">
        <w:instrText xml:space="preserve"> ADDIN ZOTERO_ITEM CSL_CITATION {"citationID":"AIgEz1LX","properties":{"formattedCitation":"(O\\uc0\\u8217{}Neill, Zanobetti, and Schwartz 2005)","plainCitation":"(O’Neill, Zanobetti, and Schwartz 2005)","noteIndex":0},"citationItems":[{"id":364,"uris":["http://zotero.org/users/4259226/items/T9J4U9SX",["http://zotero.org/users/4259226/items/T9J4U9SX"]],"itemData":{"id":364,"type":"article-journal","abstract":"Daily mortality is typically higher on hot days in urban areas, and certain population groups experience disproportionate risk. Air conditioning (AC) has been recommended to mitigate heat-related illness and death. We examined whether AC prevalence explained differing heat-related mortality effects by race. Poisson regression was used to model daily mortality in Chicago, Detroit, Minneapolis, and Pittsburgh. Predictors included natural splines of time (to control seasonal patterns); mean daily apparent temperature on the day of death, and averaged over lags 1–3; barometric pressure; day of week; and a linear term for airborne particles. Separate, city-specific models were fit to death counts stratified by race (Black or White) to derive the percent change in mortality at 29°C, relative to 15°C (lag 0). Next, city-specific effects were regressed on city-and race-specific AC prevalence. Combined effect estimates across all cities were calculated using inverse variance-weighted averages. Prevalence of central AC among Black households was less than half that among White households in all four cities, and deaths among Blacks were more strongly associated with hot temperatures. Central AC prevalence explained some of the differences in heat effects by race, but room-unit AC did not. Efforts to reduce disparities in heat-related mortality should consider access to AC.","container-title":"Journal of Urban Health","DOI":"10.1093/jurban/jti043","ISSN":"1468-2869","issue":"2","journalAbbreviation":"J Urban Health","language":"en","page":"191-197","source":"Springer Link","title":"Disparities by race in heat-related mortality in four US cities: The role of air conditioning prevalence","title-short":"Disparities by race in heat-related mortality in four US cities","URL":"https://doi.org/10.1093/jurban/jti043","volume":"82","author":[{"family":"O’Neill","given":"Marie S."},{"family":"Zanobetti","given":"Antonella"},{"family":"Schwartz","given":"Joel"}],"accessed":{"date-parts":[["2021",8,1]]},"issued":{"date-parts":[["2005",6,1]]}}}],"schema":"https://github.com/citation-style-language/schema/raw/master/csl-citation.json"} </w:instrText>
      </w:r>
      <w:r>
        <w:fldChar w:fldCharType="separate"/>
      </w:r>
      <w:r w:rsidRPr="00D277FA">
        <w:rPr>
          <w:rFonts w:cs="Times New Roman"/>
          <w:szCs w:val="24"/>
        </w:rPr>
        <w:t>(O’Neill, Zanobetti, and Schwartz 2005)</w:t>
      </w:r>
      <w:r>
        <w:fldChar w:fldCharType="end"/>
      </w:r>
      <w:r>
        <w:t xml:space="preserve">, and functionality </w:t>
      </w:r>
      <w:r>
        <w:fldChar w:fldCharType="begin"/>
      </w:r>
      <w:r w:rsidR="00351C61">
        <w:instrText xml:space="preserve"> ADDIN ZOTERO_ITEM CSL_CITATION {"citationID":"EqCDZFRh","properties":{"formattedCitation":"(Naughton et al. 2002; MCDPH 2019)","plainCitation":"(Naughton et al. 2002; MCDPH 2019)","noteIndex":0},"citationItems":[{"id":369,"uris":["http://zotero.org/users/4259226/items/T3LPVVB9",["http://zotero.org/users/4259226/items/T3LPVVB9"]],"itemData":{"id":369,"type":"article-journal","abstract":"Background: During the summer of 1999, Chicago’s second deadliest heat wave of the decade resulted in at least 80 deaths. The high mortality, exceeded only by a 1995 heat wave, provided the opportunity to investigate the risks associated with heat-related deaths and to examine the effectiveness of targeted heat-relieving interventions. Methods: We conducted a case-control study to determine risk factors for heat-related death. We collected demographic, health, and behavior information for 63 case patients and 77 neighborhood-and-age-matched control subjects and generated odds ratios (ORs) for each potential risk factor. Results: Fifty-three percent of the case patients were aged &lt;65 years, and psychiatric illness was almost twice as common in the younger than the older age group. In the multivariate analysis, the strongest risk factors for heat-related death were living alone (OR=8.1; 95% confidence interval [CI], 1.4–48.1) and not leaving home daily (OR=5.8; 95% CI, 1.5–22.0). The strongest protective factor was a working air conditioner (OR=0.2; 95% CI, 0.1–0.7). Over half (53%) of the 80 decedents were seen or spoken to on the day of or day before their deaths. Conclusions: A working air conditioner is the strongest protective factor against heat-related death. The relatively younger age of case patients in 1999 may be due to post-1995 interventions that focused on the elderly of Chicago. However, social isolation and advanced age remain important risk factors. Individual social contacts and educational messages targeted toward at-risk populations during heat waves may decrease the number of deaths in these groups.","container-title":"American Journal of Preventive Medicine","DOI":"10.1016/S0749-3797(02)00421-X","ISSN":"0749-3797","issue":"4","journalAbbreviation":"American Journal of Preventive Medicine","language":"en","page":"221-227","source":"ScienceDirect","title":"Heat-related mortality during a 1999 heat wave in Chicago1 1The full text of this article is available via AJPM Online at www.ajpm-online.net.","URL":"https://www.sciencedirect.com/science/article/pii/S074937970200421X","volume":"22","author":[{"family":"Naughton","given":"Mary P"},{"family":"Henderson","given":"Alden"},{"family":"Mirabelli","given":"Maria C"},{"family":"Kaiser","given":"Reinhard"},{"family":"Wilhelm","given":"John L"},{"family":"Kieszak","given":"Stephanie M"},{"family":"Rubin","given":"Carol H"},{"family":"McGeehin","given":"Michael A"}],"accessed":{"date-parts":[["2021",8,1]]},"issued":{"date-parts":[["2002",5,1]]}}},{"id":375,"uris":["http://zotero.org/users/4259226/items/UPV7AAZH",["http://zotero.org/users/4259226/items/UPV7AAZH"]],"itemData":{"id":375,"type":"report","event-place":"Maricopa County, AZ","publisher":"Maricopa County Department of Public Health","publisher-place":"Maricopa County, AZ","title":"Heat-Associated Deaths in Maricopa County, AZ, Final Report for 2019","URL":"https://www.maricopa.gov/ArchiveCenter/ViewFile/Item/4959","author":[{"family":"MCDPH","given":""}],"accessed":{"date-parts":[["2021",6,3]]},"issued":{"date-parts":[["2019"]]}}}],"schema":"https://github.com/citation-style-language/schema/raw/master/csl-citation.json"} </w:instrText>
      </w:r>
      <w:r>
        <w:fldChar w:fldCharType="separate"/>
      </w:r>
      <w:r w:rsidRPr="00257A89">
        <w:t>(Naughton et al. 2002; MCDPH 2019)</w:t>
      </w:r>
      <w:r>
        <w:fldChar w:fldCharType="end"/>
      </w:r>
      <w:r>
        <w:t xml:space="preserve"> of HVAC systems. Samuelson et al. </w:t>
      </w:r>
      <w:r>
        <w:fldChar w:fldCharType="begin"/>
      </w:r>
      <w:r w:rsidR="00351C61">
        <w:instrText xml:space="preserve"> ADDIN ZOTERO_ITEM CSL_CITATION {"citationID":"6H106BrT","properties":{"formattedCitation":"(Samuelson et al. 2020)","plainCitation":"(Samuelson et al. 2020)","noteIndex":0},"citationItems":[{"id":299,"uris":["http://zotero.org/users/4259226/items/ULB9PXU7",["http://zotero.org/users/4259226/items/ULB9PXU7"]],"itemData":{"id":299,"type":"article-journal","abstract":"Municipalities use Heat Vulnerability Indices (HVIs) to quantify and map relative distribution of risks to human health in the event of a heatwave. These maps ostensibly allow public agencies to identify the highest-risk neighborhoods, and to concentrate emergency planning efforts and resources accordingly (e.g., to establish the locations of cooling centers). The method of constructing an HVI varies by municipality, but common inputs include demographic variables such as age and income – and to some extent, metrics such as land cover. However, taking demographic data as a proxy for heat vulnerability may provide an incomplete or inaccurate assessment of risk. A critical limitation in HVIs may be a lack of focus on housing characteristics and how they mediate indoor heat exposure. To provide an objective assessment of this limitation, we ﬁrst reviewed HVIs in the literature and those published or commissioned by municipalities. We subsequently veriﬁed that most of these HVIs excluded housing factors. Next, to scope the potential consequences, we used physics-based simulations of housing prototypes (46,000 housing permutations per city) to estimate the variation in indoor heat exposure within high-vulnerability neighborhoods in Boston and Phoenix. The results show that by excluding building-level determinants of exposure, HVIs fail to capture important components of heat vulnerability. Moreover, we demonstrate how these maps currently overlook important nuances regarding the impact of building age and air conditioning functionality. Finally, we discuss the challenges of implementing housing stock characteristics in HVIs and propose methods for overcoming these challenges.","container-title":"Science of The Total Environment","DOI":"10.1016/j.scitotenv.2020.137296","ISSN":"00489697","journalAbbreviation":"Science of The Total Environment","language":"en","page":"137296","source":"DOI.org (Crossref)","title":"Housing as a critical determinant of heat vulnerability and health","URL":"https://linkinghub.elsevier.com/retrieve/pii/S0048969720308068","volume":"720","author":[{"family":"Samuelson","given":"Holly"},{"family":"Baniassadi","given":"Amir"},{"family":"Lin","given":"Anne"},{"family":"Izaga González","given":"Pablo"},{"family":"Brawley","given":"Thomas"},{"family":"Narula","given":"Tushar"}],"accessed":{"date-parts":[["2021",6,1]]},"issued":{"date-parts":[["2020",6]]}}}],"schema":"https://github.com/citation-style-language/schema/raw/master/csl-citation.json"} </w:instrText>
      </w:r>
      <w:r>
        <w:fldChar w:fldCharType="separate"/>
      </w:r>
      <w:r w:rsidRPr="00687A62">
        <w:t>(Samuelson et al. 2020)</w:t>
      </w:r>
      <w:r>
        <w:fldChar w:fldCharType="end"/>
      </w:r>
      <w:r>
        <w:t xml:space="preserve"> also suggests consideration for electric fans. While fans cannot reduce air temperature, they can aid evaporative cooling in air temperatures as high as 50 °C and 10% relative humidity </w:t>
      </w:r>
      <w:r>
        <w:fldChar w:fldCharType="begin"/>
      </w:r>
      <w:r w:rsidR="00351C61">
        <w:instrText xml:space="preserve"> ADDIN ZOTERO_ITEM CSL_CITATION {"citationID":"RITHVvd0","properties":{"formattedCitation":"(Jay et al. 2015)","plainCitation":"(Jay et al. 2015)","noteIndex":0},"citationItems":[{"id":362,"uris":["http://zotero.org/users/4259226/items/AGTZXEC5",["http://zotero.org/users/4259226/items/AGTZXEC5"]],"itemData":{"id":362,"type":"article-journal","abstract":"Heat waves continue to claim lives, with the elderly and poor at greatest risk. A simple and cost-effective intervention is an electric fan, but public health agencies warn against their use despite no evidence refuting their efficacy in heat waves. A conceptual human heat balance model can be used to estimate the evaporative requirement for heat balance, the potential for evaporative heat loss from the skin, and the predicted sweat rate, with and without an electrical fan during heat wave conditions. Using criteria defined by the literature, it is clear that fans increase the predicted critical environmental limits for both the physiological compensation of endogenous/exogenous heat, and the onset of cardiovascular strain by an air temperature of ∼3-4 °C, irrespective of relative humidity (RH) for the young and elderly. Even above these critical limits, fans would apparently still provide marginal benefits at air temperatures as high as 51.1 °C at 10%RH for young adults and 48.1 °C at 10%RH for the elderly. Previous concerns that dehydration would be exacerbated with fan use do not seem likely, except under very hot (&gt;40 °C) and dry (&lt;10%RH) conditions, when predicted sweat losses are only greater with fans by a minor amount (∼20-30 mL/h). Relative to the peak outdoor environmental conditions reported during ten of the most severe heat waves in recent history, fan use would be advisable in all of these situations, even when reducing the predicted maximum sweat output for the elderly. The protective benefit of fans appears to be underestimated by current guidelines.","container-title":"Applied Ergonomics","DOI":"10.1016/j.apergo.2014.07.013","ISSN":"1872-9126","journalAbbreviation":"Appl Ergon","language":"eng","note":"PMID: 25134988","page":"137-143","source":"PubMed","title":"Should electric fans be used during a heat wave?","volume":"46 Pt A","author":[{"family":"Jay","given":"Ollie"},{"family":"Cramer","given":"Matthew N."},{"family":"Ravanelli","given":"Nicholas M."},{"family":"Hodder","given":"Simon G."}],"issued":{"date-parts":[["2015",1]]}}}],"schema":"https://github.com/citation-style-language/schema/raw/master/csl-citation.json"} </w:instrText>
      </w:r>
      <w:r>
        <w:fldChar w:fldCharType="separate"/>
      </w:r>
      <w:r w:rsidRPr="00D90735">
        <w:t>(Jay et al. 2015)</w:t>
      </w:r>
      <w:r>
        <w:fldChar w:fldCharType="end"/>
      </w:r>
      <w:r>
        <w:t xml:space="preserve">. </w:t>
      </w:r>
      <w:r w:rsidR="00546566">
        <w:t xml:space="preserve">Finally, we also consider availability of alternate </w:t>
      </w:r>
      <w:r w:rsidR="00546566">
        <w:lastRenderedPageBreak/>
        <w:t>power sources such as a back-up generator or on-site solar panels</w:t>
      </w:r>
      <w:r w:rsidR="00D00B11">
        <w:t xml:space="preserve"> as they may reduce interruptions to </w:t>
      </w:r>
      <w:r w:rsidR="00274451">
        <w:t>HVAC systems</w:t>
      </w:r>
      <w:r w:rsidR="00D00B11">
        <w:t>, which to our knowledge has not been considered in any previous work.</w:t>
      </w:r>
    </w:p>
    <w:p w14:paraId="5797D661" w14:textId="1E5F1E15" w:rsidR="002023F5" w:rsidRDefault="008D0432" w:rsidP="00EE070C">
      <w:pPr>
        <w:pStyle w:val="Heading2List"/>
      </w:pPr>
      <w:r>
        <w:t>Machine learning</w:t>
      </w:r>
    </w:p>
    <w:p w14:paraId="42218F56" w14:textId="77777777" w:rsidR="00EE070C" w:rsidRDefault="00EE070C" w:rsidP="00EE070C"/>
    <w:p w14:paraId="43DE9799" w14:textId="572599B7" w:rsidR="00CB56CD" w:rsidRDefault="00850ADA" w:rsidP="00CB56CD">
      <w:pPr>
        <w:pStyle w:val="Heading1List"/>
      </w:pPr>
      <w:r>
        <w:t>Results</w:t>
      </w:r>
    </w:p>
    <w:p w14:paraId="4A95D9A1" w14:textId="7FD7C808" w:rsidR="00C5281C" w:rsidRDefault="00C5281C" w:rsidP="00C5281C">
      <w:pPr>
        <w:pStyle w:val="Heading2List"/>
      </w:pPr>
      <w:r>
        <w:t>Prevalence of temperature-related morbidity in population</w:t>
      </w:r>
    </w:p>
    <w:p w14:paraId="7163F867" w14:textId="391EB00D" w:rsidR="00C5281C" w:rsidRDefault="00C5281C" w:rsidP="00C5281C">
      <w:pPr>
        <w:pStyle w:val="Heading2List"/>
      </w:pPr>
      <w:r>
        <w:t>Comparison between baseline and detailed model</w:t>
      </w:r>
    </w:p>
    <w:p w14:paraId="7F197037" w14:textId="51D3B714" w:rsidR="00C5281C" w:rsidRDefault="00C5281C" w:rsidP="00C5281C">
      <w:pPr>
        <w:pStyle w:val="Heading2List"/>
      </w:pPr>
      <w:r>
        <w:t>Variable importance</w:t>
      </w:r>
    </w:p>
    <w:p w14:paraId="2B61B5FD" w14:textId="3570A730" w:rsidR="004D18D7" w:rsidRDefault="004D18D7" w:rsidP="00D52117">
      <w:pPr>
        <w:pStyle w:val="Heading1List"/>
      </w:pPr>
      <w:r>
        <w:t>Discussion</w:t>
      </w:r>
    </w:p>
    <w:p w14:paraId="4BC6EF18" w14:textId="6C50A02D" w:rsidR="00805B9F" w:rsidRPr="0094353F" w:rsidRDefault="00805B9F" w:rsidP="00805B9F">
      <w:r>
        <w:t>RECS excludes vacant, seasonal</w:t>
      </w:r>
      <w:r w:rsidR="0005736D">
        <w:t xml:space="preserve"> or vacation homes, and group quarters such as prisons, military barracks, dormitories, and nursing homes.</w:t>
      </w:r>
    </w:p>
    <w:p w14:paraId="4DE65AF0" w14:textId="3679003E" w:rsidR="00850ADA" w:rsidRDefault="00850ADA" w:rsidP="00850ADA">
      <w:pPr>
        <w:pStyle w:val="Heading1"/>
        <w:numPr>
          <w:ilvl w:val="0"/>
          <w:numId w:val="1"/>
        </w:numPr>
        <w:ind w:left="360"/>
      </w:pPr>
      <w:r>
        <w:t>Conclusion</w:t>
      </w:r>
      <w:r w:rsidR="0094353F">
        <w:t>s</w:t>
      </w:r>
    </w:p>
    <w:p w14:paraId="11A1392A" w14:textId="66BFC90A" w:rsidR="003962C4" w:rsidRDefault="003962C4" w:rsidP="00E37F7F">
      <w:pPr>
        <w:pStyle w:val="Heading1"/>
      </w:pPr>
      <w:proofErr w:type="spellStart"/>
      <w:r w:rsidRPr="00E37F7F">
        <w:t>CRediT</w:t>
      </w:r>
      <w:proofErr w:type="spellEnd"/>
      <w:r>
        <w:t xml:space="preserve"> </w:t>
      </w:r>
      <w:r w:rsidR="008E09E3">
        <w:t>authorship contribution statement</w:t>
      </w:r>
    </w:p>
    <w:p w14:paraId="66907878" w14:textId="012E9515" w:rsidR="008E09E3" w:rsidRPr="008E09E3" w:rsidRDefault="008E09E3" w:rsidP="008E09E3">
      <w:proofErr w:type="spellStart"/>
      <w:r>
        <w:rPr>
          <w:b/>
          <w:bCs/>
        </w:rPr>
        <w:t>Arfa</w:t>
      </w:r>
      <w:proofErr w:type="spellEnd"/>
      <w:r>
        <w:rPr>
          <w:b/>
          <w:bCs/>
        </w:rPr>
        <w:t xml:space="preserve"> </w:t>
      </w:r>
      <w:proofErr w:type="spellStart"/>
      <w:r>
        <w:rPr>
          <w:b/>
          <w:bCs/>
        </w:rPr>
        <w:t>Aijazi</w:t>
      </w:r>
      <w:proofErr w:type="spellEnd"/>
      <w:r>
        <w:rPr>
          <w:b/>
          <w:bCs/>
        </w:rPr>
        <w:t xml:space="preserve">: </w:t>
      </w:r>
      <w:r>
        <w:t xml:space="preserve">Conceptualization, Methodology, Software, Formal Analysis, Investigation, Data Curation Writing–Original Draft, Visualization. </w:t>
      </w:r>
      <w:r w:rsidRPr="008E09E3">
        <w:rPr>
          <w:b/>
          <w:bCs/>
        </w:rPr>
        <w:t>Stefano Schiavon</w:t>
      </w:r>
      <w:r>
        <w:t>: Supervision, Validation, Writing–Review and Editing.</w:t>
      </w:r>
      <w:r w:rsidR="001445B5">
        <w:t xml:space="preserve"> </w:t>
      </w:r>
      <w:r w:rsidR="001445B5" w:rsidRPr="002023F5">
        <w:rPr>
          <w:b/>
          <w:bCs/>
        </w:rPr>
        <w:t>Duncan Callaway:</w:t>
      </w:r>
      <w:r w:rsidR="001445B5">
        <w:t xml:space="preserve"> Methodology, </w:t>
      </w:r>
      <w:r w:rsidR="003F504D">
        <w:t>Writing–Review and Editing</w:t>
      </w:r>
    </w:p>
    <w:p w14:paraId="6304DEEB" w14:textId="66CD45A8" w:rsidR="008E09E3" w:rsidRDefault="008E09E3" w:rsidP="00E37F7F">
      <w:pPr>
        <w:pStyle w:val="Heading1"/>
      </w:pPr>
      <w:r w:rsidRPr="00E37F7F">
        <w:t>Declaration</w:t>
      </w:r>
      <w:r>
        <w:t xml:space="preserve"> of competing interest</w:t>
      </w:r>
    </w:p>
    <w:p w14:paraId="6BF636F7" w14:textId="5BCCAE44" w:rsidR="008E09E3" w:rsidRPr="008E09E3" w:rsidRDefault="008E09E3" w:rsidP="008E09E3">
      <w:r>
        <w:t xml:space="preserve">The Center for the Built Environment at the University of California, Berkeley – with which the authors are affiliated, is advised </w:t>
      </w:r>
      <w:proofErr w:type="gramStart"/>
      <w:r w:rsidR="0069558E">
        <w:t>by</w:t>
      </w:r>
      <w:proofErr w:type="gramEnd"/>
      <w:r>
        <w:t xml:space="preserve"> and funded in part by many partners that represent a diversity of organizations from the building industry – including manufacturers, building owners, facility managers, contractors, architects, engineers, government agencies, and utilities. </w:t>
      </w:r>
    </w:p>
    <w:p w14:paraId="1B8EBB06" w14:textId="375AAB26" w:rsidR="00850ADA" w:rsidRDefault="00850ADA" w:rsidP="00E37F7F">
      <w:pPr>
        <w:pStyle w:val="Heading1"/>
      </w:pPr>
      <w:r w:rsidRPr="00E37F7F">
        <w:t>Acknowledgement</w:t>
      </w:r>
      <w:r w:rsidR="0094353F" w:rsidRPr="00E37F7F">
        <w:t>s</w:t>
      </w:r>
    </w:p>
    <w:p w14:paraId="2C649C7C" w14:textId="2E18D95B" w:rsidR="002F5A7D" w:rsidRPr="002F5A7D" w:rsidRDefault="001C198C" w:rsidP="002F5A7D">
      <w:r>
        <w:t>The Center for the Built Environment</w:t>
      </w:r>
      <w:r w:rsidR="00595FBC">
        <w:t xml:space="preserve"> at the University of California, Berkeley</w:t>
      </w:r>
      <w:r>
        <w:t xml:space="preserve"> </w:t>
      </w:r>
      <w:r w:rsidR="00874CA3">
        <w:t>funded this study</w:t>
      </w:r>
      <w:r w:rsidR="002F3765">
        <w:t>.</w:t>
      </w:r>
      <w:r w:rsidR="005679B0">
        <w:t xml:space="preserve"> </w:t>
      </w:r>
    </w:p>
    <w:p w14:paraId="21493F96" w14:textId="1C998A05" w:rsidR="002B78CD" w:rsidRDefault="00676E06" w:rsidP="00B00160">
      <w:pPr>
        <w:pStyle w:val="Heading1"/>
        <w:rPr>
          <w:b w:val="0"/>
        </w:rPr>
      </w:pPr>
      <w:r>
        <w:t>Appendix</w:t>
      </w:r>
      <w:r w:rsidR="002B78CD">
        <w:br w:type="page"/>
      </w:r>
    </w:p>
    <w:p w14:paraId="13A3867F" w14:textId="06811682" w:rsidR="00850ADA" w:rsidRDefault="00850ADA" w:rsidP="00E37F7F">
      <w:pPr>
        <w:pStyle w:val="Heading1"/>
      </w:pPr>
      <w:r w:rsidRPr="00E37F7F">
        <w:lastRenderedPageBreak/>
        <w:t>Reference</w:t>
      </w:r>
    </w:p>
    <w:p w14:paraId="3BA9AD5E" w14:textId="26F0D0C3" w:rsidR="00E663BC" w:rsidRPr="00E663BC" w:rsidRDefault="00C42310" w:rsidP="00E663BC">
      <w:r>
        <w:t xml:space="preserve"> </w:t>
      </w:r>
    </w:p>
    <w:sectPr w:rsidR="00E663BC" w:rsidRPr="00E663BC" w:rsidSect="0085782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C2A09" w14:textId="77777777" w:rsidR="00790B9E" w:rsidRDefault="00790B9E" w:rsidP="00AE4592">
      <w:pPr>
        <w:spacing w:after="0" w:line="240" w:lineRule="auto"/>
      </w:pPr>
      <w:r>
        <w:separator/>
      </w:r>
    </w:p>
  </w:endnote>
  <w:endnote w:type="continuationSeparator" w:id="0">
    <w:p w14:paraId="2CC8511D" w14:textId="77777777" w:rsidR="00790B9E" w:rsidRDefault="00790B9E" w:rsidP="00AE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ZWAdobeF">
    <w:altName w:val="Calibri"/>
    <w:panose1 w:val="020B0604020202020204"/>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508256"/>
      <w:docPartObj>
        <w:docPartGallery w:val="Page Numbers (Bottom of Page)"/>
        <w:docPartUnique/>
      </w:docPartObj>
    </w:sdtPr>
    <w:sdtEndPr>
      <w:rPr>
        <w:noProof/>
      </w:rPr>
    </w:sdtEndPr>
    <w:sdtContent>
      <w:p w14:paraId="13914C86" w14:textId="2C5487C1" w:rsidR="00173E31" w:rsidRDefault="00173E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8659A9" w14:textId="33501584" w:rsidR="00AE4592" w:rsidRDefault="00AE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7BBA" w14:textId="77777777" w:rsidR="00790B9E" w:rsidRDefault="00790B9E" w:rsidP="00AE4592">
      <w:pPr>
        <w:spacing w:after="0" w:line="240" w:lineRule="auto"/>
      </w:pPr>
      <w:r>
        <w:separator/>
      </w:r>
    </w:p>
  </w:footnote>
  <w:footnote w:type="continuationSeparator" w:id="0">
    <w:p w14:paraId="2E18C3B6" w14:textId="77777777" w:rsidR="00790B9E" w:rsidRDefault="00790B9E" w:rsidP="00AE4592">
      <w:pPr>
        <w:spacing w:after="0" w:line="240" w:lineRule="auto"/>
      </w:pPr>
      <w:r>
        <w:continuationSeparator/>
      </w:r>
    </w:p>
  </w:footnote>
  <w:footnote w:id="1">
    <w:p w14:paraId="0A16E89D" w14:textId="09866BDD" w:rsidR="00CE62A4" w:rsidRPr="003F16F3" w:rsidRDefault="00CE62A4" w:rsidP="00CE62A4">
      <w:pPr>
        <w:rPr>
          <w:sz w:val="18"/>
          <w:szCs w:val="18"/>
        </w:rPr>
      </w:pPr>
      <w:r w:rsidRPr="00667271">
        <w:rPr>
          <w:rStyle w:val="FootnoteReference"/>
        </w:rPr>
        <w:footnoteRef/>
      </w:r>
      <w:r w:rsidRPr="003F16F3">
        <w:rPr>
          <w:sz w:val="18"/>
          <w:szCs w:val="18"/>
        </w:rPr>
        <w:t xml:space="preserve"> </w:t>
      </w:r>
      <w:r w:rsidR="00F73187">
        <w:rPr>
          <w:sz w:val="18"/>
          <w:szCs w:val="18"/>
        </w:rPr>
        <w:t>T</w:t>
      </w:r>
      <w:r w:rsidRPr="003F16F3">
        <w:rPr>
          <w:sz w:val="18"/>
          <w:szCs w:val="18"/>
        </w:rPr>
        <w:t>he discourse</w:t>
      </w:r>
      <w:r>
        <w:rPr>
          <w:sz w:val="18"/>
          <w:szCs w:val="18"/>
        </w:rPr>
        <w:t xml:space="preserve"> in public agencies</w:t>
      </w:r>
      <w:r w:rsidR="00C55331">
        <w:rPr>
          <w:sz w:val="18"/>
          <w:szCs w:val="18"/>
        </w:rPr>
        <w:t xml:space="preserve"> and academic literature</w:t>
      </w:r>
      <w:r w:rsidRPr="003F16F3">
        <w:rPr>
          <w:sz w:val="18"/>
          <w:szCs w:val="18"/>
        </w:rPr>
        <w:t xml:space="preserve"> around thermal vulnerability focuses on extreme heat, even though the mortality rate from extreme cold is nearly double that of extreme heat </w:t>
      </w:r>
      <w:r>
        <w:rPr>
          <w:sz w:val="18"/>
          <w:szCs w:val="18"/>
        </w:rPr>
        <w:fldChar w:fldCharType="begin"/>
      </w:r>
      <w:r w:rsidR="00351C61">
        <w:rPr>
          <w:sz w:val="18"/>
          <w:szCs w:val="18"/>
        </w:rPr>
        <w:instrText xml:space="preserve"> ADDIN ZOTERO_ITEM CSL_CITATION {"citationID":"9io7CAPo","properties":{"formattedCitation":"(Berko et al. 2014)","plainCitation":"(Berko et al. 2014)","noteIndex":1},"citationItems":[{"id":553,"uris":["http://zotero.org/users/4259226/items/YB7I6DK2",["http://zotero.org/users/4259226/items/YB7I6DK2"]],"itemData":{"id":553,"type":"article-journal","abstract":"OBJECTIVES: This report examines heat-related mortality, cold-related mortality, and other weather-related mortality during 2006-2010 among subgroups of U.S. residents.\nMETHODS: Weather-related death rates for demographic and area-based subgroups were computed using death certificate information. Adjusted odds ratios for weather-related deaths among subgroups were estimated using logistic regression.\nRESULTS AND CONCLUSIONS: During 2006-2010, about 2,000 U.S. residents died each year from weather-related causes of death. About 31% of these deaths were attributed to exposure to excessive natural heat, heat stroke, sun stroke, or all; 63% were attributed to exposure to excessive natural cold, hypothermia, or both; and the remaining 6% were attributed to floods, storms, or lightning. Weather-related death rates varied by age, race and ethnicity, sex, and characteristics of decedent's county of residence (median income, region, and urbanization level). Adjustment for region and urbanization decreased the risk of heat-related mortality among Hispanic persons and increased the risk of cold-related mortality among non-Hispanic black persons, compared with non-Hispanic white persons. Adjustment also increased the risk of heat-related mortality and attenuated the risk of cold-related mortality for counties in the lower three income quartiles. The differentials in weather-related mortality observed among demographic subgroups during 2006-2010 in the United States were consistent with those observed in previous national studies. This study demonstrated that a better understanding of subpopulations at risk from weather-related mortality can be obtained by considering area-based variables (county median household income, region, and urbanization level) when examining weather-related mortality patterns.","container-title":"National Health Statistics Reports","ISSN":"2164-8344","issue":"76","journalAbbreviation":"Natl Health Stat Report","language":"eng","note":"PMID: 25073563","page":"1-15","source":"PubMed","title":"Deaths attributed to heat, cold, and other weather events in the United States, 2006-2010","author":[{"family":"Berko","given":"Jeffrey"},{"family":"Ingram","given":"Deborah D."},{"family":"Saha","given":"Shubhayu"},{"family":"Parker","given":"Jennifer D."}],"issued":{"date-parts":[["2014",7,30]]}}}],"schema":"https://github.com/citation-style-language/schema/raw/master/csl-citation.json"} </w:instrText>
      </w:r>
      <w:r>
        <w:rPr>
          <w:sz w:val="18"/>
          <w:szCs w:val="18"/>
        </w:rPr>
        <w:fldChar w:fldCharType="separate"/>
      </w:r>
      <w:r w:rsidRPr="003F2AA2">
        <w:rPr>
          <w:sz w:val="18"/>
        </w:rPr>
        <w:t>(Berko et al. 2014)</w:t>
      </w:r>
      <w:r>
        <w:rPr>
          <w:sz w:val="18"/>
          <w:szCs w:val="18"/>
        </w:rPr>
        <w:fldChar w:fldCharType="end"/>
      </w:r>
      <w:r w:rsidRPr="003F16F3">
        <w:rPr>
          <w:sz w:val="18"/>
          <w:szCs w:val="18"/>
        </w:rPr>
        <w:t xml:space="preserve">. In principle, many of the </w:t>
      </w:r>
      <w:r w:rsidR="00F73187">
        <w:rPr>
          <w:sz w:val="18"/>
          <w:szCs w:val="18"/>
        </w:rPr>
        <w:t>socio</w:t>
      </w:r>
      <w:r w:rsidRPr="003F16F3">
        <w:rPr>
          <w:sz w:val="18"/>
          <w:szCs w:val="18"/>
        </w:rPr>
        <w:t xml:space="preserve">economic vulnerabilities contributing to </w:t>
      </w:r>
      <w:r w:rsidR="004F7CD2">
        <w:rPr>
          <w:sz w:val="18"/>
          <w:szCs w:val="18"/>
        </w:rPr>
        <w:t>heat-related morbidity and mortality</w:t>
      </w:r>
      <w:r w:rsidRPr="003F16F3">
        <w:rPr>
          <w:sz w:val="18"/>
          <w:szCs w:val="18"/>
        </w:rPr>
        <w:t xml:space="preserve"> also apply to extreme cold. </w:t>
      </w:r>
    </w:p>
  </w:footnote>
  <w:footnote w:id="2">
    <w:p w14:paraId="1CEA861B" w14:textId="79859C75" w:rsidR="00EE26FC" w:rsidRDefault="00EE26FC">
      <w:pPr>
        <w:pStyle w:val="FootnoteText"/>
      </w:pPr>
      <w:r>
        <w:rPr>
          <w:rStyle w:val="FootnoteReference"/>
        </w:rPr>
        <w:footnoteRef/>
      </w:r>
      <w:r>
        <w:t xml:space="preserve"> W. McNary (personal communication, July 14, 2021)</w:t>
      </w:r>
    </w:p>
  </w:footnote>
  <w:footnote w:id="3">
    <w:p w14:paraId="600401A9" w14:textId="769EBF9C" w:rsidR="00367B3D" w:rsidRDefault="00367B3D">
      <w:pPr>
        <w:pStyle w:val="FootnoteText"/>
      </w:pPr>
      <w:r>
        <w:rPr>
          <w:rStyle w:val="FootnoteReference"/>
        </w:rPr>
        <w:footnoteRef/>
      </w:r>
      <w:r>
        <w:t xml:space="preserve"> C. A. </w:t>
      </w:r>
      <w:proofErr w:type="spellStart"/>
      <w:r>
        <w:t>Hronis</w:t>
      </w:r>
      <w:proofErr w:type="spellEnd"/>
      <w:r>
        <w:t xml:space="preserve"> (personal communication, August 15,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E00F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00CE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854E9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002F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112C94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E6DD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FCAC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D92E2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41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B64A6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D17AC"/>
    <w:multiLevelType w:val="hybridMultilevel"/>
    <w:tmpl w:val="9D486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D5EFC"/>
    <w:multiLevelType w:val="hybridMultilevel"/>
    <w:tmpl w:val="758A91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61216"/>
    <w:multiLevelType w:val="hybridMultilevel"/>
    <w:tmpl w:val="7A8CBB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12C30"/>
    <w:multiLevelType w:val="hybridMultilevel"/>
    <w:tmpl w:val="2B6421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4689F"/>
    <w:multiLevelType w:val="hybridMultilevel"/>
    <w:tmpl w:val="1A4883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9B748A"/>
    <w:multiLevelType w:val="multilevel"/>
    <w:tmpl w:val="912CC868"/>
    <w:lvl w:ilvl="0">
      <w:start w:val="1"/>
      <w:numFmt w:val="decimal"/>
      <w:pStyle w:val="Caption"/>
      <w:lvlText w:val="%1."/>
      <w:lvlJc w:val="left"/>
      <w:pPr>
        <w:ind w:left="6210" w:hanging="360"/>
      </w:pPr>
    </w:lvl>
    <w:lvl w:ilvl="1">
      <w:start w:val="1"/>
      <w:numFmt w:val="decimal"/>
      <w:pStyle w:val="Bibliography"/>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173059"/>
    <w:multiLevelType w:val="hybridMultilevel"/>
    <w:tmpl w:val="F8A44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054710"/>
    <w:multiLevelType w:val="hybridMultilevel"/>
    <w:tmpl w:val="D7EC3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A471C"/>
    <w:multiLevelType w:val="hybridMultilevel"/>
    <w:tmpl w:val="8FA678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54B1C"/>
    <w:multiLevelType w:val="hybridMultilevel"/>
    <w:tmpl w:val="6AA0F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DB612D"/>
    <w:multiLevelType w:val="multilevel"/>
    <w:tmpl w:val="92DCA63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286A56"/>
    <w:multiLevelType w:val="hybridMultilevel"/>
    <w:tmpl w:val="6D58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1704ED"/>
    <w:multiLevelType w:val="multilevel"/>
    <w:tmpl w:val="F88A8A62"/>
    <w:lvl w:ilvl="0">
      <w:start w:val="1"/>
      <w:numFmt w:val="decimal"/>
      <w:pStyle w:val="Heading1List"/>
      <w:lvlText w:val="%1."/>
      <w:lvlJc w:val="left"/>
      <w:pPr>
        <w:ind w:left="720" w:hanging="360"/>
      </w:pPr>
      <w:rPr>
        <w:rFonts w:hint="default"/>
      </w:rPr>
    </w:lvl>
    <w:lvl w:ilvl="1">
      <w:start w:val="1"/>
      <w:numFmt w:val="decimal"/>
      <w:pStyle w:val="Heading2List"/>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C542D"/>
    <w:multiLevelType w:val="hybridMultilevel"/>
    <w:tmpl w:val="91F83A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535B75"/>
    <w:multiLevelType w:val="hybridMultilevel"/>
    <w:tmpl w:val="B5EA6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B22F95"/>
    <w:multiLevelType w:val="hybridMultilevel"/>
    <w:tmpl w:val="2F82E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175182">
    <w:abstractNumId w:val="22"/>
  </w:num>
  <w:num w:numId="2" w16cid:durableId="100686636">
    <w:abstractNumId w:val="14"/>
  </w:num>
  <w:num w:numId="3" w16cid:durableId="906574746">
    <w:abstractNumId w:val="12"/>
  </w:num>
  <w:num w:numId="4" w16cid:durableId="2062048938">
    <w:abstractNumId w:val="18"/>
  </w:num>
  <w:num w:numId="5" w16cid:durableId="696345628">
    <w:abstractNumId w:val="16"/>
  </w:num>
  <w:num w:numId="6" w16cid:durableId="1607422847">
    <w:abstractNumId w:val="24"/>
  </w:num>
  <w:num w:numId="7" w16cid:durableId="15650672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7429457">
    <w:abstractNumId w:val="15"/>
  </w:num>
  <w:num w:numId="9" w16cid:durableId="12939451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721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51611810">
    <w:abstractNumId w:val="25"/>
  </w:num>
  <w:num w:numId="12" w16cid:durableId="83190068">
    <w:abstractNumId w:val="17"/>
  </w:num>
  <w:num w:numId="13" w16cid:durableId="1795176840">
    <w:abstractNumId w:val="13"/>
  </w:num>
  <w:num w:numId="14" w16cid:durableId="1088620933">
    <w:abstractNumId w:val="10"/>
  </w:num>
  <w:num w:numId="15" w16cid:durableId="920985585">
    <w:abstractNumId w:val="11"/>
  </w:num>
  <w:num w:numId="16" w16cid:durableId="1117917774">
    <w:abstractNumId w:val="23"/>
  </w:num>
  <w:num w:numId="17" w16cid:durableId="80231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26765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6807909">
    <w:abstractNumId w:val="9"/>
  </w:num>
  <w:num w:numId="20" w16cid:durableId="2123761808">
    <w:abstractNumId w:val="7"/>
  </w:num>
  <w:num w:numId="21" w16cid:durableId="474835940">
    <w:abstractNumId w:val="6"/>
  </w:num>
  <w:num w:numId="22" w16cid:durableId="1434856100">
    <w:abstractNumId w:val="5"/>
  </w:num>
  <w:num w:numId="23" w16cid:durableId="1275867165">
    <w:abstractNumId w:val="4"/>
  </w:num>
  <w:num w:numId="24" w16cid:durableId="1760908723">
    <w:abstractNumId w:val="8"/>
  </w:num>
  <w:num w:numId="25" w16cid:durableId="1375422707">
    <w:abstractNumId w:val="3"/>
  </w:num>
  <w:num w:numId="26" w16cid:durableId="148062197">
    <w:abstractNumId w:val="2"/>
  </w:num>
  <w:num w:numId="27" w16cid:durableId="1945502454">
    <w:abstractNumId w:val="1"/>
  </w:num>
  <w:num w:numId="28" w16cid:durableId="324288931">
    <w:abstractNumId w:val="0"/>
  </w:num>
  <w:num w:numId="29" w16cid:durableId="1878657020">
    <w:abstractNumId w:val="20"/>
  </w:num>
  <w:num w:numId="30" w16cid:durableId="484204395">
    <w:abstractNumId w:val="21"/>
  </w:num>
  <w:num w:numId="31" w16cid:durableId="19743654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53"/>
    <w:rsid w:val="0000042B"/>
    <w:rsid w:val="0000166A"/>
    <w:rsid w:val="00001B91"/>
    <w:rsid w:val="0000297B"/>
    <w:rsid w:val="00003149"/>
    <w:rsid w:val="00004542"/>
    <w:rsid w:val="00006C95"/>
    <w:rsid w:val="000102EC"/>
    <w:rsid w:val="00010BCA"/>
    <w:rsid w:val="0001231D"/>
    <w:rsid w:val="000123DB"/>
    <w:rsid w:val="00012E3E"/>
    <w:rsid w:val="000141A7"/>
    <w:rsid w:val="00017E6A"/>
    <w:rsid w:val="00020572"/>
    <w:rsid w:val="000208D1"/>
    <w:rsid w:val="00022673"/>
    <w:rsid w:val="00023677"/>
    <w:rsid w:val="00023F82"/>
    <w:rsid w:val="0002436F"/>
    <w:rsid w:val="000255C3"/>
    <w:rsid w:val="00030781"/>
    <w:rsid w:val="00030D50"/>
    <w:rsid w:val="00031AB7"/>
    <w:rsid w:val="00032A32"/>
    <w:rsid w:val="000332AA"/>
    <w:rsid w:val="0003669E"/>
    <w:rsid w:val="00036A3B"/>
    <w:rsid w:val="0003753B"/>
    <w:rsid w:val="00041697"/>
    <w:rsid w:val="00041F5B"/>
    <w:rsid w:val="000459B2"/>
    <w:rsid w:val="00045B07"/>
    <w:rsid w:val="000502AF"/>
    <w:rsid w:val="00050580"/>
    <w:rsid w:val="00050730"/>
    <w:rsid w:val="000516FC"/>
    <w:rsid w:val="000518BE"/>
    <w:rsid w:val="00051A45"/>
    <w:rsid w:val="000547D2"/>
    <w:rsid w:val="000550F0"/>
    <w:rsid w:val="0005736D"/>
    <w:rsid w:val="0006004D"/>
    <w:rsid w:val="00062914"/>
    <w:rsid w:val="0006519F"/>
    <w:rsid w:val="00065381"/>
    <w:rsid w:val="00065720"/>
    <w:rsid w:val="000675B8"/>
    <w:rsid w:val="00070599"/>
    <w:rsid w:val="00072AC2"/>
    <w:rsid w:val="00072AE9"/>
    <w:rsid w:val="000732E2"/>
    <w:rsid w:val="00073C80"/>
    <w:rsid w:val="00076239"/>
    <w:rsid w:val="000774CA"/>
    <w:rsid w:val="0007764A"/>
    <w:rsid w:val="000809FA"/>
    <w:rsid w:val="000810A1"/>
    <w:rsid w:val="00081A6D"/>
    <w:rsid w:val="00082CFD"/>
    <w:rsid w:val="00083BD5"/>
    <w:rsid w:val="00085071"/>
    <w:rsid w:val="00085C89"/>
    <w:rsid w:val="000868EE"/>
    <w:rsid w:val="00086D01"/>
    <w:rsid w:val="00090203"/>
    <w:rsid w:val="000927BB"/>
    <w:rsid w:val="00093321"/>
    <w:rsid w:val="00093416"/>
    <w:rsid w:val="00093E90"/>
    <w:rsid w:val="000A1641"/>
    <w:rsid w:val="000A288E"/>
    <w:rsid w:val="000A3677"/>
    <w:rsid w:val="000A4B2D"/>
    <w:rsid w:val="000A4CF2"/>
    <w:rsid w:val="000A5675"/>
    <w:rsid w:val="000A56D6"/>
    <w:rsid w:val="000A5CE6"/>
    <w:rsid w:val="000B3BB5"/>
    <w:rsid w:val="000B5D88"/>
    <w:rsid w:val="000B6193"/>
    <w:rsid w:val="000B759B"/>
    <w:rsid w:val="000C015F"/>
    <w:rsid w:val="000C0751"/>
    <w:rsid w:val="000C13B5"/>
    <w:rsid w:val="000C1A77"/>
    <w:rsid w:val="000C317B"/>
    <w:rsid w:val="000C40EF"/>
    <w:rsid w:val="000D0788"/>
    <w:rsid w:val="000D1006"/>
    <w:rsid w:val="000D468A"/>
    <w:rsid w:val="000D4BAC"/>
    <w:rsid w:val="000D5368"/>
    <w:rsid w:val="000D627D"/>
    <w:rsid w:val="000D6583"/>
    <w:rsid w:val="000D77AF"/>
    <w:rsid w:val="000E4809"/>
    <w:rsid w:val="000E482F"/>
    <w:rsid w:val="000E52F8"/>
    <w:rsid w:val="000E5B31"/>
    <w:rsid w:val="000E6E09"/>
    <w:rsid w:val="000E7674"/>
    <w:rsid w:val="000F0526"/>
    <w:rsid w:val="000F1C05"/>
    <w:rsid w:val="000F252E"/>
    <w:rsid w:val="000F36F2"/>
    <w:rsid w:val="000F378C"/>
    <w:rsid w:val="000F3917"/>
    <w:rsid w:val="000F4320"/>
    <w:rsid w:val="000F545D"/>
    <w:rsid w:val="000F73A0"/>
    <w:rsid w:val="000F75CF"/>
    <w:rsid w:val="0010137A"/>
    <w:rsid w:val="00101CF2"/>
    <w:rsid w:val="001021F4"/>
    <w:rsid w:val="00102A0C"/>
    <w:rsid w:val="001039E0"/>
    <w:rsid w:val="001060D4"/>
    <w:rsid w:val="00106D39"/>
    <w:rsid w:val="00110078"/>
    <w:rsid w:val="00111CEB"/>
    <w:rsid w:val="00112CCC"/>
    <w:rsid w:val="001132AD"/>
    <w:rsid w:val="00115328"/>
    <w:rsid w:val="00115686"/>
    <w:rsid w:val="001158AC"/>
    <w:rsid w:val="00117094"/>
    <w:rsid w:val="00121142"/>
    <w:rsid w:val="001236FB"/>
    <w:rsid w:val="00124A7A"/>
    <w:rsid w:val="001252A9"/>
    <w:rsid w:val="00125F1F"/>
    <w:rsid w:val="00127591"/>
    <w:rsid w:val="00127644"/>
    <w:rsid w:val="00132669"/>
    <w:rsid w:val="00133354"/>
    <w:rsid w:val="001374BE"/>
    <w:rsid w:val="00144538"/>
    <w:rsid w:val="001445B5"/>
    <w:rsid w:val="00144FAD"/>
    <w:rsid w:val="001455E1"/>
    <w:rsid w:val="00145B84"/>
    <w:rsid w:val="00150AF0"/>
    <w:rsid w:val="00152504"/>
    <w:rsid w:val="00152729"/>
    <w:rsid w:val="00153D45"/>
    <w:rsid w:val="0015610C"/>
    <w:rsid w:val="0015657B"/>
    <w:rsid w:val="00156980"/>
    <w:rsid w:val="00157173"/>
    <w:rsid w:val="001603B9"/>
    <w:rsid w:val="001618CD"/>
    <w:rsid w:val="00161B3F"/>
    <w:rsid w:val="0016684D"/>
    <w:rsid w:val="00167349"/>
    <w:rsid w:val="00167F85"/>
    <w:rsid w:val="00172BC3"/>
    <w:rsid w:val="00173E31"/>
    <w:rsid w:val="0017424A"/>
    <w:rsid w:val="0018002E"/>
    <w:rsid w:val="00182AA0"/>
    <w:rsid w:val="00182EF9"/>
    <w:rsid w:val="00184BF5"/>
    <w:rsid w:val="00184FD4"/>
    <w:rsid w:val="00185E7A"/>
    <w:rsid w:val="001909EE"/>
    <w:rsid w:val="00191765"/>
    <w:rsid w:val="00194224"/>
    <w:rsid w:val="00196CE6"/>
    <w:rsid w:val="001A3EB7"/>
    <w:rsid w:val="001A6B21"/>
    <w:rsid w:val="001B0F05"/>
    <w:rsid w:val="001B17BE"/>
    <w:rsid w:val="001B4D5F"/>
    <w:rsid w:val="001C198C"/>
    <w:rsid w:val="001C2BEC"/>
    <w:rsid w:val="001C2F3A"/>
    <w:rsid w:val="001C3501"/>
    <w:rsid w:val="001C5B14"/>
    <w:rsid w:val="001D443A"/>
    <w:rsid w:val="001D4C80"/>
    <w:rsid w:val="001E0A37"/>
    <w:rsid w:val="001E1755"/>
    <w:rsid w:val="001E1907"/>
    <w:rsid w:val="001E25F6"/>
    <w:rsid w:val="001E2BF2"/>
    <w:rsid w:val="001E4131"/>
    <w:rsid w:val="001E5B80"/>
    <w:rsid w:val="001E7121"/>
    <w:rsid w:val="001F3631"/>
    <w:rsid w:val="001F3A61"/>
    <w:rsid w:val="001F5BD9"/>
    <w:rsid w:val="00200E28"/>
    <w:rsid w:val="002023F5"/>
    <w:rsid w:val="002043B3"/>
    <w:rsid w:val="0020452B"/>
    <w:rsid w:val="002058CA"/>
    <w:rsid w:val="00206530"/>
    <w:rsid w:val="002152E2"/>
    <w:rsid w:val="00222880"/>
    <w:rsid w:val="00222B0C"/>
    <w:rsid w:val="00227527"/>
    <w:rsid w:val="002302D4"/>
    <w:rsid w:val="00230506"/>
    <w:rsid w:val="0023067B"/>
    <w:rsid w:val="00232F02"/>
    <w:rsid w:val="00233C33"/>
    <w:rsid w:val="002348FC"/>
    <w:rsid w:val="002356A3"/>
    <w:rsid w:val="00235D6C"/>
    <w:rsid w:val="00236E8D"/>
    <w:rsid w:val="00237420"/>
    <w:rsid w:val="002375D1"/>
    <w:rsid w:val="002409EC"/>
    <w:rsid w:val="00241A5D"/>
    <w:rsid w:val="00244997"/>
    <w:rsid w:val="00245214"/>
    <w:rsid w:val="00246149"/>
    <w:rsid w:val="002507EB"/>
    <w:rsid w:val="0025391F"/>
    <w:rsid w:val="002543A5"/>
    <w:rsid w:val="002554EE"/>
    <w:rsid w:val="002605DB"/>
    <w:rsid w:val="00261EFA"/>
    <w:rsid w:val="00267025"/>
    <w:rsid w:val="002717D1"/>
    <w:rsid w:val="002725EF"/>
    <w:rsid w:val="00272B45"/>
    <w:rsid w:val="0027423C"/>
    <w:rsid w:val="00274310"/>
    <w:rsid w:val="00274451"/>
    <w:rsid w:val="00274820"/>
    <w:rsid w:val="00274C74"/>
    <w:rsid w:val="00275E1B"/>
    <w:rsid w:val="00277CFF"/>
    <w:rsid w:val="0028249F"/>
    <w:rsid w:val="00282889"/>
    <w:rsid w:val="002833E9"/>
    <w:rsid w:val="002874D6"/>
    <w:rsid w:val="0029071F"/>
    <w:rsid w:val="00294202"/>
    <w:rsid w:val="002969F8"/>
    <w:rsid w:val="00296FEB"/>
    <w:rsid w:val="002A2C36"/>
    <w:rsid w:val="002A4C0D"/>
    <w:rsid w:val="002A4E6E"/>
    <w:rsid w:val="002A5BC1"/>
    <w:rsid w:val="002A5CE0"/>
    <w:rsid w:val="002A6EE9"/>
    <w:rsid w:val="002A7CA9"/>
    <w:rsid w:val="002A7F21"/>
    <w:rsid w:val="002B06F0"/>
    <w:rsid w:val="002B2E1D"/>
    <w:rsid w:val="002B45D2"/>
    <w:rsid w:val="002B5F4B"/>
    <w:rsid w:val="002B5F9F"/>
    <w:rsid w:val="002B78CD"/>
    <w:rsid w:val="002C0018"/>
    <w:rsid w:val="002C1C5E"/>
    <w:rsid w:val="002C7B8A"/>
    <w:rsid w:val="002C7F41"/>
    <w:rsid w:val="002D0129"/>
    <w:rsid w:val="002D0347"/>
    <w:rsid w:val="002D0D6C"/>
    <w:rsid w:val="002D0F22"/>
    <w:rsid w:val="002D375E"/>
    <w:rsid w:val="002D4048"/>
    <w:rsid w:val="002D4B49"/>
    <w:rsid w:val="002D5861"/>
    <w:rsid w:val="002D7389"/>
    <w:rsid w:val="002E5134"/>
    <w:rsid w:val="002E59DF"/>
    <w:rsid w:val="002E78D9"/>
    <w:rsid w:val="002F0E75"/>
    <w:rsid w:val="002F0E76"/>
    <w:rsid w:val="002F3765"/>
    <w:rsid w:val="002F4DF2"/>
    <w:rsid w:val="002F5A7D"/>
    <w:rsid w:val="002F5D85"/>
    <w:rsid w:val="0030095F"/>
    <w:rsid w:val="003013E8"/>
    <w:rsid w:val="003015C3"/>
    <w:rsid w:val="00302722"/>
    <w:rsid w:val="00302810"/>
    <w:rsid w:val="003033D3"/>
    <w:rsid w:val="003034C1"/>
    <w:rsid w:val="00307F6D"/>
    <w:rsid w:val="00310FEF"/>
    <w:rsid w:val="00312ADE"/>
    <w:rsid w:val="0031530F"/>
    <w:rsid w:val="003161EB"/>
    <w:rsid w:val="00316A2F"/>
    <w:rsid w:val="00317892"/>
    <w:rsid w:val="00317D63"/>
    <w:rsid w:val="00320B00"/>
    <w:rsid w:val="00321240"/>
    <w:rsid w:val="00323243"/>
    <w:rsid w:val="00324859"/>
    <w:rsid w:val="003256A7"/>
    <w:rsid w:val="00326C2A"/>
    <w:rsid w:val="00326D63"/>
    <w:rsid w:val="003270E1"/>
    <w:rsid w:val="003274A3"/>
    <w:rsid w:val="00330BCB"/>
    <w:rsid w:val="00330D91"/>
    <w:rsid w:val="003369CA"/>
    <w:rsid w:val="00336D87"/>
    <w:rsid w:val="00337338"/>
    <w:rsid w:val="003378FF"/>
    <w:rsid w:val="00337A74"/>
    <w:rsid w:val="00347FAF"/>
    <w:rsid w:val="00350B52"/>
    <w:rsid w:val="00351C61"/>
    <w:rsid w:val="00351D9F"/>
    <w:rsid w:val="003527E1"/>
    <w:rsid w:val="00353363"/>
    <w:rsid w:val="00353E99"/>
    <w:rsid w:val="00354593"/>
    <w:rsid w:val="00356607"/>
    <w:rsid w:val="00356E46"/>
    <w:rsid w:val="00357A0F"/>
    <w:rsid w:val="0036071F"/>
    <w:rsid w:val="00361BFB"/>
    <w:rsid w:val="00363E57"/>
    <w:rsid w:val="00365353"/>
    <w:rsid w:val="00367B3D"/>
    <w:rsid w:val="003703E3"/>
    <w:rsid w:val="0037081F"/>
    <w:rsid w:val="00371AD5"/>
    <w:rsid w:val="00372282"/>
    <w:rsid w:val="0037715D"/>
    <w:rsid w:val="003826B3"/>
    <w:rsid w:val="00384A27"/>
    <w:rsid w:val="003901DB"/>
    <w:rsid w:val="0039115D"/>
    <w:rsid w:val="00392DD7"/>
    <w:rsid w:val="003962C4"/>
    <w:rsid w:val="003979C3"/>
    <w:rsid w:val="003A25C8"/>
    <w:rsid w:val="003A2C14"/>
    <w:rsid w:val="003A42BA"/>
    <w:rsid w:val="003A434E"/>
    <w:rsid w:val="003B2646"/>
    <w:rsid w:val="003B27CE"/>
    <w:rsid w:val="003B3633"/>
    <w:rsid w:val="003B49E8"/>
    <w:rsid w:val="003B7046"/>
    <w:rsid w:val="003C1EB7"/>
    <w:rsid w:val="003C22EE"/>
    <w:rsid w:val="003C3425"/>
    <w:rsid w:val="003C4042"/>
    <w:rsid w:val="003C4316"/>
    <w:rsid w:val="003C5ACC"/>
    <w:rsid w:val="003C5C87"/>
    <w:rsid w:val="003C7EAC"/>
    <w:rsid w:val="003D0027"/>
    <w:rsid w:val="003D0C11"/>
    <w:rsid w:val="003D0D7B"/>
    <w:rsid w:val="003D0EAC"/>
    <w:rsid w:val="003D1C93"/>
    <w:rsid w:val="003D2798"/>
    <w:rsid w:val="003D57C8"/>
    <w:rsid w:val="003D5F99"/>
    <w:rsid w:val="003D7199"/>
    <w:rsid w:val="003D782C"/>
    <w:rsid w:val="003E05B3"/>
    <w:rsid w:val="003E0F42"/>
    <w:rsid w:val="003E19EE"/>
    <w:rsid w:val="003E3DE3"/>
    <w:rsid w:val="003E4D0B"/>
    <w:rsid w:val="003E54DF"/>
    <w:rsid w:val="003E57F4"/>
    <w:rsid w:val="003F1AAD"/>
    <w:rsid w:val="003F504D"/>
    <w:rsid w:val="003F534F"/>
    <w:rsid w:val="003F6D06"/>
    <w:rsid w:val="004031F2"/>
    <w:rsid w:val="00405503"/>
    <w:rsid w:val="00405A27"/>
    <w:rsid w:val="00412023"/>
    <w:rsid w:val="00412F3A"/>
    <w:rsid w:val="00413E2E"/>
    <w:rsid w:val="004144F8"/>
    <w:rsid w:val="004206D8"/>
    <w:rsid w:val="00420AD7"/>
    <w:rsid w:val="00422786"/>
    <w:rsid w:val="0042284E"/>
    <w:rsid w:val="004229A2"/>
    <w:rsid w:val="00423FA3"/>
    <w:rsid w:val="0042484F"/>
    <w:rsid w:val="00425CEA"/>
    <w:rsid w:val="0042657A"/>
    <w:rsid w:val="004265C7"/>
    <w:rsid w:val="00430411"/>
    <w:rsid w:val="00431D80"/>
    <w:rsid w:val="00432C42"/>
    <w:rsid w:val="00433BB6"/>
    <w:rsid w:val="00434AE4"/>
    <w:rsid w:val="004356CF"/>
    <w:rsid w:val="00435FDE"/>
    <w:rsid w:val="004427C3"/>
    <w:rsid w:val="004439CD"/>
    <w:rsid w:val="00446019"/>
    <w:rsid w:val="004474E4"/>
    <w:rsid w:val="0044788B"/>
    <w:rsid w:val="004529AA"/>
    <w:rsid w:val="00453F53"/>
    <w:rsid w:val="00454ED4"/>
    <w:rsid w:val="0046200D"/>
    <w:rsid w:val="00463B59"/>
    <w:rsid w:val="004662B4"/>
    <w:rsid w:val="0046691E"/>
    <w:rsid w:val="004707EC"/>
    <w:rsid w:val="00470C9D"/>
    <w:rsid w:val="00472389"/>
    <w:rsid w:val="0047252E"/>
    <w:rsid w:val="00472820"/>
    <w:rsid w:val="004767B8"/>
    <w:rsid w:val="00477D96"/>
    <w:rsid w:val="00477E44"/>
    <w:rsid w:val="00480033"/>
    <w:rsid w:val="00480829"/>
    <w:rsid w:val="00481E00"/>
    <w:rsid w:val="004840B8"/>
    <w:rsid w:val="004842B8"/>
    <w:rsid w:val="0048566D"/>
    <w:rsid w:val="00485EB8"/>
    <w:rsid w:val="00492598"/>
    <w:rsid w:val="00495B28"/>
    <w:rsid w:val="00496ABF"/>
    <w:rsid w:val="00497CD1"/>
    <w:rsid w:val="004A0E37"/>
    <w:rsid w:val="004A13D7"/>
    <w:rsid w:val="004A1934"/>
    <w:rsid w:val="004A3005"/>
    <w:rsid w:val="004A47C7"/>
    <w:rsid w:val="004A47DE"/>
    <w:rsid w:val="004A4A89"/>
    <w:rsid w:val="004A4B8F"/>
    <w:rsid w:val="004A55A9"/>
    <w:rsid w:val="004A6D85"/>
    <w:rsid w:val="004A7174"/>
    <w:rsid w:val="004A7745"/>
    <w:rsid w:val="004B0388"/>
    <w:rsid w:val="004B2617"/>
    <w:rsid w:val="004B3A40"/>
    <w:rsid w:val="004B6F83"/>
    <w:rsid w:val="004C09F2"/>
    <w:rsid w:val="004C324E"/>
    <w:rsid w:val="004C6A0F"/>
    <w:rsid w:val="004D0B24"/>
    <w:rsid w:val="004D18D7"/>
    <w:rsid w:val="004D2BEB"/>
    <w:rsid w:val="004D2C58"/>
    <w:rsid w:val="004D7661"/>
    <w:rsid w:val="004D7AFE"/>
    <w:rsid w:val="004D7B35"/>
    <w:rsid w:val="004E3B93"/>
    <w:rsid w:val="004E3D6B"/>
    <w:rsid w:val="004E4228"/>
    <w:rsid w:val="004E4B9D"/>
    <w:rsid w:val="004E60ED"/>
    <w:rsid w:val="004E7892"/>
    <w:rsid w:val="004F160D"/>
    <w:rsid w:val="004F1D12"/>
    <w:rsid w:val="004F368C"/>
    <w:rsid w:val="004F5C57"/>
    <w:rsid w:val="004F5FA2"/>
    <w:rsid w:val="004F65CD"/>
    <w:rsid w:val="004F7CD2"/>
    <w:rsid w:val="00501150"/>
    <w:rsid w:val="00503818"/>
    <w:rsid w:val="00503FFE"/>
    <w:rsid w:val="00504A12"/>
    <w:rsid w:val="00505C40"/>
    <w:rsid w:val="00511ED0"/>
    <w:rsid w:val="00514F8B"/>
    <w:rsid w:val="005157A9"/>
    <w:rsid w:val="005200B6"/>
    <w:rsid w:val="00521395"/>
    <w:rsid w:val="005214E6"/>
    <w:rsid w:val="0052206D"/>
    <w:rsid w:val="0052623A"/>
    <w:rsid w:val="005301F2"/>
    <w:rsid w:val="00530E41"/>
    <w:rsid w:val="00532EFA"/>
    <w:rsid w:val="005347AB"/>
    <w:rsid w:val="005364C6"/>
    <w:rsid w:val="00536A7C"/>
    <w:rsid w:val="00541CAE"/>
    <w:rsid w:val="00541F19"/>
    <w:rsid w:val="00541F20"/>
    <w:rsid w:val="005421F5"/>
    <w:rsid w:val="00546566"/>
    <w:rsid w:val="00547561"/>
    <w:rsid w:val="00547EF4"/>
    <w:rsid w:val="005505C3"/>
    <w:rsid w:val="00550646"/>
    <w:rsid w:val="00551E10"/>
    <w:rsid w:val="00552961"/>
    <w:rsid w:val="00552D82"/>
    <w:rsid w:val="00552E8C"/>
    <w:rsid w:val="00555FE0"/>
    <w:rsid w:val="00556898"/>
    <w:rsid w:val="005614ED"/>
    <w:rsid w:val="0056153B"/>
    <w:rsid w:val="00561C6F"/>
    <w:rsid w:val="00561EDB"/>
    <w:rsid w:val="005642B8"/>
    <w:rsid w:val="00564A1B"/>
    <w:rsid w:val="00565C19"/>
    <w:rsid w:val="00566E9B"/>
    <w:rsid w:val="005671DE"/>
    <w:rsid w:val="005679B0"/>
    <w:rsid w:val="00567EC6"/>
    <w:rsid w:val="00572867"/>
    <w:rsid w:val="00575165"/>
    <w:rsid w:val="00575941"/>
    <w:rsid w:val="00575CBD"/>
    <w:rsid w:val="00577C3B"/>
    <w:rsid w:val="0058043D"/>
    <w:rsid w:val="0058155F"/>
    <w:rsid w:val="00584C0B"/>
    <w:rsid w:val="00585351"/>
    <w:rsid w:val="00590F99"/>
    <w:rsid w:val="00591297"/>
    <w:rsid w:val="00591BAE"/>
    <w:rsid w:val="00591D2F"/>
    <w:rsid w:val="0059294A"/>
    <w:rsid w:val="00593DF9"/>
    <w:rsid w:val="005953E7"/>
    <w:rsid w:val="00595FBC"/>
    <w:rsid w:val="005973E0"/>
    <w:rsid w:val="00597547"/>
    <w:rsid w:val="005A00C4"/>
    <w:rsid w:val="005A00CB"/>
    <w:rsid w:val="005A1073"/>
    <w:rsid w:val="005A2EB8"/>
    <w:rsid w:val="005A4DCF"/>
    <w:rsid w:val="005A5220"/>
    <w:rsid w:val="005A6B2A"/>
    <w:rsid w:val="005B03AD"/>
    <w:rsid w:val="005B1E5F"/>
    <w:rsid w:val="005B2E1D"/>
    <w:rsid w:val="005B336F"/>
    <w:rsid w:val="005B606E"/>
    <w:rsid w:val="005C1C24"/>
    <w:rsid w:val="005C21ED"/>
    <w:rsid w:val="005D5EAB"/>
    <w:rsid w:val="005D6626"/>
    <w:rsid w:val="005D6E94"/>
    <w:rsid w:val="005E0A0E"/>
    <w:rsid w:val="005E23F0"/>
    <w:rsid w:val="005E40E6"/>
    <w:rsid w:val="005E45AA"/>
    <w:rsid w:val="005E48B5"/>
    <w:rsid w:val="005E6B24"/>
    <w:rsid w:val="005E7CB0"/>
    <w:rsid w:val="005F0C76"/>
    <w:rsid w:val="005F303F"/>
    <w:rsid w:val="005F79DD"/>
    <w:rsid w:val="00600BD8"/>
    <w:rsid w:val="00601869"/>
    <w:rsid w:val="00605C64"/>
    <w:rsid w:val="00605CCD"/>
    <w:rsid w:val="0060625D"/>
    <w:rsid w:val="0060667C"/>
    <w:rsid w:val="006067C6"/>
    <w:rsid w:val="00611306"/>
    <w:rsid w:val="00612265"/>
    <w:rsid w:val="00612546"/>
    <w:rsid w:val="0061284C"/>
    <w:rsid w:val="006145F0"/>
    <w:rsid w:val="00616214"/>
    <w:rsid w:val="00616845"/>
    <w:rsid w:val="00627537"/>
    <w:rsid w:val="0062754A"/>
    <w:rsid w:val="006304F8"/>
    <w:rsid w:val="00632A5A"/>
    <w:rsid w:val="00635D9E"/>
    <w:rsid w:val="006360C4"/>
    <w:rsid w:val="0063651F"/>
    <w:rsid w:val="00636EE7"/>
    <w:rsid w:val="006377F7"/>
    <w:rsid w:val="00637DFD"/>
    <w:rsid w:val="006429A4"/>
    <w:rsid w:val="00645ED4"/>
    <w:rsid w:val="00646947"/>
    <w:rsid w:val="0064701B"/>
    <w:rsid w:val="00650A73"/>
    <w:rsid w:val="00652E43"/>
    <w:rsid w:val="00655970"/>
    <w:rsid w:val="00660454"/>
    <w:rsid w:val="0066132D"/>
    <w:rsid w:val="00662D7D"/>
    <w:rsid w:val="00663470"/>
    <w:rsid w:val="00665064"/>
    <w:rsid w:val="006651BA"/>
    <w:rsid w:val="006651C0"/>
    <w:rsid w:val="006660A8"/>
    <w:rsid w:val="00666B58"/>
    <w:rsid w:val="00667271"/>
    <w:rsid w:val="00675BAF"/>
    <w:rsid w:val="00676E06"/>
    <w:rsid w:val="006771A2"/>
    <w:rsid w:val="00681307"/>
    <w:rsid w:val="00681EB3"/>
    <w:rsid w:val="0068406D"/>
    <w:rsid w:val="00687A44"/>
    <w:rsid w:val="006904AF"/>
    <w:rsid w:val="00690CCE"/>
    <w:rsid w:val="00692F58"/>
    <w:rsid w:val="00692FAB"/>
    <w:rsid w:val="00695013"/>
    <w:rsid w:val="0069558E"/>
    <w:rsid w:val="006974C3"/>
    <w:rsid w:val="006A3085"/>
    <w:rsid w:val="006A3B9D"/>
    <w:rsid w:val="006A3F8B"/>
    <w:rsid w:val="006A5580"/>
    <w:rsid w:val="006B0268"/>
    <w:rsid w:val="006B120E"/>
    <w:rsid w:val="006B1CF8"/>
    <w:rsid w:val="006B3452"/>
    <w:rsid w:val="006B5092"/>
    <w:rsid w:val="006B798A"/>
    <w:rsid w:val="006C1F84"/>
    <w:rsid w:val="006C347B"/>
    <w:rsid w:val="006C34C5"/>
    <w:rsid w:val="006C4562"/>
    <w:rsid w:val="006C61B1"/>
    <w:rsid w:val="006C6FB9"/>
    <w:rsid w:val="006D16F2"/>
    <w:rsid w:val="006D5163"/>
    <w:rsid w:val="006D691F"/>
    <w:rsid w:val="006D78AB"/>
    <w:rsid w:val="006E1A73"/>
    <w:rsid w:val="006E2322"/>
    <w:rsid w:val="006E4ACA"/>
    <w:rsid w:val="006E707D"/>
    <w:rsid w:val="006E77C7"/>
    <w:rsid w:val="006F1D26"/>
    <w:rsid w:val="006F5F14"/>
    <w:rsid w:val="006F7430"/>
    <w:rsid w:val="007000B7"/>
    <w:rsid w:val="007016F8"/>
    <w:rsid w:val="0070344C"/>
    <w:rsid w:val="00703793"/>
    <w:rsid w:val="007058A9"/>
    <w:rsid w:val="00706726"/>
    <w:rsid w:val="007074F3"/>
    <w:rsid w:val="007075D1"/>
    <w:rsid w:val="00711017"/>
    <w:rsid w:val="007124EE"/>
    <w:rsid w:val="00712E61"/>
    <w:rsid w:val="007130F7"/>
    <w:rsid w:val="00717168"/>
    <w:rsid w:val="007218A2"/>
    <w:rsid w:val="0072286E"/>
    <w:rsid w:val="00731204"/>
    <w:rsid w:val="007315D5"/>
    <w:rsid w:val="00732BA0"/>
    <w:rsid w:val="007354E8"/>
    <w:rsid w:val="00735E04"/>
    <w:rsid w:val="00736493"/>
    <w:rsid w:val="00737046"/>
    <w:rsid w:val="007373D3"/>
    <w:rsid w:val="00742245"/>
    <w:rsid w:val="00742261"/>
    <w:rsid w:val="00743EF9"/>
    <w:rsid w:val="00744212"/>
    <w:rsid w:val="00744D42"/>
    <w:rsid w:val="0074588E"/>
    <w:rsid w:val="00745C2F"/>
    <w:rsid w:val="00747FB0"/>
    <w:rsid w:val="00750868"/>
    <w:rsid w:val="007543FC"/>
    <w:rsid w:val="00756289"/>
    <w:rsid w:val="00756356"/>
    <w:rsid w:val="0076382D"/>
    <w:rsid w:val="00763EC4"/>
    <w:rsid w:val="007648F9"/>
    <w:rsid w:val="00765870"/>
    <w:rsid w:val="007664A7"/>
    <w:rsid w:val="00771579"/>
    <w:rsid w:val="00771ECD"/>
    <w:rsid w:val="00772E49"/>
    <w:rsid w:val="0077425A"/>
    <w:rsid w:val="007807D8"/>
    <w:rsid w:val="00781A6D"/>
    <w:rsid w:val="00781FBB"/>
    <w:rsid w:val="00783384"/>
    <w:rsid w:val="00783AE8"/>
    <w:rsid w:val="007848DE"/>
    <w:rsid w:val="00790B9E"/>
    <w:rsid w:val="00793EAB"/>
    <w:rsid w:val="007951CF"/>
    <w:rsid w:val="007A0AB4"/>
    <w:rsid w:val="007A0BB3"/>
    <w:rsid w:val="007A0D07"/>
    <w:rsid w:val="007A1600"/>
    <w:rsid w:val="007A229F"/>
    <w:rsid w:val="007A2533"/>
    <w:rsid w:val="007A2A49"/>
    <w:rsid w:val="007A42E0"/>
    <w:rsid w:val="007A4647"/>
    <w:rsid w:val="007A46D6"/>
    <w:rsid w:val="007A764B"/>
    <w:rsid w:val="007B04D2"/>
    <w:rsid w:val="007B118C"/>
    <w:rsid w:val="007B1297"/>
    <w:rsid w:val="007B4D24"/>
    <w:rsid w:val="007B5B75"/>
    <w:rsid w:val="007B704C"/>
    <w:rsid w:val="007B770A"/>
    <w:rsid w:val="007B7E09"/>
    <w:rsid w:val="007C2A97"/>
    <w:rsid w:val="007C3722"/>
    <w:rsid w:val="007C4BD3"/>
    <w:rsid w:val="007C6B3E"/>
    <w:rsid w:val="007C6F92"/>
    <w:rsid w:val="007C7162"/>
    <w:rsid w:val="007D03C4"/>
    <w:rsid w:val="007D0587"/>
    <w:rsid w:val="007D0691"/>
    <w:rsid w:val="007D13B9"/>
    <w:rsid w:val="007D1DC4"/>
    <w:rsid w:val="007D23B4"/>
    <w:rsid w:val="007D36AB"/>
    <w:rsid w:val="007D77FE"/>
    <w:rsid w:val="007E1EA1"/>
    <w:rsid w:val="007E38C3"/>
    <w:rsid w:val="007E4136"/>
    <w:rsid w:val="007E4F68"/>
    <w:rsid w:val="007E5875"/>
    <w:rsid w:val="007E7901"/>
    <w:rsid w:val="007F1F0F"/>
    <w:rsid w:val="007F34F6"/>
    <w:rsid w:val="007F4734"/>
    <w:rsid w:val="007F543F"/>
    <w:rsid w:val="007F777A"/>
    <w:rsid w:val="008012A2"/>
    <w:rsid w:val="00803FAE"/>
    <w:rsid w:val="00805B9F"/>
    <w:rsid w:val="0080613F"/>
    <w:rsid w:val="00807346"/>
    <w:rsid w:val="008074AB"/>
    <w:rsid w:val="00812A9F"/>
    <w:rsid w:val="00812F32"/>
    <w:rsid w:val="00813D18"/>
    <w:rsid w:val="00815C83"/>
    <w:rsid w:val="00816F41"/>
    <w:rsid w:val="0082049E"/>
    <w:rsid w:val="00821785"/>
    <w:rsid w:val="008262DC"/>
    <w:rsid w:val="008266F6"/>
    <w:rsid w:val="00827153"/>
    <w:rsid w:val="008275F2"/>
    <w:rsid w:val="00827737"/>
    <w:rsid w:val="008303F0"/>
    <w:rsid w:val="00831B09"/>
    <w:rsid w:val="0083577B"/>
    <w:rsid w:val="00835A49"/>
    <w:rsid w:val="00835F25"/>
    <w:rsid w:val="00836A0B"/>
    <w:rsid w:val="00841B75"/>
    <w:rsid w:val="00841BDE"/>
    <w:rsid w:val="00841CA2"/>
    <w:rsid w:val="00845E9D"/>
    <w:rsid w:val="0084626C"/>
    <w:rsid w:val="0084793B"/>
    <w:rsid w:val="00850ADA"/>
    <w:rsid w:val="00852A5F"/>
    <w:rsid w:val="00854EAB"/>
    <w:rsid w:val="00857812"/>
    <w:rsid w:val="0085782D"/>
    <w:rsid w:val="00860310"/>
    <w:rsid w:val="00867688"/>
    <w:rsid w:val="00870A3C"/>
    <w:rsid w:val="00872EB9"/>
    <w:rsid w:val="00873F90"/>
    <w:rsid w:val="00874715"/>
    <w:rsid w:val="008747BA"/>
    <w:rsid w:val="00874CA3"/>
    <w:rsid w:val="008756BA"/>
    <w:rsid w:val="00877615"/>
    <w:rsid w:val="008802C6"/>
    <w:rsid w:val="008819F2"/>
    <w:rsid w:val="00883912"/>
    <w:rsid w:val="00884B30"/>
    <w:rsid w:val="00887A62"/>
    <w:rsid w:val="008918B8"/>
    <w:rsid w:val="00891C29"/>
    <w:rsid w:val="00893353"/>
    <w:rsid w:val="0089399E"/>
    <w:rsid w:val="00893D20"/>
    <w:rsid w:val="00895636"/>
    <w:rsid w:val="008A0F02"/>
    <w:rsid w:val="008A12A1"/>
    <w:rsid w:val="008A4F82"/>
    <w:rsid w:val="008A53EB"/>
    <w:rsid w:val="008B05EB"/>
    <w:rsid w:val="008B1AB3"/>
    <w:rsid w:val="008B1EB2"/>
    <w:rsid w:val="008B3BE5"/>
    <w:rsid w:val="008B5715"/>
    <w:rsid w:val="008B717C"/>
    <w:rsid w:val="008B79DE"/>
    <w:rsid w:val="008C0F20"/>
    <w:rsid w:val="008C1980"/>
    <w:rsid w:val="008C1A4F"/>
    <w:rsid w:val="008C4766"/>
    <w:rsid w:val="008C4B83"/>
    <w:rsid w:val="008D0432"/>
    <w:rsid w:val="008D0AF3"/>
    <w:rsid w:val="008D1519"/>
    <w:rsid w:val="008D2A72"/>
    <w:rsid w:val="008D4A9F"/>
    <w:rsid w:val="008D555E"/>
    <w:rsid w:val="008D703A"/>
    <w:rsid w:val="008D7657"/>
    <w:rsid w:val="008E01BA"/>
    <w:rsid w:val="008E09E3"/>
    <w:rsid w:val="008E1EAB"/>
    <w:rsid w:val="008E307E"/>
    <w:rsid w:val="008E7B7E"/>
    <w:rsid w:val="008E7ECA"/>
    <w:rsid w:val="008F2202"/>
    <w:rsid w:val="008F2BF3"/>
    <w:rsid w:val="008F61DF"/>
    <w:rsid w:val="008F77BC"/>
    <w:rsid w:val="009010E4"/>
    <w:rsid w:val="0091134F"/>
    <w:rsid w:val="00911EB2"/>
    <w:rsid w:val="00911F42"/>
    <w:rsid w:val="00917FDC"/>
    <w:rsid w:val="00920F9E"/>
    <w:rsid w:val="00922C10"/>
    <w:rsid w:val="0092394F"/>
    <w:rsid w:val="009255B9"/>
    <w:rsid w:val="00925AB0"/>
    <w:rsid w:val="00926B83"/>
    <w:rsid w:val="00926E1D"/>
    <w:rsid w:val="009303DB"/>
    <w:rsid w:val="00933F30"/>
    <w:rsid w:val="00934D50"/>
    <w:rsid w:val="00936357"/>
    <w:rsid w:val="00937DB8"/>
    <w:rsid w:val="0094353F"/>
    <w:rsid w:val="00945AEA"/>
    <w:rsid w:val="00945DA7"/>
    <w:rsid w:val="009467B5"/>
    <w:rsid w:val="0094685D"/>
    <w:rsid w:val="00946963"/>
    <w:rsid w:val="00946EEC"/>
    <w:rsid w:val="00950ADB"/>
    <w:rsid w:val="00950F17"/>
    <w:rsid w:val="009518EE"/>
    <w:rsid w:val="00952468"/>
    <w:rsid w:val="00954042"/>
    <w:rsid w:val="00955DE4"/>
    <w:rsid w:val="0095739B"/>
    <w:rsid w:val="009602C9"/>
    <w:rsid w:val="00961EAE"/>
    <w:rsid w:val="009622F0"/>
    <w:rsid w:val="00962C4B"/>
    <w:rsid w:val="00964609"/>
    <w:rsid w:val="00965017"/>
    <w:rsid w:val="009661E8"/>
    <w:rsid w:val="00967078"/>
    <w:rsid w:val="00967218"/>
    <w:rsid w:val="009673C3"/>
    <w:rsid w:val="00970A89"/>
    <w:rsid w:val="0097172F"/>
    <w:rsid w:val="009748D9"/>
    <w:rsid w:val="00977D40"/>
    <w:rsid w:val="00980D90"/>
    <w:rsid w:val="00981DC1"/>
    <w:rsid w:val="009821DA"/>
    <w:rsid w:val="00982D50"/>
    <w:rsid w:val="00985CA1"/>
    <w:rsid w:val="00987A33"/>
    <w:rsid w:val="00987ED6"/>
    <w:rsid w:val="00993DD2"/>
    <w:rsid w:val="00995AB3"/>
    <w:rsid w:val="0099672A"/>
    <w:rsid w:val="009976E5"/>
    <w:rsid w:val="00997913"/>
    <w:rsid w:val="009A1EC4"/>
    <w:rsid w:val="009A2AB8"/>
    <w:rsid w:val="009A44FD"/>
    <w:rsid w:val="009A46A1"/>
    <w:rsid w:val="009A4DFE"/>
    <w:rsid w:val="009A532E"/>
    <w:rsid w:val="009A7929"/>
    <w:rsid w:val="009B03DA"/>
    <w:rsid w:val="009B25E9"/>
    <w:rsid w:val="009B314E"/>
    <w:rsid w:val="009B5010"/>
    <w:rsid w:val="009B67A2"/>
    <w:rsid w:val="009C0D6F"/>
    <w:rsid w:val="009C1C60"/>
    <w:rsid w:val="009C3D46"/>
    <w:rsid w:val="009C49AC"/>
    <w:rsid w:val="009C5340"/>
    <w:rsid w:val="009C7491"/>
    <w:rsid w:val="009C782E"/>
    <w:rsid w:val="009D31D1"/>
    <w:rsid w:val="009D350F"/>
    <w:rsid w:val="009D3D2C"/>
    <w:rsid w:val="009D6094"/>
    <w:rsid w:val="009D7828"/>
    <w:rsid w:val="009E3B98"/>
    <w:rsid w:val="009E4727"/>
    <w:rsid w:val="009E4C2E"/>
    <w:rsid w:val="009E5827"/>
    <w:rsid w:val="009E5D5A"/>
    <w:rsid w:val="009E6433"/>
    <w:rsid w:val="009E7A76"/>
    <w:rsid w:val="009E7BFD"/>
    <w:rsid w:val="009F344E"/>
    <w:rsid w:val="009F71F4"/>
    <w:rsid w:val="009F7225"/>
    <w:rsid w:val="00A00CD8"/>
    <w:rsid w:val="00A0128F"/>
    <w:rsid w:val="00A02147"/>
    <w:rsid w:val="00A054A5"/>
    <w:rsid w:val="00A07011"/>
    <w:rsid w:val="00A070C8"/>
    <w:rsid w:val="00A139B2"/>
    <w:rsid w:val="00A1410E"/>
    <w:rsid w:val="00A14C96"/>
    <w:rsid w:val="00A20CCC"/>
    <w:rsid w:val="00A20ECE"/>
    <w:rsid w:val="00A232DA"/>
    <w:rsid w:val="00A2348B"/>
    <w:rsid w:val="00A2453B"/>
    <w:rsid w:val="00A2524A"/>
    <w:rsid w:val="00A25549"/>
    <w:rsid w:val="00A2772E"/>
    <w:rsid w:val="00A30E7D"/>
    <w:rsid w:val="00A32B30"/>
    <w:rsid w:val="00A334DF"/>
    <w:rsid w:val="00A33854"/>
    <w:rsid w:val="00A36BD2"/>
    <w:rsid w:val="00A36ED6"/>
    <w:rsid w:val="00A3747A"/>
    <w:rsid w:val="00A37EC6"/>
    <w:rsid w:val="00A401AF"/>
    <w:rsid w:val="00A42048"/>
    <w:rsid w:val="00A42BBC"/>
    <w:rsid w:val="00A44C11"/>
    <w:rsid w:val="00A46EF1"/>
    <w:rsid w:val="00A505A1"/>
    <w:rsid w:val="00A50980"/>
    <w:rsid w:val="00A51797"/>
    <w:rsid w:val="00A53700"/>
    <w:rsid w:val="00A550D2"/>
    <w:rsid w:val="00A55C3E"/>
    <w:rsid w:val="00A56223"/>
    <w:rsid w:val="00A56656"/>
    <w:rsid w:val="00A574CE"/>
    <w:rsid w:val="00A60DC5"/>
    <w:rsid w:val="00A6105B"/>
    <w:rsid w:val="00A62F05"/>
    <w:rsid w:val="00A63431"/>
    <w:rsid w:val="00A640C8"/>
    <w:rsid w:val="00A70D99"/>
    <w:rsid w:val="00A76248"/>
    <w:rsid w:val="00A778B1"/>
    <w:rsid w:val="00A80246"/>
    <w:rsid w:val="00A8181B"/>
    <w:rsid w:val="00A8373A"/>
    <w:rsid w:val="00A83DA1"/>
    <w:rsid w:val="00A849D3"/>
    <w:rsid w:val="00A85DA8"/>
    <w:rsid w:val="00A90E92"/>
    <w:rsid w:val="00A91249"/>
    <w:rsid w:val="00A94B75"/>
    <w:rsid w:val="00A950D0"/>
    <w:rsid w:val="00A96F38"/>
    <w:rsid w:val="00A97AD7"/>
    <w:rsid w:val="00A97C97"/>
    <w:rsid w:val="00AA0BBB"/>
    <w:rsid w:val="00AA0DAD"/>
    <w:rsid w:val="00AA30C5"/>
    <w:rsid w:val="00AA379B"/>
    <w:rsid w:val="00AB0A9E"/>
    <w:rsid w:val="00AB0DA9"/>
    <w:rsid w:val="00AB26DA"/>
    <w:rsid w:val="00AB35D0"/>
    <w:rsid w:val="00AB37C2"/>
    <w:rsid w:val="00AB79BB"/>
    <w:rsid w:val="00AB7EB4"/>
    <w:rsid w:val="00AC3212"/>
    <w:rsid w:val="00AC4D41"/>
    <w:rsid w:val="00AC749D"/>
    <w:rsid w:val="00AD181B"/>
    <w:rsid w:val="00AD4953"/>
    <w:rsid w:val="00AD532A"/>
    <w:rsid w:val="00AD6BCE"/>
    <w:rsid w:val="00AD7FD7"/>
    <w:rsid w:val="00AE4134"/>
    <w:rsid w:val="00AE4592"/>
    <w:rsid w:val="00AE4A70"/>
    <w:rsid w:val="00AE557E"/>
    <w:rsid w:val="00AE6CCF"/>
    <w:rsid w:val="00AF0043"/>
    <w:rsid w:val="00AF03AB"/>
    <w:rsid w:val="00AF164F"/>
    <w:rsid w:val="00AF5B54"/>
    <w:rsid w:val="00AF7744"/>
    <w:rsid w:val="00B00160"/>
    <w:rsid w:val="00B00E64"/>
    <w:rsid w:val="00B01362"/>
    <w:rsid w:val="00B01CED"/>
    <w:rsid w:val="00B021AC"/>
    <w:rsid w:val="00B04043"/>
    <w:rsid w:val="00B047A1"/>
    <w:rsid w:val="00B0720E"/>
    <w:rsid w:val="00B07675"/>
    <w:rsid w:val="00B11A34"/>
    <w:rsid w:val="00B11EA6"/>
    <w:rsid w:val="00B14A90"/>
    <w:rsid w:val="00B17CFE"/>
    <w:rsid w:val="00B20925"/>
    <w:rsid w:val="00B20A06"/>
    <w:rsid w:val="00B22BCC"/>
    <w:rsid w:val="00B2330E"/>
    <w:rsid w:val="00B25225"/>
    <w:rsid w:val="00B25486"/>
    <w:rsid w:val="00B25B03"/>
    <w:rsid w:val="00B301C7"/>
    <w:rsid w:val="00B32BD4"/>
    <w:rsid w:val="00B33791"/>
    <w:rsid w:val="00B338BA"/>
    <w:rsid w:val="00B3465D"/>
    <w:rsid w:val="00B35535"/>
    <w:rsid w:val="00B370C6"/>
    <w:rsid w:val="00B37DC8"/>
    <w:rsid w:val="00B37DDA"/>
    <w:rsid w:val="00B40515"/>
    <w:rsid w:val="00B42DF1"/>
    <w:rsid w:val="00B443FF"/>
    <w:rsid w:val="00B46DDF"/>
    <w:rsid w:val="00B507FE"/>
    <w:rsid w:val="00B52075"/>
    <w:rsid w:val="00B52693"/>
    <w:rsid w:val="00B537E1"/>
    <w:rsid w:val="00B53A7E"/>
    <w:rsid w:val="00B54422"/>
    <w:rsid w:val="00B5600D"/>
    <w:rsid w:val="00B6016C"/>
    <w:rsid w:val="00B63578"/>
    <w:rsid w:val="00B63648"/>
    <w:rsid w:val="00B63801"/>
    <w:rsid w:val="00B63EF9"/>
    <w:rsid w:val="00B6709A"/>
    <w:rsid w:val="00B727E0"/>
    <w:rsid w:val="00B73127"/>
    <w:rsid w:val="00B74613"/>
    <w:rsid w:val="00B75B87"/>
    <w:rsid w:val="00B7667A"/>
    <w:rsid w:val="00B80C45"/>
    <w:rsid w:val="00B81C90"/>
    <w:rsid w:val="00B81E01"/>
    <w:rsid w:val="00B820C3"/>
    <w:rsid w:val="00B840E6"/>
    <w:rsid w:val="00B844EF"/>
    <w:rsid w:val="00B84F86"/>
    <w:rsid w:val="00B857D1"/>
    <w:rsid w:val="00B868AF"/>
    <w:rsid w:val="00B91577"/>
    <w:rsid w:val="00B92528"/>
    <w:rsid w:val="00B93C5E"/>
    <w:rsid w:val="00B93ED1"/>
    <w:rsid w:val="00B9768D"/>
    <w:rsid w:val="00BA0E0A"/>
    <w:rsid w:val="00BA17E5"/>
    <w:rsid w:val="00BA5EA4"/>
    <w:rsid w:val="00BA6754"/>
    <w:rsid w:val="00BA7035"/>
    <w:rsid w:val="00BA7266"/>
    <w:rsid w:val="00BB01F8"/>
    <w:rsid w:val="00BB0815"/>
    <w:rsid w:val="00BB152B"/>
    <w:rsid w:val="00BB2739"/>
    <w:rsid w:val="00BB2970"/>
    <w:rsid w:val="00BB2DE0"/>
    <w:rsid w:val="00BB5FED"/>
    <w:rsid w:val="00BB6023"/>
    <w:rsid w:val="00BB6C6B"/>
    <w:rsid w:val="00BB7334"/>
    <w:rsid w:val="00BC13B5"/>
    <w:rsid w:val="00BC2ACE"/>
    <w:rsid w:val="00BC36D6"/>
    <w:rsid w:val="00BC495B"/>
    <w:rsid w:val="00BD2FE1"/>
    <w:rsid w:val="00BD335D"/>
    <w:rsid w:val="00BD3589"/>
    <w:rsid w:val="00BD38AB"/>
    <w:rsid w:val="00BD3F6E"/>
    <w:rsid w:val="00BD40EB"/>
    <w:rsid w:val="00BD447C"/>
    <w:rsid w:val="00BD4BAC"/>
    <w:rsid w:val="00BD572E"/>
    <w:rsid w:val="00BD5A48"/>
    <w:rsid w:val="00BD67EE"/>
    <w:rsid w:val="00BE0B88"/>
    <w:rsid w:val="00BE2BE2"/>
    <w:rsid w:val="00BE3963"/>
    <w:rsid w:val="00BE4182"/>
    <w:rsid w:val="00BE441F"/>
    <w:rsid w:val="00BE4CD1"/>
    <w:rsid w:val="00BE5286"/>
    <w:rsid w:val="00BE546A"/>
    <w:rsid w:val="00BE6B27"/>
    <w:rsid w:val="00BE7AC6"/>
    <w:rsid w:val="00BF22A6"/>
    <w:rsid w:val="00BF2F85"/>
    <w:rsid w:val="00BF38F5"/>
    <w:rsid w:val="00BF3D58"/>
    <w:rsid w:val="00BF51EB"/>
    <w:rsid w:val="00BF5CF5"/>
    <w:rsid w:val="00BF67D9"/>
    <w:rsid w:val="00C015FC"/>
    <w:rsid w:val="00C02B78"/>
    <w:rsid w:val="00C03C04"/>
    <w:rsid w:val="00C0525F"/>
    <w:rsid w:val="00C05818"/>
    <w:rsid w:val="00C06218"/>
    <w:rsid w:val="00C106C8"/>
    <w:rsid w:val="00C10B3E"/>
    <w:rsid w:val="00C11518"/>
    <w:rsid w:val="00C12940"/>
    <w:rsid w:val="00C13496"/>
    <w:rsid w:val="00C13C60"/>
    <w:rsid w:val="00C142C3"/>
    <w:rsid w:val="00C15E7E"/>
    <w:rsid w:val="00C170BA"/>
    <w:rsid w:val="00C20CFE"/>
    <w:rsid w:val="00C232EA"/>
    <w:rsid w:val="00C236CD"/>
    <w:rsid w:val="00C257AD"/>
    <w:rsid w:val="00C35781"/>
    <w:rsid w:val="00C35CCC"/>
    <w:rsid w:val="00C36DDA"/>
    <w:rsid w:val="00C37C28"/>
    <w:rsid w:val="00C41428"/>
    <w:rsid w:val="00C42310"/>
    <w:rsid w:val="00C428A9"/>
    <w:rsid w:val="00C42FC1"/>
    <w:rsid w:val="00C43ED5"/>
    <w:rsid w:val="00C44412"/>
    <w:rsid w:val="00C457EF"/>
    <w:rsid w:val="00C459ED"/>
    <w:rsid w:val="00C45A90"/>
    <w:rsid w:val="00C46EED"/>
    <w:rsid w:val="00C5281C"/>
    <w:rsid w:val="00C53796"/>
    <w:rsid w:val="00C54F6F"/>
    <w:rsid w:val="00C55331"/>
    <w:rsid w:val="00C57B21"/>
    <w:rsid w:val="00C600B4"/>
    <w:rsid w:val="00C626C9"/>
    <w:rsid w:val="00C63E79"/>
    <w:rsid w:val="00C64391"/>
    <w:rsid w:val="00C657F4"/>
    <w:rsid w:val="00C6584D"/>
    <w:rsid w:val="00C666AD"/>
    <w:rsid w:val="00C67600"/>
    <w:rsid w:val="00C73EBE"/>
    <w:rsid w:val="00C74AC5"/>
    <w:rsid w:val="00C74B13"/>
    <w:rsid w:val="00C74FD3"/>
    <w:rsid w:val="00C75E4B"/>
    <w:rsid w:val="00C764BD"/>
    <w:rsid w:val="00C80F22"/>
    <w:rsid w:val="00C8272B"/>
    <w:rsid w:val="00C844CF"/>
    <w:rsid w:val="00C84B4D"/>
    <w:rsid w:val="00C86145"/>
    <w:rsid w:val="00C87584"/>
    <w:rsid w:val="00C877B8"/>
    <w:rsid w:val="00C91C85"/>
    <w:rsid w:val="00C9201C"/>
    <w:rsid w:val="00C92BD3"/>
    <w:rsid w:val="00C93094"/>
    <w:rsid w:val="00C93B07"/>
    <w:rsid w:val="00C93B50"/>
    <w:rsid w:val="00C95F4A"/>
    <w:rsid w:val="00C960DE"/>
    <w:rsid w:val="00CA07C0"/>
    <w:rsid w:val="00CA48FB"/>
    <w:rsid w:val="00CA7532"/>
    <w:rsid w:val="00CB09E2"/>
    <w:rsid w:val="00CB0A37"/>
    <w:rsid w:val="00CB3ADA"/>
    <w:rsid w:val="00CB3FAE"/>
    <w:rsid w:val="00CB4583"/>
    <w:rsid w:val="00CB56CD"/>
    <w:rsid w:val="00CB6DE5"/>
    <w:rsid w:val="00CC2EEF"/>
    <w:rsid w:val="00CC31C9"/>
    <w:rsid w:val="00CC39D8"/>
    <w:rsid w:val="00CD03E3"/>
    <w:rsid w:val="00CD03FF"/>
    <w:rsid w:val="00CD0A12"/>
    <w:rsid w:val="00CD1175"/>
    <w:rsid w:val="00CD2AB4"/>
    <w:rsid w:val="00CD2C76"/>
    <w:rsid w:val="00CD2E57"/>
    <w:rsid w:val="00CD2FDA"/>
    <w:rsid w:val="00CD616E"/>
    <w:rsid w:val="00CE62A4"/>
    <w:rsid w:val="00CE71C6"/>
    <w:rsid w:val="00CF018F"/>
    <w:rsid w:val="00CF0AF0"/>
    <w:rsid w:val="00CF1900"/>
    <w:rsid w:val="00CF2395"/>
    <w:rsid w:val="00CF3C30"/>
    <w:rsid w:val="00CF45AB"/>
    <w:rsid w:val="00CF482F"/>
    <w:rsid w:val="00CF76F9"/>
    <w:rsid w:val="00D00B11"/>
    <w:rsid w:val="00D00E6B"/>
    <w:rsid w:val="00D024AD"/>
    <w:rsid w:val="00D036AF"/>
    <w:rsid w:val="00D06019"/>
    <w:rsid w:val="00D066D9"/>
    <w:rsid w:val="00D13CC3"/>
    <w:rsid w:val="00D14470"/>
    <w:rsid w:val="00D14861"/>
    <w:rsid w:val="00D14F67"/>
    <w:rsid w:val="00D159E6"/>
    <w:rsid w:val="00D15D56"/>
    <w:rsid w:val="00D16A20"/>
    <w:rsid w:val="00D21425"/>
    <w:rsid w:val="00D2391D"/>
    <w:rsid w:val="00D23AF7"/>
    <w:rsid w:val="00D25567"/>
    <w:rsid w:val="00D26F50"/>
    <w:rsid w:val="00D27259"/>
    <w:rsid w:val="00D277CF"/>
    <w:rsid w:val="00D27F42"/>
    <w:rsid w:val="00D30F53"/>
    <w:rsid w:val="00D36EE5"/>
    <w:rsid w:val="00D412DA"/>
    <w:rsid w:val="00D41655"/>
    <w:rsid w:val="00D41C07"/>
    <w:rsid w:val="00D4211A"/>
    <w:rsid w:val="00D45797"/>
    <w:rsid w:val="00D45913"/>
    <w:rsid w:val="00D459CC"/>
    <w:rsid w:val="00D51851"/>
    <w:rsid w:val="00D52117"/>
    <w:rsid w:val="00D528BB"/>
    <w:rsid w:val="00D5376D"/>
    <w:rsid w:val="00D53DB5"/>
    <w:rsid w:val="00D54524"/>
    <w:rsid w:val="00D54DB0"/>
    <w:rsid w:val="00D54DE7"/>
    <w:rsid w:val="00D54E9E"/>
    <w:rsid w:val="00D567C4"/>
    <w:rsid w:val="00D56D97"/>
    <w:rsid w:val="00D56E09"/>
    <w:rsid w:val="00D63419"/>
    <w:rsid w:val="00D71B37"/>
    <w:rsid w:val="00D71DE3"/>
    <w:rsid w:val="00D72357"/>
    <w:rsid w:val="00D747C5"/>
    <w:rsid w:val="00D74B10"/>
    <w:rsid w:val="00D80F83"/>
    <w:rsid w:val="00D81991"/>
    <w:rsid w:val="00D82CBE"/>
    <w:rsid w:val="00D83DA9"/>
    <w:rsid w:val="00D860CE"/>
    <w:rsid w:val="00D86566"/>
    <w:rsid w:val="00D866CD"/>
    <w:rsid w:val="00D87D57"/>
    <w:rsid w:val="00D907E7"/>
    <w:rsid w:val="00D90ECB"/>
    <w:rsid w:val="00D92389"/>
    <w:rsid w:val="00D93274"/>
    <w:rsid w:val="00D9574B"/>
    <w:rsid w:val="00D96821"/>
    <w:rsid w:val="00DA03E8"/>
    <w:rsid w:val="00DA041A"/>
    <w:rsid w:val="00DA0441"/>
    <w:rsid w:val="00DA28DB"/>
    <w:rsid w:val="00DA31D5"/>
    <w:rsid w:val="00DA430E"/>
    <w:rsid w:val="00DA617E"/>
    <w:rsid w:val="00DA67BD"/>
    <w:rsid w:val="00DA7FE4"/>
    <w:rsid w:val="00DB010C"/>
    <w:rsid w:val="00DB1D4C"/>
    <w:rsid w:val="00DB2A8F"/>
    <w:rsid w:val="00DB31E5"/>
    <w:rsid w:val="00DB3F18"/>
    <w:rsid w:val="00DC1328"/>
    <w:rsid w:val="00DC4A3C"/>
    <w:rsid w:val="00DE1297"/>
    <w:rsid w:val="00DE4323"/>
    <w:rsid w:val="00DE694C"/>
    <w:rsid w:val="00DE77B3"/>
    <w:rsid w:val="00DF260D"/>
    <w:rsid w:val="00DF3B87"/>
    <w:rsid w:val="00DF4C7C"/>
    <w:rsid w:val="00DF556F"/>
    <w:rsid w:val="00DF5D0D"/>
    <w:rsid w:val="00DF628A"/>
    <w:rsid w:val="00E004D7"/>
    <w:rsid w:val="00E0114C"/>
    <w:rsid w:val="00E02D16"/>
    <w:rsid w:val="00E04C8D"/>
    <w:rsid w:val="00E077E1"/>
    <w:rsid w:val="00E10D48"/>
    <w:rsid w:val="00E1173F"/>
    <w:rsid w:val="00E11856"/>
    <w:rsid w:val="00E12F9E"/>
    <w:rsid w:val="00E14543"/>
    <w:rsid w:val="00E15A59"/>
    <w:rsid w:val="00E202E0"/>
    <w:rsid w:val="00E20517"/>
    <w:rsid w:val="00E2340B"/>
    <w:rsid w:val="00E23DC5"/>
    <w:rsid w:val="00E23E01"/>
    <w:rsid w:val="00E27C04"/>
    <w:rsid w:val="00E301C1"/>
    <w:rsid w:val="00E30ABC"/>
    <w:rsid w:val="00E317C5"/>
    <w:rsid w:val="00E31888"/>
    <w:rsid w:val="00E359C1"/>
    <w:rsid w:val="00E36EC3"/>
    <w:rsid w:val="00E37F7F"/>
    <w:rsid w:val="00E41D8D"/>
    <w:rsid w:val="00E44A0D"/>
    <w:rsid w:val="00E51843"/>
    <w:rsid w:val="00E55A3D"/>
    <w:rsid w:val="00E55CB9"/>
    <w:rsid w:val="00E61249"/>
    <w:rsid w:val="00E62FF5"/>
    <w:rsid w:val="00E63105"/>
    <w:rsid w:val="00E636CD"/>
    <w:rsid w:val="00E63B80"/>
    <w:rsid w:val="00E63ED0"/>
    <w:rsid w:val="00E65DA1"/>
    <w:rsid w:val="00E663BC"/>
    <w:rsid w:val="00E66EE1"/>
    <w:rsid w:val="00E67010"/>
    <w:rsid w:val="00E67F3F"/>
    <w:rsid w:val="00E70545"/>
    <w:rsid w:val="00E70867"/>
    <w:rsid w:val="00E715FA"/>
    <w:rsid w:val="00E75C90"/>
    <w:rsid w:val="00E76CDC"/>
    <w:rsid w:val="00E76F5F"/>
    <w:rsid w:val="00E84BA9"/>
    <w:rsid w:val="00E854A7"/>
    <w:rsid w:val="00E85E22"/>
    <w:rsid w:val="00E905E6"/>
    <w:rsid w:val="00E90738"/>
    <w:rsid w:val="00E9223F"/>
    <w:rsid w:val="00E93A7C"/>
    <w:rsid w:val="00E963B6"/>
    <w:rsid w:val="00E963D3"/>
    <w:rsid w:val="00E9659E"/>
    <w:rsid w:val="00E97EBB"/>
    <w:rsid w:val="00EA226E"/>
    <w:rsid w:val="00EA345A"/>
    <w:rsid w:val="00EA3D4A"/>
    <w:rsid w:val="00EA447A"/>
    <w:rsid w:val="00EB0857"/>
    <w:rsid w:val="00EB0F0F"/>
    <w:rsid w:val="00EB130A"/>
    <w:rsid w:val="00EB1D10"/>
    <w:rsid w:val="00EB2658"/>
    <w:rsid w:val="00EB2CAE"/>
    <w:rsid w:val="00EB5318"/>
    <w:rsid w:val="00EC1B97"/>
    <w:rsid w:val="00EC209A"/>
    <w:rsid w:val="00EC4C7F"/>
    <w:rsid w:val="00EC52E1"/>
    <w:rsid w:val="00EC650E"/>
    <w:rsid w:val="00EC74CF"/>
    <w:rsid w:val="00EC74F1"/>
    <w:rsid w:val="00EC79CC"/>
    <w:rsid w:val="00ED00ED"/>
    <w:rsid w:val="00ED0A50"/>
    <w:rsid w:val="00ED54D3"/>
    <w:rsid w:val="00ED634A"/>
    <w:rsid w:val="00ED6697"/>
    <w:rsid w:val="00ED682F"/>
    <w:rsid w:val="00EE070C"/>
    <w:rsid w:val="00EE1188"/>
    <w:rsid w:val="00EE24E1"/>
    <w:rsid w:val="00EE252F"/>
    <w:rsid w:val="00EE26FC"/>
    <w:rsid w:val="00EE636A"/>
    <w:rsid w:val="00EE6FB0"/>
    <w:rsid w:val="00EF0C65"/>
    <w:rsid w:val="00EF13F0"/>
    <w:rsid w:val="00EF2B85"/>
    <w:rsid w:val="00EF347C"/>
    <w:rsid w:val="00EF5C05"/>
    <w:rsid w:val="00F01577"/>
    <w:rsid w:val="00F05519"/>
    <w:rsid w:val="00F11D26"/>
    <w:rsid w:val="00F12CEC"/>
    <w:rsid w:val="00F13BF5"/>
    <w:rsid w:val="00F16B2C"/>
    <w:rsid w:val="00F202A8"/>
    <w:rsid w:val="00F211C8"/>
    <w:rsid w:val="00F224CB"/>
    <w:rsid w:val="00F26CFB"/>
    <w:rsid w:val="00F30B7D"/>
    <w:rsid w:val="00F32A38"/>
    <w:rsid w:val="00F32B85"/>
    <w:rsid w:val="00F3446B"/>
    <w:rsid w:val="00F403F3"/>
    <w:rsid w:val="00F4076F"/>
    <w:rsid w:val="00F41155"/>
    <w:rsid w:val="00F43F27"/>
    <w:rsid w:val="00F44011"/>
    <w:rsid w:val="00F44A50"/>
    <w:rsid w:val="00F4623D"/>
    <w:rsid w:val="00F500AA"/>
    <w:rsid w:val="00F503FE"/>
    <w:rsid w:val="00F51C6F"/>
    <w:rsid w:val="00F51F0B"/>
    <w:rsid w:val="00F51F27"/>
    <w:rsid w:val="00F5430D"/>
    <w:rsid w:val="00F569C7"/>
    <w:rsid w:val="00F6050E"/>
    <w:rsid w:val="00F60C73"/>
    <w:rsid w:val="00F60DA6"/>
    <w:rsid w:val="00F60E4E"/>
    <w:rsid w:val="00F653E8"/>
    <w:rsid w:val="00F65452"/>
    <w:rsid w:val="00F7026C"/>
    <w:rsid w:val="00F73187"/>
    <w:rsid w:val="00F74F1F"/>
    <w:rsid w:val="00F82E48"/>
    <w:rsid w:val="00F83A3E"/>
    <w:rsid w:val="00F853B4"/>
    <w:rsid w:val="00F85B7B"/>
    <w:rsid w:val="00F872DE"/>
    <w:rsid w:val="00F90779"/>
    <w:rsid w:val="00F90FAB"/>
    <w:rsid w:val="00F91726"/>
    <w:rsid w:val="00F93DF2"/>
    <w:rsid w:val="00F95338"/>
    <w:rsid w:val="00F9592F"/>
    <w:rsid w:val="00F95CA6"/>
    <w:rsid w:val="00F96E71"/>
    <w:rsid w:val="00F97ECE"/>
    <w:rsid w:val="00FA165E"/>
    <w:rsid w:val="00FA7144"/>
    <w:rsid w:val="00FA7717"/>
    <w:rsid w:val="00FA786A"/>
    <w:rsid w:val="00FB07B5"/>
    <w:rsid w:val="00FB0C8C"/>
    <w:rsid w:val="00FB4125"/>
    <w:rsid w:val="00FB5470"/>
    <w:rsid w:val="00FB662A"/>
    <w:rsid w:val="00FB6EA2"/>
    <w:rsid w:val="00FB7BF9"/>
    <w:rsid w:val="00FC02BE"/>
    <w:rsid w:val="00FC1B4E"/>
    <w:rsid w:val="00FC42A4"/>
    <w:rsid w:val="00FC4357"/>
    <w:rsid w:val="00FC4507"/>
    <w:rsid w:val="00FC477B"/>
    <w:rsid w:val="00FC5491"/>
    <w:rsid w:val="00FC5A03"/>
    <w:rsid w:val="00FC6EBB"/>
    <w:rsid w:val="00FC703C"/>
    <w:rsid w:val="00FD02FE"/>
    <w:rsid w:val="00FD0E20"/>
    <w:rsid w:val="00FD0E5D"/>
    <w:rsid w:val="00FD17B5"/>
    <w:rsid w:val="00FD5F2C"/>
    <w:rsid w:val="00FD666F"/>
    <w:rsid w:val="00FD6C63"/>
    <w:rsid w:val="00FE1CEA"/>
    <w:rsid w:val="00FE2362"/>
    <w:rsid w:val="00FE270C"/>
    <w:rsid w:val="00FF021D"/>
    <w:rsid w:val="00FF0728"/>
    <w:rsid w:val="00FF08C1"/>
    <w:rsid w:val="00FF0DF6"/>
    <w:rsid w:val="00FF282D"/>
    <w:rsid w:val="00FF3EEE"/>
    <w:rsid w:val="00FF4699"/>
    <w:rsid w:val="00FF71F0"/>
    <w:rsid w:val="00FF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3FAA"/>
  <w15:docId w15:val="{959ACE68-65CF-284D-A926-A976F024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117"/>
    <w:rPr>
      <w:rFonts w:ascii="Cambria" w:hAnsi="Cambria"/>
    </w:rPr>
  </w:style>
  <w:style w:type="paragraph" w:styleId="Heading1">
    <w:name w:val="heading 1"/>
    <w:basedOn w:val="Normal"/>
    <w:next w:val="Normal"/>
    <w:link w:val="Heading1Char"/>
    <w:uiPriority w:val="9"/>
    <w:qFormat/>
    <w:rsid w:val="00827153"/>
    <w:pPr>
      <w:keepNext/>
      <w:keepLines/>
      <w:spacing w:before="240" w:after="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969F8"/>
    <w:pPr>
      <w:keepNext/>
      <w:keepLines/>
      <w:spacing w:before="40" w:after="0"/>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C414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D0432"/>
    <w:pPr>
      <w:keepNext/>
      <w:keepLines/>
      <w:spacing w:before="40" w:after="0"/>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432"/>
    <w:pPr>
      <w:keepNext/>
      <w:keepLines/>
      <w:spacing w:before="40" w:after="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432"/>
    <w:pPr>
      <w:keepNext/>
      <w:keepLines/>
      <w:spacing w:before="40" w:after="0"/>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432"/>
    <w:pPr>
      <w:keepNext/>
      <w:keepLines/>
      <w:spacing w:before="40" w:after="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432"/>
    <w:pPr>
      <w:keepNext/>
      <w:keepLines/>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432"/>
    <w:pPr>
      <w:keepNext/>
      <w:keepLines/>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117"/>
    <w:pPr>
      <w:spacing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D52117"/>
    <w:rPr>
      <w:rFonts w:ascii="Cambria" w:eastAsiaTheme="majorEastAsia" w:hAnsi="Cambria" w:cstheme="majorBidi"/>
      <w:b/>
      <w:spacing w:val="-10"/>
      <w:kern w:val="28"/>
      <w:sz w:val="36"/>
      <w:szCs w:val="56"/>
    </w:rPr>
  </w:style>
  <w:style w:type="character" w:customStyle="1" w:styleId="Heading1Char">
    <w:name w:val="Heading 1 Char"/>
    <w:basedOn w:val="DefaultParagraphFont"/>
    <w:link w:val="Heading1"/>
    <w:uiPriority w:val="9"/>
    <w:rsid w:val="00827153"/>
    <w:rPr>
      <w:rFonts w:ascii="Cambria" w:eastAsiaTheme="majorEastAsia" w:hAnsi="Cambria" w:cstheme="majorBidi"/>
      <w:b/>
      <w:szCs w:val="32"/>
    </w:rPr>
  </w:style>
  <w:style w:type="paragraph" w:styleId="ListParagraph">
    <w:name w:val="List Paragraph"/>
    <w:basedOn w:val="Normal"/>
    <w:uiPriority w:val="34"/>
    <w:qFormat/>
    <w:rsid w:val="002969F8"/>
    <w:pPr>
      <w:ind w:left="720"/>
      <w:contextualSpacing/>
    </w:pPr>
  </w:style>
  <w:style w:type="character" w:customStyle="1" w:styleId="Heading2Char">
    <w:name w:val="Heading 2 Char"/>
    <w:basedOn w:val="DefaultParagraphFont"/>
    <w:link w:val="Heading2"/>
    <w:uiPriority w:val="9"/>
    <w:rsid w:val="002969F8"/>
    <w:rPr>
      <w:rFonts w:ascii="Times New Roman" w:eastAsiaTheme="majorEastAsia" w:hAnsi="Times New Roman" w:cstheme="majorBidi"/>
      <w:i/>
      <w:szCs w:val="26"/>
    </w:rPr>
  </w:style>
  <w:style w:type="paragraph" w:customStyle="1" w:styleId="Heading1List">
    <w:name w:val="Heading 1 List"/>
    <w:basedOn w:val="Heading1"/>
    <w:link w:val="Heading1ListChar"/>
    <w:qFormat/>
    <w:rsid w:val="0094353F"/>
    <w:pPr>
      <w:numPr>
        <w:numId w:val="1"/>
      </w:numPr>
      <w:ind w:left="360"/>
    </w:pPr>
  </w:style>
  <w:style w:type="paragraph" w:customStyle="1" w:styleId="Heading2List">
    <w:name w:val="Heading 2 List"/>
    <w:basedOn w:val="Heading2"/>
    <w:link w:val="Heading2ListChar"/>
    <w:qFormat/>
    <w:rsid w:val="0094353F"/>
    <w:pPr>
      <w:numPr>
        <w:ilvl w:val="1"/>
        <w:numId w:val="1"/>
      </w:numPr>
      <w:ind w:left="540" w:hanging="540"/>
    </w:pPr>
  </w:style>
  <w:style w:type="character" w:customStyle="1" w:styleId="Heading1ListChar">
    <w:name w:val="Heading 1 List Char"/>
    <w:basedOn w:val="Heading1Char"/>
    <w:link w:val="Heading1List"/>
    <w:rsid w:val="0094353F"/>
    <w:rPr>
      <w:rFonts w:ascii="Cambria" w:eastAsiaTheme="majorEastAsia" w:hAnsi="Cambria" w:cstheme="majorBidi"/>
      <w:b/>
      <w:szCs w:val="32"/>
    </w:rPr>
  </w:style>
  <w:style w:type="character" w:styleId="Hyperlink">
    <w:name w:val="Hyperlink"/>
    <w:basedOn w:val="DefaultParagraphFont"/>
    <w:uiPriority w:val="99"/>
    <w:unhideWhenUsed/>
    <w:rsid w:val="00783AE8"/>
    <w:rPr>
      <w:color w:val="0563C1" w:themeColor="hyperlink"/>
      <w:u w:val="single"/>
    </w:rPr>
  </w:style>
  <w:style w:type="character" w:customStyle="1" w:styleId="Heading2ListChar">
    <w:name w:val="Heading 2 List Char"/>
    <w:basedOn w:val="Heading2Char"/>
    <w:link w:val="Heading2List"/>
    <w:rsid w:val="0094353F"/>
    <w:rPr>
      <w:rFonts w:ascii="Times New Roman" w:eastAsiaTheme="majorEastAsia" w:hAnsi="Times New Roman" w:cstheme="majorBidi"/>
      <w:i/>
      <w:szCs w:val="26"/>
    </w:rPr>
  </w:style>
  <w:style w:type="character" w:styleId="UnresolvedMention">
    <w:name w:val="Unresolved Mention"/>
    <w:basedOn w:val="DefaultParagraphFont"/>
    <w:uiPriority w:val="99"/>
    <w:semiHidden/>
    <w:unhideWhenUsed/>
    <w:rsid w:val="00783AE8"/>
    <w:rPr>
      <w:color w:val="605E5C"/>
      <w:shd w:val="clear" w:color="auto" w:fill="E1DFDD"/>
    </w:rPr>
  </w:style>
  <w:style w:type="paragraph" w:styleId="Header">
    <w:name w:val="header"/>
    <w:basedOn w:val="Normal"/>
    <w:link w:val="HeaderChar"/>
    <w:uiPriority w:val="99"/>
    <w:unhideWhenUsed/>
    <w:rsid w:val="00AE4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92"/>
    <w:rPr>
      <w:rFonts w:ascii="Cambria" w:hAnsi="Cambria"/>
    </w:rPr>
  </w:style>
  <w:style w:type="paragraph" w:styleId="Footer">
    <w:name w:val="footer"/>
    <w:basedOn w:val="Normal"/>
    <w:link w:val="FooterChar"/>
    <w:uiPriority w:val="99"/>
    <w:unhideWhenUsed/>
    <w:rsid w:val="00AE4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92"/>
    <w:rPr>
      <w:rFonts w:ascii="Cambria" w:hAnsi="Cambria"/>
    </w:rPr>
  </w:style>
  <w:style w:type="table" w:styleId="TableGrid">
    <w:name w:val="Table Grid"/>
    <w:basedOn w:val="TableNormal"/>
    <w:uiPriority w:val="39"/>
    <w:rsid w:val="00BF6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67D9"/>
    <w:pPr>
      <w:numPr>
        <w:numId w:val="8"/>
      </w:numPr>
      <w:spacing w:after="200" w:line="240" w:lineRule="auto"/>
    </w:pPr>
    <w:rPr>
      <w:i/>
      <w:iCs/>
      <w:color w:val="44546A" w:themeColor="text2"/>
      <w:sz w:val="18"/>
      <w:szCs w:val="18"/>
    </w:rPr>
  </w:style>
  <w:style w:type="paragraph" w:customStyle="1" w:styleId="Tabletext">
    <w:name w:val="Table text"/>
    <w:basedOn w:val="Normal"/>
    <w:link w:val="TabletextChar"/>
    <w:qFormat/>
    <w:rsid w:val="009C7491"/>
    <w:pPr>
      <w:spacing w:after="0" w:line="240" w:lineRule="auto"/>
    </w:pPr>
    <w:rPr>
      <w:sz w:val="18"/>
      <w:szCs w:val="18"/>
    </w:rPr>
  </w:style>
  <w:style w:type="character" w:customStyle="1" w:styleId="Heading3Char">
    <w:name w:val="Heading 3 Char"/>
    <w:basedOn w:val="DefaultParagraphFont"/>
    <w:link w:val="Heading3"/>
    <w:uiPriority w:val="9"/>
    <w:rsid w:val="00C41428"/>
    <w:rPr>
      <w:rFonts w:asciiTheme="majorHAnsi" w:eastAsiaTheme="majorEastAsia" w:hAnsiTheme="majorHAnsi" w:cstheme="majorBidi"/>
      <w:color w:val="1F3763" w:themeColor="accent1" w:themeShade="7F"/>
      <w:sz w:val="24"/>
      <w:szCs w:val="24"/>
    </w:rPr>
  </w:style>
  <w:style w:type="character" w:customStyle="1" w:styleId="TabletextChar">
    <w:name w:val="Table text Char"/>
    <w:basedOn w:val="DefaultParagraphFont"/>
    <w:link w:val="Tabletext"/>
    <w:rsid w:val="009C7491"/>
    <w:rPr>
      <w:rFonts w:ascii="Cambria" w:hAnsi="Cambria"/>
      <w:sz w:val="18"/>
      <w:szCs w:val="18"/>
    </w:rPr>
  </w:style>
  <w:style w:type="paragraph" w:customStyle="1" w:styleId="Tablecaption">
    <w:name w:val="Table caption"/>
    <w:basedOn w:val="Tabletext"/>
    <w:link w:val="TablecaptionChar"/>
    <w:qFormat/>
    <w:rsid w:val="007B704C"/>
    <w:pPr>
      <w:spacing w:after="160"/>
    </w:pPr>
  </w:style>
  <w:style w:type="paragraph" w:styleId="Bibliography">
    <w:name w:val="Bibliography"/>
    <w:basedOn w:val="Normal"/>
    <w:next w:val="Normal"/>
    <w:uiPriority w:val="37"/>
    <w:unhideWhenUsed/>
    <w:rsid w:val="00FD0E5D"/>
    <w:pPr>
      <w:numPr>
        <w:ilvl w:val="1"/>
        <w:numId w:val="8"/>
      </w:numPr>
    </w:pPr>
  </w:style>
  <w:style w:type="character" w:customStyle="1" w:styleId="TablecaptionChar">
    <w:name w:val="Table caption Char"/>
    <w:basedOn w:val="TabletextChar"/>
    <w:link w:val="Tablecaption"/>
    <w:rsid w:val="007B704C"/>
    <w:rPr>
      <w:rFonts w:ascii="Cambria" w:hAnsi="Cambria"/>
      <w:sz w:val="18"/>
      <w:szCs w:val="18"/>
    </w:rPr>
  </w:style>
  <w:style w:type="paragraph" w:styleId="FootnoteText">
    <w:name w:val="footnote text"/>
    <w:basedOn w:val="Normal"/>
    <w:link w:val="FootnoteTextChar"/>
    <w:uiPriority w:val="99"/>
    <w:semiHidden/>
    <w:unhideWhenUsed/>
    <w:rsid w:val="00B14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4A90"/>
    <w:rPr>
      <w:rFonts w:ascii="Cambria" w:hAnsi="Cambria"/>
      <w:sz w:val="20"/>
      <w:szCs w:val="20"/>
    </w:rPr>
  </w:style>
  <w:style w:type="character" w:styleId="FootnoteReference">
    <w:name w:val="footnote reference"/>
    <w:basedOn w:val="DefaultParagraphFont"/>
    <w:uiPriority w:val="99"/>
    <w:semiHidden/>
    <w:unhideWhenUsed/>
    <w:rsid w:val="00B14A90"/>
    <w:rPr>
      <w:vertAlign w:val="superscript"/>
    </w:rPr>
  </w:style>
  <w:style w:type="paragraph" w:customStyle="1" w:styleId="Tablefootnote">
    <w:name w:val="Table footnote"/>
    <w:basedOn w:val="Tabletext"/>
    <w:link w:val="TablefootnoteChar"/>
    <w:qFormat/>
    <w:rsid w:val="00C257AD"/>
    <w:pPr>
      <w:spacing w:after="160"/>
    </w:pPr>
  </w:style>
  <w:style w:type="character" w:customStyle="1" w:styleId="TablefootnoteChar">
    <w:name w:val="Table footnote Char"/>
    <w:basedOn w:val="TabletextChar"/>
    <w:link w:val="Tablefootnote"/>
    <w:rsid w:val="00C257AD"/>
    <w:rPr>
      <w:rFonts w:ascii="Cambria" w:hAnsi="Cambria"/>
      <w:sz w:val="18"/>
      <w:szCs w:val="18"/>
    </w:rPr>
  </w:style>
  <w:style w:type="character" w:customStyle="1" w:styleId="Heading4Char">
    <w:name w:val="Heading 4 Char"/>
    <w:basedOn w:val="DefaultParagraphFont"/>
    <w:link w:val="Heading4"/>
    <w:uiPriority w:val="9"/>
    <w:semiHidden/>
    <w:rsid w:val="008D04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04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04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04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04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43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8D0432"/>
    <w:pPr>
      <w:numPr>
        <w:ilvl w:val="1"/>
      </w:numPr>
      <w:jc w:val="both"/>
    </w:pPr>
    <w:rPr>
      <w:rFonts w:eastAsiaTheme="minorEastAsia"/>
      <w:spacing w:val="15"/>
      <w:sz w:val="56"/>
    </w:rPr>
  </w:style>
  <w:style w:type="character" w:customStyle="1" w:styleId="SubtitleChar">
    <w:name w:val="Subtitle Char"/>
    <w:basedOn w:val="DefaultParagraphFont"/>
    <w:link w:val="Subtitle"/>
    <w:uiPriority w:val="11"/>
    <w:rsid w:val="008D0432"/>
    <w:rPr>
      <w:rFonts w:ascii="Cambria" w:eastAsiaTheme="minorEastAsia" w:hAnsi="Cambria"/>
      <w:spacing w:val="15"/>
      <w:sz w:val="56"/>
    </w:rPr>
  </w:style>
  <w:style w:type="paragraph" w:styleId="NoSpacing">
    <w:name w:val="No Spacing"/>
    <w:link w:val="NoSpacingChar"/>
    <w:uiPriority w:val="1"/>
    <w:qFormat/>
    <w:rsid w:val="008D0432"/>
    <w:pPr>
      <w:spacing w:after="0" w:line="240" w:lineRule="auto"/>
    </w:pPr>
    <w:rPr>
      <w:rFonts w:eastAsiaTheme="minorEastAsia"/>
    </w:rPr>
  </w:style>
  <w:style w:type="character" w:customStyle="1" w:styleId="NoSpacingChar">
    <w:name w:val="No Spacing Char"/>
    <w:basedOn w:val="DefaultParagraphFont"/>
    <w:link w:val="NoSpacing"/>
    <w:uiPriority w:val="1"/>
    <w:rsid w:val="008D0432"/>
    <w:rPr>
      <w:rFonts w:eastAsiaTheme="minorEastAsia"/>
    </w:rPr>
  </w:style>
  <w:style w:type="character" w:styleId="Emphasis">
    <w:name w:val="Emphasis"/>
    <w:basedOn w:val="DefaultParagraphFont"/>
    <w:uiPriority w:val="20"/>
    <w:qFormat/>
    <w:rsid w:val="008D0432"/>
    <w:rPr>
      <w:i/>
      <w:iCs/>
    </w:rPr>
  </w:style>
  <w:style w:type="paragraph" w:customStyle="1" w:styleId="Style1">
    <w:name w:val="Style1"/>
    <w:basedOn w:val="Heading1"/>
    <w:link w:val="Style1Char"/>
    <w:qFormat/>
    <w:rsid w:val="008D0432"/>
    <w:pPr>
      <w:spacing w:after="0"/>
      <w:jc w:val="both"/>
    </w:pPr>
  </w:style>
  <w:style w:type="character" w:customStyle="1" w:styleId="Style1Char">
    <w:name w:val="Style1 Char"/>
    <w:basedOn w:val="Heading1Char"/>
    <w:link w:val="Style1"/>
    <w:rsid w:val="008D0432"/>
    <w:rPr>
      <w:rFonts w:ascii="Cambria" w:eastAsiaTheme="majorEastAsia" w:hAnsi="Cambria" w:cstheme="majorBidi"/>
      <w:b/>
      <w:szCs w:val="32"/>
    </w:rPr>
  </w:style>
  <w:style w:type="paragraph" w:customStyle="1" w:styleId="Figurecaption">
    <w:name w:val="Figure caption"/>
    <w:basedOn w:val="Tablecaption"/>
    <w:link w:val="FigurecaptionChar"/>
    <w:qFormat/>
    <w:rsid w:val="008D0432"/>
    <w:pPr>
      <w:spacing w:before="80" w:line="259" w:lineRule="auto"/>
      <w:jc w:val="both"/>
    </w:pPr>
  </w:style>
  <w:style w:type="character" w:customStyle="1" w:styleId="FigurecaptionChar">
    <w:name w:val="Figure caption Char"/>
    <w:basedOn w:val="TablecaptionChar"/>
    <w:link w:val="Figurecaption"/>
    <w:rsid w:val="008D0432"/>
    <w:rPr>
      <w:rFonts w:ascii="Cambria" w:hAnsi="Cambria"/>
      <w:sz w:val="18"/>
      <w:szCs w:val="18"/>
    </w:rPr>
  </w:style>
  <w:style w:type="paragraph" w:styleId="TOCHeading">
    <w:name w:val="TOC Heading"/>
    <w:basedOn w:val="Heading1"/>
    <w:next w:val="Normal"/>
    <w:uiPriority w:val="39"/>
    <w:unhideWhenUsed/>
    <w:qFormat/>
    <w:rsid w:val="008D0432"/>
    <w:pPr>
      <w:spacing w:after="0"/>
      <w:jc w:val="both"/>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D0432"/>
    <w:pPr>
      <w:spacing w:after="100"/>
      <w:jc w:val="both"/>
    </w:pPr>
  </w:style>
  <w:style w:type="paragraph" w:styleId="TOC2">
    <w:name w:val="toc 2"/>
    <w:basedOn w:val="Normal"/>
    <w:next w:val="Normal"/>
    <w:autoRedefine/>
    <w:uiPriority w:val="39"/>
    <w:unhideWhenUsed/>
    <w:rsid w:val="008D0432"/>
    <w:pPr>
      <w:tabs>
        <w:tab w:val="right" w:leader="dot" w:pos="9350"/>
      </w:tabs>
      <w:spacing w:after="100"/>
      <w:ind w:left="220"/>
      <w:jc w:val="both"/>
    </w:pPr>
    <w:rPr>
      <w:b/>
      <w:bCs/>
      <w:i/>
      <w:iCs/>
      <w:noProof/>
    </w:rPr>
  </w:style>
  <w:style w:type="paragraph" w:styleId="TOC3">
    <w:name w:val="toc 3"/>
    <w:basedOn w:val="Normal"/>
    <w:next w:val="Normal"/>
    <w:autoRedefine/>
    <w:uiPriority w:val="39"/>
    <w:unhideWhenUsed/>
    <w:rsid w:val="008D0432"/>
    <w:pPr>
      <w:spacing w:after="100"/>
      <w:ind w:left="440"/>
      <w:jc w:val="both"/>
    </w:pPr>
  </w:style>
  <w:style w:type="paragraph" w:customStyle="1" w:styleId="Heading3List">
    <w:name w:val="Heading 3 List"/>
    <w:basedOn w:val="Heading2List"/>
    <w:link w:val="Heading3ListChar"/>
    <w:qFormat/>
    <w:rsid w:val="008D0432"/>
    <w:pPr>
      <w:numPr>
        <w:ilvl w:val="0"/>
        <w:numId w:val="0"/>
      </w:numPr>
      <w:spacing w:before="240"/>
      <w:ind w:left="576" w:hanging="576"/>
      <w:jc w:val="both"/>
      <w:outlineLvl w:val="0"/>
    </w:pPr>
    <w:rPr>
      <w:bCs/>
      <w:iCs/>
      <w:szCs w:val="32"/>
    </w:rPr>
  </w:style>
  <w:style w:type="paragraph" w:styleId="PlainText">
    <w:name w:val="Plain Text"/>
    <w:aliases w:val="Subsection text"/>
    <w:basedOn w:val="Normal"/>
    <w:link w:val="PlainTextChar"/>
    <w:rsid w:val="008D0432"/>
    <w:pPr>
      <w:spacing w:after="0" w:line="240" w:lineRule="auto"/>
      <w:jc w:val="both"/>
    </w:pPr>
    <w:rPr>
      <w:rFonts w:ascii="Arial" w:eastAsia="MS Mincho" w:hAnsi="Arial" w:cs="Arial"/>
      <w:sz w:val="18"/>
      <w:szCs w:val="20"/>
      <w:lang w:val="en-GB"/>
    </w:rPr>
  </w:style>
  <w:style w:type="character" w:customStyle="1" w:styleId="PlainTextChar">
    <w:name w:val="Plain Text Char"/>
    <w:aliases w:val="Subsection text Char"/>
    <w:basedOn w:val="DefaultParagraphFont"/>
    <w:link w:val="PlainText"/>
    <w:rsid w:val="008D0432"/>
    <w:rPr>
      <w:rFonts w:ascii="Arial" w:eastAsia="MS Mincho" w:hAnsi="Arial" w:cs="Arial"/>
      <w:sz w:val="18"/>
      <w:szCs w:val="20"/>
      <w:lang w:val="en-GB"/>
    </w:rPr>
  </w:style>
  <w:style w:type="character" w:customStyle="1" w:styleId="Heading3ListChar">
    <w:name w:val="Heading 3 List Char"/>
    <w:basedOn w:val="Heading2ListChar"/>
    <w:link w:val="Heading3List"/>
    <w:rsid w:val="008D0432"/>
    <w:rPr>
      <w:rFonts w:ascii="Cambria" w:eastAsiaTheme="majorEastAsia" w:hAnsi="Cambria" w:cstheme="majorBidi"/>
      <w:bCs/>
      <w:i/>
      <w:iCs/>
      <w:szCs w:val="32"/>
    </w:rPr>
  </w:style>
  <w:style w:type="character" w:styleId="PlaceholderText">
    <w:name w:val="Placeholder Text"/>
    <w:basedOn w:val="DefaultParagraphFont"/>
    <w:uiPriority w:val="99"/>
    <w:semiHidden/>
    <w:rsid w:val="008D0432"/>
    <w:rPr>
      <w:color w:val="808080"/>
    </w:rPr>
  </w:style>
  <w:style w:type="character" w:styleId="FollowedHyperlink">
    <w:name w:val="FollowedHyperlink"/>
    <w:basedOn w:val="DefaultParagraphFont"/>
    <w:uiPriority w:val="99"/>
    <w:semiHidden/>
    <w:unhideWhenUsed/>
    <w:rsid w:val="008D0432"/>
    <w:rPr>
      <w:color w:val="954F72" w:themeColor="followedHyperlink"/>
      <w:u w:val="single"/>
    </w:rPr>
  </w:style>
  <w:style w:type="paragraph" w:styleId="NormalWeb">
    <w:name w:val="Normal (Web)"/>
    <w:basedOn w:val="Normal"/>
    <w:uiPriority w:val="99"/>
    <w:unhideWhenUsed/>
    <w:rsid w:val="008D0432"/>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D0432"/>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8D0432"/>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8D0432"/>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8D0432"/>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8D0432"/>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8D0432"/>
    <w:pPr>
      <w:spacing w:after="100"/>
      <w:ind w:left="1760"/>
    </w:pPr>
    <w:rPr>
      <w:rFonts w:asciiTheme="minorHAnsi" w:eastAsiaTheme="minorEastAsia" w:hAnsiTheme="minorHAnsi"/>
    </w:rPr>
  </w:style>
  <w:style w:type="character" w:styleId="EndnoteReference">
    <w:name w:val="endnote reference"/>
    <w:basedOn w:val="DefaultParagraphFont"/>
    <w:uiPriority w:val="99"/>
    <w:semiHidden/>
    <w:unhideWhenUsed/>
    <w:rsid w:val="008D0432"/>
    <w:rPr>
      <w:vertAlign w:val="superscript"/>
    </w:rPr>
  </w:style>
  <w:style w:type="paragraph" w:customStyle="1" w:styleId="References">
    <w:name w:val="References"/>
    <w:basedOn w:val="Normal"/>
    <w:link w:val="ReferencesChar"/>
    <w:qFormat/>
    <w:rsid w:val="008D0432"/>
    <w:pPr>
      <w:ind w:left="450" w:hanging="480"/>
    </w:pPr>
    <w:rPr>
      <w:sz w:val="18"/>
      <w:szCs w:val="18"/>
    </w:rPr>
  </w:style>
  <w:style w:type="paragraph" w:styleId="BalloonText">
    <w:name w:val="Balloon Text"/>
    <w:basedOn w:val="Normal"/>
    <w:link w:val="BalloonTextChar"/>
    <w:uiPriority w:val="99"/>
    <w:semiHidden/>
    <w:unhideWhenUsed/>
    <w:rsid w:val="008D0432"/>
    <w:pPr>
      <w:spacing w:after="0"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432"/>
    <w:rPr>
      <w:rFonts w:ascii="Segoe UI" w:hAnsi="Segoe UI" w:cs="Segoe UI"/>
      <w:sz w:val="18"/>
      <w:szCs w:val="18"/>
    </w:rPr>
  </w:style>
  <w:style w:type="character" w:customStyle="1" w:styleId="ReferencesChar">
    <w:name w:val="References Char"/>
    <w:basedOn w:val="DefaultParagraphFont"/>
    <w:link w:val="References"/>
    <w:rsid w:val="008D0432"/>
    <w:rPr>
      <w:rFonts w:ascii="Cambria" w:hAnsi="Cambria"/>
      <w:sz w:val="18"/>
      <w:szCs w:val="18"/>
    </w:rPr>
  </w:style>
  <w:style w:type="paragraph" w:styleId="BlockText">
    <w:name w:val="Block Text"/>
    <w:basedOn w:val="Normal"/>
    <w:uiPriority w:val="99"/>
    <w:semiHidden/>
    <w:unhideWhenUsed/>
    <w:rsid w:val="008D043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jc w:val="both"/>
    </w:pPr>
    <w:rPr>
      <w:rFonts w:asciiTheme="minorHAnsi" w:eastAsiaTheme="minorEastAsia" w:hAnsiTheme="minorHAnsi"/>
      <w:i/>
      <w:iCs/>
      <w:color w:val="4472C4" w:themeColor="accent1"/>
    </w:rPr>
  </w:style>
  <w:style w:type="paragraph" w:styleId="BodyText">
    <w:name w:val="Body Text"/>
    <w:basedOn w:val="Normal"/>
    <w:link w:val="BodyTextChar"/>
    <w:uiPriority w:val="99"/>
    <w:semiHidden/>
    <w:unhideWhenUsed/>
    <w:rsid w:val="008D0432"/>
    <w:pPr>
      <w:spacing w:after="120"/>
      <w:jc w:val="both"/>
    </w:pPr>
  </w:style>
  <w:style w:type="character" w:customStyle="1" w:styleId="BodyTextChar">
    <w:name w:val="Body Text Char"/>
    <w:basedOn w:val="DefaultParagraphFont"/>
    <w:link w:val="BodyText"/>
    <w:uiPriority w:val="99"/>
    <w:semiHidden/>
    <w:rsid w:val="008D0432"/>
    <w:rPr>
      <w:rFonts w:ascii="Cambria" w:hAnsi="Cambria"/>
    </w:rPr>
  </w:style>
  <w:style w:type="paragraph" w:styleId="BodyText2">
    <w:name w:val="Body Text 2"/>
    <w:basedOn w:val="Normal"/>
    <w:link w:val="BodyText2Char"/>
    <w:uiPriority w:val="99"/>
    <w:semiHidden/>
    <w:unhideWhenUsed/>
    <w:rsid w:val="008D0432"/>
    <w:pPr>
      <w:spacing w:after="120" w:line="480" w:lineRule="auto"/>
      <w:jc w:val="both"/>
    </w:pPr>
  </w:style>
  <w:style w:type="character" w:customStyle="1" w:styleId="BodyText2Char">
    <w:name w:val="Body Text 2 Char"/>
    <w:basedOn w:val="DefaultParagraphFont"/>
    <w:link w:val="BodyText2"/>
    <w:uiPriority w:val="99"/>
    <w:semiHidden/>
    <w:rsid w:val="008D0432"/>
    <w:rPr>
      <w:rFonts w:ascii="Cambria" w:hAnsi="Cambria"/>
    </w:rPr>
  </w:style>
  <w:style w:type="paragraph" w:styleId="BodyText3">
    <w:name w:val="Body Text 3"/>
    <w:basedOn w:val="Normal"/>
    <w:link w:val="BodyText3Char"/>
    <w:uiPriority w:val="99"/>
    <w:semiHidden/>
    <w:unhideWhenUsed/>
    <w:rsid w:val="008D0432"/>
    <w:pPr>
      <w:spacing w:after="120"/>
      <w:jc w:val="both"/>
    </w:pPr>
    <w:rPr>
      <w:sz w:val="16"/>
      <w:szCs w:val="16"/>
    </w:rPr>
  </w:style>
  <w:style w:type="character" w:customStyle="1" w:styleId="BodyText3Char">
    <w:name w:val="Body Text 3 Char"/>
    <w:basedOn w:val="DefaultParagraphFont"/>
    <w:link w:val="BodyText3"/>
    <w:uiPriority w:val="99"/>
    <w:semiHidden/>
    <w:rsid w:val="008D0432"/>
    <w:rPr>
      <w:rFonts w:ascii="Cambria" w:hAnsi="Cambria"/>
      <w:sz w:val="16"/>
      <w:szCs w:val="16"/>
    </w:rPr>
  </w:style>
  <w:style w:type="paragraph" w:styleId="BodyTextFirstIndent">
    <w:name w:val="Body Text First Indent"/>
    <w:basedOn w:val="BodyText"/>
    <w:link w:val="BodyTextFirstIndentChar"/>
    <w:uiPriority w:val="99"/>
    <w:semiHidden/>
    <w:unhideWhenUsed/>
    <w:rsid w:val="008D0432"/>
    <w:pPr>
      <w:spacing w:after="160"/>
      <w:ind w:firstLine="360"/>
    </w:pPr>
  </w:style>
  <w:style w:type="character" w:customStyle="1" w:styleId="BodyTextFirstIndentChar">
    <w:name w:val="Body Text First Indent Char"/>
    <w:basedOn w:val="BodyTextChar"/>
    <w:link w:val="BodyTextFirstIndent"/>
    <w:uiPriority w:val="99"/>
    <w:semiHidden/>
    <w:rsid w:val="008D0432"/>
    <w:rPr>
      <w:rFonts w:ascii="Cambria" w:hAnsi="Cambria"/>
    </w:rPr>
  </w:style>
  <w:style w:type="paragraph" w:styleId="BodyTextIndent">
    <w:name w:val="Body Text Indent"/>
    <w:basedOn w:val="Normal"/>
    <w:link w:val="BodyTextIndentChar"/>
    <w:uiPriority w:val="99"/>
    <w:semiHidden/>
    <w:unhideWhenUsed/>
    <w:rsid w:val="008D0432"/>
    <w:pPr>
      <w:spacing w:after="120"/>
      <w:ind w:left="360"/>
      <w:jc w:val="both"/>
    </w:pPr>
  </w:style>
  <w:style w:type="character" w:customStyle="1" w:styleId="BodyTextIndentChar">
    <w:name w:val="Body Text Indent Char"/>
    <w:basedOn w:val="DefaultParagraphFont"/>
    <w:link w:val="BodyTextIndent"/>
    <w:uiPriority w:val="99"/>
    <w:semiHidden/>
    <w:rsid w:val="008D0432"/>
    <w:rPr>
      <w:rFonts w:ascii="Cambria" w:hAnsi="Cambria"/>
    </w:rPr>
  </w:style>
  <w:style w:type="paragraph" w:styleId="BodyTextFirstIndent2">
    <w:name w:val="Body Text First Indent 2"/>
    <w:basedOn w:val="BodyTextIndent"/>
    <w:link w:val="BodyTextFirstIndent2Char"/>
    <w:uiPriority w:val="99"/>
    <w:semiHidden/>
    <w:unhideWhenUsed/>
    <w:rsid w:val="008D0432"/>
    <w:pPr>
      <w:spacing w:after="160"/>
      <w:ind w:firstLine="360"/>
    </w:pPr>
  </w:style>
  <w:style w:type="character" w:customStyle="1" w:styleId="BodyTextFirstIndent2Char">
    <w:name w:val="Body Text First Indent 2 Char"/>
    <w:basedOn w:val="BodyTextIndentChar"/>
    <w:link w:val="BodyTextFirstIndent2"/>
    <w:uiPriority w:val="99"/>
    <w:semiHidden/>
    <w:rsid w:val="008D0432"/>
    <w:rPr>
      <w:rFonts w:ascii="Cambria" w:hAnsi="Cambria"/>
    </w:rPr>
  </w:style>
  <w:style w:type="paragraph" w:styleId="BodyTextIndent2">
    <w:name w:val="Body Text Indent 2"/>
    <w:basedOn w:val="Normal"/>
    <w:link w:val="BodyTextIndent2Char"/>
    <w:uiPriority w:val="99"/>
    <w:semiHidden/>
    <w:unhideWhenUsed/>
    <w:rsid w:val="008D0432"/>
    <w:pPr>
      <w:spacing w:after="120" w:line="480" w:lineRule="auto"/>
      <w:ind w:left="360"/>
      <w:jc w:val="both"/>
    </w:pPr>
  </w:style>
  <w:style w:type="character" w:customStyle="1" w:styleId="BodyTextIndent2Char">
    <w:name w:val="Body Text Indent 2 Char"/>
    <w:basedOn w:val="DefaultParagraphFont"/>
    <w:link w:val="BodyTextIndent2"/>
    <w:uiPriority w:val="99"/>
    <w:semiHidden/>
    <w:rsid w:val="008D0432"/>
    <w:rPr>
      <w:rFonts w:ascii="Cambria" w:hAnsi="Cambria"/>
    </w:rPr>
  </w:style>
  <w:style w:type="paragraph" w:styleId="BodyTextIndent3">
    <w:name w:val="Body Text Indent 3"/>
    <w:basedOn w:val="Normal"/>
    <w:link w:val="BodyTextIndent3Char"/>
    <w:uiPriority w:val="99"/>
    <w:semiHidden/>
    <w:unhideWhenUsed/>
    <w:rsid w:val="008D0432"/>
    <w:pPr>
      <w:spacing w:after="120"/>
      <w:ind w:left="360"/>
      <w:jc w:val="both"/>
    </w:pPr>
    <w:rPr>
      <w:sz w:val="16"/>
      <w:szCs w:val="16"/>
    </w:rPr>
  </w:style>
  <w:style w:type="character" w:customStyle="1" w:styleId="BodyTextIndent3Char">
    <w:name w:val="Body Text Indent 3 Char"/>
    <w:basedOn w:val="DefaultParagraphFont"/>
    <w:link w:val="BodyTextIndent3"/>
    <w:uiPriority w:val="99"/>
    <w:semiHidden/>
    <w:rsid w:val="008D0432"/>
    <w:rPr>
      <w:rFonts w:ascii="Cambria" w:hAnsi="Cambria"/>
      <w:sz w:val="16"/>
      <w:szCs w:val="16"/>
    </w:rPr>
  </w:style>
  <w:style w:type="paragraph" w:styleId="Closing">
    <w:name w:val="Closing"/>
    <w:basedOn w:val="Normal"/>
    <w:link w:val="ClosingChar"/>
    <w:uiPriority w:val="99"/>
    <w:semiHidden/>
    <w:unhideWhenUsed/>
    <w:rsid w:val="008D0432"/>
    <w:pPr>
      <w:spacing w:after="0" w:line="240" w:lineRule="auto"/>
      <w:ind w:left="4320"/>
      <w:jc w:val="both"/>
    </w:pPr>
  </w:style>
  <w:style w:type="character" w:customStyle="1" w:styleId="ClosingChar">
    <w:name w:val="Closing Char"/>
    <w:basedOn w:val="DefaultParagraphFont"/>
    <w:link w:val="Closing"/>
    <w:uiPriority w:val="99"/>
    <w:semiHidden/>
    <w:rsid w:val="008D0432"/>
    <w:rPr>
      <w:rFonts w:ascii="Cambria" w:hAnsi="Cambria"/>
    </w:rPr>
  </w:style>
  <w:style w:type="paragraph" w:styleId="CommentText">
    <w:name w:val="annotation text"/>
    <w:basedOn w:val="Normal"/>
    <w:link w:val="CommentTextChar"/>
    <w:uiPriority w:val="99"/>
    <w:semiHidden/>
    <w:unhideWhenUsed/>
    <w:rsid w:val="008D0432"/>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8D0432"/>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8D0432"/>
    <w:rPr>
      <w:b/>
      <w:bCs/>
    </w:rPr>
  </w:style>
  <w:style w:type="character" w:customStyle="1" w:styleId="CommentSubjectChar">
    <w:name w:val="Comment Subject Char"/>
    <w:basedOn w:val="CommentTextChar"/>
    <w:link w:val="CommentSubject"/>
    <w:uiPriority w:val="99"/>
    <w:semiHidden/>
    <w:rsid w:val="008D0432"/>
    <w:rPr>
      <w:rFonts w:ascii="Cambria" w:hAnsi="Cambria"/>
      <w:b/>
      <w:bCs/>
      <w:sz w:val="20"/>
      <w:szCs w:val="20"/>
    </w:rPr>
  </w:style>
  <w:style w:type="paragraph" w:styleId="Date">
    <w:name w:val="Date"/>
    <w:basedOn w:val="Normal"/>
    <w:next w:val="Normal"/>
    <w:link w:val="DateChar"/>
    <w:uiPriority w:val="99"/>
    <w:semiHidden/>
    <w:unhideWhenUsed/>
    <w:rsid w:val="008D0432"/>
    <w:pPr>
      <w:jc w:val="both"/>
    </w:pPr>
  </w:style>
  <w:style w:type="character" w:customStyle="1" w:styleId="DateChar">
    <w:name w:val="Date Char"/>
    <w:basedOn w:val="DefaultParagraphFont"/>
    <w:link w:val="Date"/>
    <w:uiPriority w:val="99"/>
    <w:semiHidden/>
    <w:rsid w:val="008D0432"/>
    <w:rPr>
      <w:rFonts w:ascii="Cambria" w:hAnsi="Cambria"/>
    </w:rPr>
  </w:style>
  <w:style w:type="paragraph" w:styleId="DocumentMap">
    <w:name w:val="Document Map"/>
    <w:basedOn w:val="Normal"/>
    <w:link w:val="DocumentMapChar"/>
    <w:uiPriority w:val="99"/>
    <w:semiHidden/>
    <w:unhideWhenUsed/>
    <w:rsid w:val="008D0432"/>
    <w:pPr>
      <w:spacing w:after="0" w:line="240" w:lineRule="auto"/>
      <w:jc w:val="both"/>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432"/>
    <w:rPr>
      <w:rFonts w:ascii="Segoe UI" w:hAnsi="Segoe UI" w:cs="Segoe UI"/>
      <w:sz w:val="16"/>
      <w:szCs w:val="16"/>
    </w:rPr>
  </w:style>
  <w:style w:type="paragraph" w:styleId="E-mailSignature">
    <w:name w:val="E-mail Signature"/>
    <w:basedOn w:val="Normal"/>
    <w:link w:val="E-mailSignatureChar"/>
    <w:uiPriority w:val="99"/>
    <w:semiHidden/>
    <w:unhideWhenUsed/>
    <w:rsid w:val="008D0432"/>
    <w:pPr>
      <w:spacing w:after="0" w:line="240" w:lineRule="auto"/>
      <w:jc w:val="both"/>
    </w:pPr>
  </w:style>
  <w:style w:type="character" w:customStyle="1" w:styleId="E-mailSignatureChar">
    <w:name w:val="E-mail Signature Char"/>
    <w:basedOn w:val="DefaultParagraphFont"/>
    <w:link w:val="E-mailSignature"/>
    <w:uiPriority w:val="99"/>
    <w:semiHidden/>
    <w:rsid w:val="008D0432"/>
    <w:rPr>
      <w:rFonts w:ascii="Cambria" w:hAnsi="Cambria"/>
    </w:rPr>
  </w:style>
  <w:style w:type="paragraph" w:styleId="EndnoteText">
    <w:name w:val="endnote text"/>
    <w:basedOn w:val="Normal"/>
    <w:link w:val="EndnoteTextChar"/>
    <w:uiPriority w:val="99"/>
    <w:semiHidden/>
    <w:unhideWhenUsed/>
    <w:rsid w:val="008D0432"/>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8D0432"/>
    <w:rPr>
      <w:rFonts w:ascii="Cambria" w:hAnsi="Cambria"/>
      <w:sz w:val="20"/>
      <w:szCs w:val="20"/>
    </w:rPr>
  </w:style>
  <w:style w:type="paragraph" w:styleId="EnvelopeAddress">
    <w:name w:val="envelope address"/>
    <w:basedOn w:val="Normal"/>
    <w:uiPriority w:val="99"/>
    <w:semiHidden/>
    <w:unhideWhenUsed/>
    <w:rsid w:val="008D0432"/>
    <w:pPr>
      <w:framePr w:w="7920" w:h="1980" w:hRule="exact" w:hSpace="180" w:wrap="auto" w:hAnchor="page" w:xAlign="center" w:yAlign="bottom"/>
      <w:spacing w:after="0" w:line="240" w:lineRule="auto"/>
      <w:ind w:left="2880"/>
      <w:jc w:val="both"/>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D0432"/>
    <w:pPr>
      <w:spacing w:after="0" w:line="240" w:lineRule="auto"/>
      <w:jc w:val="both"/>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D0432"/>
    <w:pPr>
      <w:spacing w:after="0" w:line="240" w:lineRule="auto"/>
      <w:jc w:val="both"/>
    </w:pPr>
    <w:rPr>
      <w:i/>
      <w:iCs/>
    </w:rPr>
  </w:style>
  <w:style w:type="character" w:customStyle="1" w:styleId="HTMLAddressChar">
    <w:name w:val="HTML Address Char"/>
    <w:basedOn w:val="DefaultParagraphFont"/>
    <w:link w:val="HTMLAddress"/>
    <w:uiPriority w:val="99"/>
    <w:semiHidden/>
    <w:rsid w:val="008D0432"/>
    <w:rPr>
      <w:rFonts w:ascii="Cambria" w:hAnsi="Cambria"/>
      <w:i/>
      <w:iCs/>
    </w:rPr>
  </w:style>
  <w:style w:type="paragraph" w:styleId="HTMLPreformatted">
    <w:name w:val="HTML Preformatted"/>
    <w:basedOn w:val="Normal"/>
    <w:link w:val="HTMLPreformattedChar"/>
    <w:uiPriority w:val="99"/>
    <w:semiHidden/>
    <w:unhideWhenUsed/>
    <w:rsid w:val="008D0432"/>
    <w:pPr>
      <w:spacing w:after="0" w:line="240" w:lineRule="auto"/>
      <w:jc w:val="both"/>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432"/>
    <w:rPr>
      <w:rFonts w:ascii="Consolas" w:hAnsi="Consolas"/>
      <w:sz w:val="20"/>
      <w:szCs w:val="20"/>
    </w:rPr>
  </w:style>
  <w:style w:type="paragraph" w:styleId="Index1">
    <w:name w:val="index 1"/>
    <w:basedOn w:val="Normal"/>
    <w:next w:val="Normal"/>
    <w:autoRedefine/>
    <w:uiPriority w:val="99"/>
    <w:semiHidden/>
    <w:unhideWhenUsed/>
    <w:rsid w:val="008D0432"/>
    <w:pPr>
      <w:spacing w:after="0" w:line="240" w:lineRule="auto"/>
      <w:ind w:left="220" w:hanging="220"/>
      <w:jc w:val="both"/>
    </w:pPr>
  </w:style>
  <w:style w:type="paragraph" w:styleId="Index2">
    <w:name w:val="index 2"/>
    <w:basedOn w:val="Normal"/>
    <w:next w:val="Normal"/>
    <w:autoRedefine/>
    <w:uiPriority w:val="99"/>
    <w:semiHidden/>
    <w:unhideWhenUsed/>
    <w:rsid w:val="008D0432"/>
    <w:pPr>
      <w:spacing w:after="0" w:line="240" w:lineRule="auto"/>
      <w:ind w:left="440" w:hanging="220"/>
      <w:jc w:val="both"/>
    </w:pPr>
  </w:style>
  <w:style w:type="paragraph" w:styleId="Index3">
    <w:name w:val="index 3"/>
    <w:basedOn w:val="Normal"/>
    <w:next w:val="Normal"/>
    <w:autoRedefine/>
    <w:uiPriority w:val="99"/>
    <w:semiHidden/>
    <w:unhideWhenUsed/>
    <w:rsid w:val="008D0432"/>
    <w:pPr>
      <w:spacing w:after="0" w:line="240" w:lineRule="auto"/>
      <w:ind w:left="660" w:hanging="220"/>
      <w:jc w:val="both"/>
    </w:pPr>
  </w:style>
  <w:style w:type="paragraph" w:styleId="Index4">
    <w:name w:val="index 4"/>
    <w:basedOn w:val="Normal"/>
    <w:next w:val="Normal"/>
    <w:autoRedefine/>
    <w:uiPriority w:val="99"/>
    <w:semiHidden/>
    <w:unhideWhenUsed/>
    <w:rsid w:val="008D0432"/>
    <w:pPr>
      <w:spacing w:after="0" w:line="240" w:lineRule="auto"/>
      <w:ind w:left="880" w:hanging="220"/>
      <w:jc w:val="both"/>
    </w:pPr>
  </w:style>
  <w:style w:type="paragraph" w:styleId="Index5">
    <w:name w:val="index 5"/>
    <w:basedOn w:val="Normal"/>
    <w:next w:val="Normal"/>
    <w:autoRedefine/>
    <w:uiPriority w:val="99"/>
    <w:semiHidden/>
    <w:unhideWhenUsed/>
    <w:rsid w:val="008D0432"/>
    <w:pPr>
      <w:spacing w:after="0" w:line="240" w:lineRule="auto"/>
      <w:ind w:left="1100" w:hanging="220"/>
      <w:jc w:val="both"/>
    </w:pPr>
  </w:style>
  <w:style w:type="paragraph" w:styleId="Index6">
    <w:name w:val="index 6"/>
    <w:basedOn w:val="Normal"/>
    <w:next w:val="Normal"/>
    <w:autoRedefine/>
    <w:uiPriority w:val="99"/>
    <w:semiHidden/>
    <w:unhideWhenUsed/>
    <w:rsid w:val="008D0432"/>
    <w:pPr>
      <w:spacing w:after="0" w:line="240" w:lineRule="auto"/>
      <w:ind w:left="1320" w:hanging="220"/>
      <w:jc w:val="both"/>
    </w:pPr>
  </w:style>
  <w:style w:type="paragraph" w:styleId="Index7">
    <w:name w:val="index 7"/>
    <w:basedOn w:val="Normal"/>
    <w:next w:val="Normal"/>
    <w:autoRedefine/>
    <w:uiPriority w:val="99"/>
    <w:semiHidden/>
    <w:unhideWhenUsed/>
    <w:rsid w:val="008D0432"/>
    <w:pPr>
      <w:spacing w:after="0" w:line="240" w:lineRule="auto"/>
      <w:ind w:left="1540" w:hanging="220"/>
      <w:jc w:val="both"/>
    </w:pPr>
  </w:style>
  <w:style w:type="paragraph" w:styleId="Index8">
    <w:name w:val="index 8"/>
    <w:basedOn w:val="Normal"/>
    <w:next w:val="Normal"/>
    <w:autoRedefine/>
    <w:uiPriority w:val="99"/>
    <w:semiHidden/>
    <w:unhideWhenUsed/>
    <w:rsid w:val="008D0432"/>
    <w:pPr>
      <w:spacing w:after="0" w:line="240" w:lineRule="auto"/>
      <w:ind w:left="1760" w:hanging="220"/>
      <w:jc w:val="both"/>
    </w:pPr>
  </w:style>
  <w:style w:type="paragraph" w:styleId="Index9">
    <w:name w:val="index 9"/>
    <w:basedOn w:val="Normal"/>
    <w:next w:val="Normal"/>
    <w:autoRedefine/>
    <w:uiPriority w:val="99"/>
    <w:semiHidden/>
    <w:unhideWhenUsed/>
    <w:rsid w:val="008D0432"/>
    <w:pPr>
      <w:spacing w:after="0" w:line="240" w:lineRule="auto"/>
      <w:ind w:left="1980" w:hanging="220"/>
      <w:jc w:val="both"/>
    </w:pPr>
  </w:style>
  <w:style w:type="paragraph" w:styleId="IndexHeading">
    <w:name w:val="index heading"/>
    <w:basedOn w:val="Normal"/>
    <w:next w:val="Index1"/>
    <w:uiPriority w:val="99"/>
    <w:semiHidden/>
    <w:unhideWhenUsed/>
    <w:rsid w:val="008D0432"/>
    <w:pPr>
      <w:jc w:val="both"/>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43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432"/>
    <w:rPr>
      <w:rFonts w:ascii="Cambria" w:hAnsi="Cambria"/>
      <w:i/>
      <w:iCs/>
      <w:color w:val="4472C4" w:themeColor="accent1"/>
    </w:rPr>
  </w:style>
  <w:style w:type="paragraph" w:styleId="List">
    <w:name w:val="List"/>
    <w:basedOn w:val="Normal"/>
    <w:uiPriority w:val="99"/>
    <w:semiHidden/>
    <w:unhideWhenUsed/>
    <w:rsid w:val="008D0432"/>
    <w:pPr>
      <w:ind w:left="360" w:hanging="360"/>
      <w:contextualSpacing/>
      <w:jc w:val="both"/>
    </w:pPr>
  </w:style>
  <w:style w:type="paragraph" w:styleId="List2">
    <w:name w:val="List 2"/>
    <w:basedOn w:val="Normal"/>
    <w:uiPriority w:val="99"/>
    <w:semiHidden/>
    <w:unhideWhenUsed/>
    <w:rsid w:val="008D0432"/>
    <w:pPr>
      <w:ind w:left="720" w:hanging="360"/>
      <w:contextualSpacing/>
      <w:jc w:val="both"/>
    </w:pPr>
  </w:style>
  <w:style w:type="paragraph" w:styleId="List3">
    <w:name w:val="List 3"/>
    <w:basedOn w:val="Normal"/>
    <w:uiPriority w:val="99"/>
    <w:semiHidden/>
    <w:unhideWhenUsed/>
    <w:rsid w:val="008D0432"/>
    <w:pPr>
      <w:ind w:left="1080" w:hanging="360"/>
      <w:contextualSpacing/>
      <w:jc w:val="both"/>
    </w:pPr>
  </w:style>
  <w:style w:type="paragraph" w:styleId="List4">
    <w:name w:val="List 4"/>
    <w:basedOn w:val="Normal"/>
    <w:uiPriority w:val="99"/>
    <w:semiHidden/>
    <w:unhideWhenUsed/>
    <w:rsid w:val="008D0432"/>
    <w:pPr>
      <w:ind w:left="1440" w:hanging="360"/>
      <w:contextualSpacing/>
      <w:jc w:val="both"/>
    </w:pPr>
  </w:style>
  <w:style w:type="paragraph" w:styleId="List5">
    <w:name w:val="List 5"/>
    <w:basedOn w:val="Normal"/>
    <w:uiPriority w:val="99"/>
    <w:semiHidden/>
    <w:unhideWhenUsed/>
    <w:rsid w:val="008D0432"/>
    <w:pPr>
      <w:ind w:left="1800" w:hanging="360"/>
      <w:contextualSpacing/>
      <w:jc w:val="both"/>
    </w:pPr>
  </w:style>
  <w:style w:type="paragraph" w:styleId="ListBullet">
    <w:name w:val="List Bullet"/>
    <w:basedOn w:val="Normal"/>
    <w:uiPriority w:val="99"/>
    <w:semiHidden/>
    <w:unhideWhenUsed/>
    <w:rsid w:val="008D0432"/>
    <w:pPr>
      <w:numPr>
        <w:numId w:val="19"/>
      </w:numPr>
      <w:contextualSpacing/>
      <w:jc w:val="both"/>
    </w:pPr>
  </w:style>
  <w:style w:type="paragraph" w:styleId="ListBullet2">
    <w:name w:val="List Bullet 2"/>
    <w:basedOn w:val="Normal"/>
    <w:uiPriority w:val="99"/>
    <w:semiHidden/>
    <w:unhideWhenUsed/>
    <w:rsid w:val="008D0432"/>
    <w:pPr>
      <w:numPr>
        <w:numId w:val="20"/>
      </w:numPr>
      <w:contextualSpacing/>
      <w:jc w:val="both"/>
    </w:pPr>
  </w:style>
  <w:style w:type="paragraph" w:styleId="ListBullet3">
    <w:name w:val="List Bullet 3"/>
    <w:basedOn w:val="Normal"/>
    <w:uiPriority w:val="99"/>
    <w:semiHidden/>
    <w:unhideWhenUsed/>
    <w:rsid w:val="008D0432"/>
    <w:pPr>
      <w:numPr>
        <w:numId w:val="21"/>
      </w:numPr>
      <w:contextualSpacing/>
      <w:jc w:val="both"/>
    </w:pPr>
  </w:style>
  <w:style w:type="paragraph" w:styleId="ListBullet4">
    <w:name w:val="List Bullet 4"/>
    <w:basedOn w:val="Normal"/>
    <w:uiPriority w:val="99"/>
    <w:semiHidden/>
    <w:unhideWhenUsed/>
    <w:rsid w:val="008D0432"/>
    <w:pPr>
      <w:numPr>
        <w:numId w:val="22"/>
      </w:numPr>
      <w:contextualSpacing/>
      <w:jc w:val="both"/>
    </w:pPr>
  </w:style>
  <w:style w:type="paragraph" w:styleId="ListBullet5">
    <w:name w:val="List Bullet 5"/>
    <w:basedOn w:val="Normal"/>
    <w:uiPriority w:val="99"/>
    <w:semiHidden/>
    <w:unhideWhenUsed/>
    <w:rsid w:val="008D0432"/>
    <w:pPr>
      <w:numPr>
        <w:numId w:val="23"/>
      </w:numPr>
      <w:contextualSpacing/>
      <w:jc w:val="both"/>
    </w:pPr>
  </w:style>
  <w:style w:type="paragraph" w:styleId="ListContinue">
    <w:name w:val="List Continue"/>
    <w:basedOn w:val="Normal"/>
    <w:uiPriority w:val="99"/>
    <w:semiHidden/>
    <w:unhideWhenUsed/>
    <w:rsid w:val="008D0432"/>
    <w:pPr>
      <w:spacing w:after="120"/>
      <w:ind w:left="360"/>
      <w:contextualSpacing/>
      <w:jc w:val="both"/>
    </w:pPr>
  </w:style>
  <w:style w:type="paragraph" w:styleId="ListContinue2">
    <w:name w:val="List Continue 2"/>
    <w:basedOn w:val="Normal"/>
    <w:uiPriority w:val="99"/>
    <w:semiHidden/>
    <w:unhideWhenUsed/>
    <w:rsid w:val="008D0432"/>
    <w:pPr>
      <w:spacing w:after="120"/>
      <w:ind w:left="720"/>
      <w:contextualSpacing/>
      <w:jc w:val="both"/>
    </w:pPr>
  </w:style>
  <w:style w:type="paragraph" w:styleId="ListContinue3">
    <w:name w:val="List Continue 3"/>
    <w:basedOn w:val="Normal"/>
    <w:uiPriority w:val="99"/>
    <w:semiHidden/>
    <w:unhideWhenUsed/>
    <w:rsid w:val="008D0432"/>
    <w:pPr>
      <w:spacing w:after="120"/>
      <w:ind w:left="1080"/>
      <w:contextualSpacing/>
      <w:jc w:val="both"/>
    </w:pPr>
  </w:style>
  <w:style w:type="paragraph" w:styleId="ListContinue4">
    <w:name w:val="List Continue 4"/>
    <w:basedOn w:val="Normal"/>
    <w:uiPriority w:val="99"/>
    <w:semiHidden/>
    <w:unhideWhenUsed/>
    <w:rsid w:val="008D0432"/>
    <w:pPr>
      <w:spacing w:after="120"/>
      <w:ind w:left="1440"/>
      <w:contextualSpacing/>
      <w:jc w:val="both"/>
    </w:pPr>
  </w:style>
  <w:style w:type="paragraph" w:styleId="ListContinue5">
    <w:name w:val="List Continue 5"/>
    <w:basedOn w:val="Normal"/>
    <w:uiPriority w:val="99"/>
    <w:semiHidden/>
    <w:unhideWhenUsed/>
    <w:rsid w:val="008D0432"/>
    <w:pPr>
      <w:spacing w:after="120"/>
      <w:ind w:left="1800"/>
      <w:contextualSpacing/>
      <w:jc w:val="both"/>
    </w:pPr>
  </w:style>
  <w:style w:type="paragraph" w:styleId="ListNumber">
    <w:name w:val="List Number"/>
    <w:basedOn w:val="Normal"/>
    <w:uiPriority w:val="99"/>
    <w:semiHidden/>
    <w:unhideWhenUsed/>
    <w:rsid w:val="008D0432"/>
    <w:pPr>
      <w:numPr>
        <w:numId w:val="24"/>
      </w:numPr>
      <w:contextualSpacing/>
      <w:jc w:val="both"/>
    </w:pPr>
  </w:style>
  <w:style w:type="paragraph" w:styleId="ListNumber2">
    <w:name w:val="List Number 2"/>
    <w:basedOn w:val="Normal"/>
    <w:uiPriority w:val="99"/>
    <w:semiHidden/>
    <w:unhideWhenUsed/>
    <w:rsid w:val="008D0432"/>
    <w:pPr>
      <w:numPr>
        <w:numId w:val="25"/>
      </w:numPr>
      <w:contextualSpacing/>
      <w:jc w:val="both"/>
    </w:pPr>
  </w:style>
  <w:style w:type="paragraph" w:styleId="ListNumber3">
    <w:name w:val="List Number 3"/>
    <w:basedOn w:val="Normal"/>
    <w:uiPriority w:val="99"/>
    <w:semiHidden/>
    <w:unhideWhenUsed/>
    <w:rsid w:val="008D0432"/>
    <w:pPr>
      <w:numPr>
        <w:numId w:val="26"/>
      </w:numPr>
      <w:contextualSpacing/>
      <w:jc w:val="both"/>
    </w:pPr>
  </w:style>
  <w:style w:type="paragraph" w:styleId="ListNumber4">
    <w:name w:val="List Number 4"/>
    <w:basedOn w:val="Normal"/>
    <w:uiPriority w:val="99"/>
    <w:semiHidden/>
    <w:unhideWhenUsed/>
    <w:rsid w:val="008D0432"/>
    <w:pPr>
      <w:numPr>
        <w:numId w:val="27"/>
      </w:numPr>
      <w:contextualSpacing/>
      <w:jc w:val="both"/>
    </w:pPr>
  </w:style>
  <w:style w:type="paragraph" w:styleId="ListNumber5">
    <w:name w:val="List Number 5"/>
    <w:basedOn w:val="Normal"/>
    <w:uiPriority w:val="99"/>
    <w:semiHidden/>
    <w:unhideWhenUsed/>
    <w:rsid w:val="008D0432"/>
    <w:pPr>
      <w:numPr>
        <w:numId w:val="28"/>
      </w:numPr>
      <w:contextualSpacing/>
      <w:jc w:val="both"/>
    </w:pPr>
  </w:style>
  <w:style w:type="paragraph" w:styleId="MacroText">
    <w:name w:val="macro"/>
    <w:link w:val="MacroTextChar"/>
    <w:uiPriority w:val="99"/>
    <w:semiHidden/>
    <w:unhideWhenUsed/>
    <w:rsid w:val="008D0432"/>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D0432"/>
    <w:rPr>
      <w:rFonts w:ascii="Consolas" w:hAnsi="Consolas"/>
      <w:sz w:val="20"/>
      <w:szCs w:val="20"/>
    </w:rPr>
  </w:style>
  <w:style w:type="paragraph" w:styleId="MessageHeader">
    <w:name w:val="Message Header"/>
    <w:basedOn w:val="Normal"/>
    <w:link w:val="MessageHeaderChar"/>
    <w:uiPriority w:val="99"/>
    <w:semiHidden/>
    <w:unhideWhenUsed/>
    <w:rsid w:val="008D043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jc w:val="both"/>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D0432"/>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8D0432"/>
    <w:pPr>
      <w:ind w:left="720"/>
      <w:jc w:val="both"/>
    </w:pPr>
  </w:style>
  <w:style w:type="paragraph" w:styleId="NoteHeading">
    <w:name w:val="Note Heading"/>
    <w:basedOn w:val="Normal"/>
    <w:next w:val="Normal"/>
    <w:link w:val="NoteHeadingChar"/>
    <w:uiPriority w:val="99"/>
    <w:semiHidden/>
    <w:unhideWhenUsed/>
    <w:rsid w:val="008D0432"/>
    <w:pPr>
      <w:spacing w:after="0" w:line="240" w:lineRule="auto"/>
      <w:jc w:val="both"/>
    </w:pPr>
  </w:style>
  <w:style w:type="character" w:customStyle="1" w:styleId="NoteHeadingChar">
    <w:name w:val="Note Heading Char"/>
    <w:basedOn w:val="DefaultParagraphFont"/>
    <w:link w:val="NoteHeading"/>
    <w:uiPriority w:val="99"/>
    <w:semiHidden/>
    <w:rsid w:val="008D0432"/>
    <w:rPr>
      <w:rFonts w:ascii="Cambria" w:hAnsi="Cambria"/>
    </w:rPr>
  </w:style>
  <w:style w:type="paragraph" w:styleId="Quote">
    <w:name w:val="Quote"/>
    <w:basedOn w:val="Normal"/>
    <w:next w:val="Normal"/>
    <w:link w:val="QuoteChar"/>
    <w:uiPriority w:val="29"/>
    <w:qFormat/>
    <w:rsid w:val="008D04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043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8D0432"/>
    <w:pPr>
      <w:jc w:val="both"/>
    </w:pPr>
  </w:style>
  <w:style w:type="character" w:customStyle="1" w:styleId="SalutationChar">
    <w:name w:val="Salutation Char"/>
    <w:basedOn w:val="DefaultParagraphFont"/>
    <w:link w:val="Salutation"/>
    <w:uiPriority w:val="99"/>
    <w:semiHidden/>
    <w:rsid w:val="008D0432"/>
    <w:rPr>
      <w:rFonts w:ascii="Cambria" w:hAnsi="Cambria"/>
    </w:rPr>
  </w:style>
  <w:style w:type="paragraph" w:styleId="Signature">
    <w:name w:val="Signature"/>
    <w:basedOn w:val="Normal"/>
    <w:link w:val="SignatureChar"/>
    <w:uiPriority w:val="99"/>
    <w:semiHidden/>
    <w:unhideWhenUsed/>
    <w:rsid w:val="008D0432"/>
    <w:pPr>
      <w:spacing w:after="0" w:line="240" w:lineRule="auto"/>
      <w:ind w:left="4320"/>
      <w:jc w:val="both"/>
    </w:pPr>
  </w:style>
  <w:style w:type="character" w:customStyle="1" w:styleId="SignatureChar">
    <w:name w:val="Signature Char"/>
    <w:basedOn w:val="DefaultParagraphFont"/>
    <w:link w:val="Signature"/>
    <w:uiPriority w:val="99"/>
    <w:semiHidden/>
    <w:rsid w:val="008D0432"/>
    <w:rPr>
      <w:rFonts w:ascii="Cambria" w:hAnsi="Cambria"/>
    </w:rPr>
  </w:style>
  <w:style w:type="paragraph" w:styleId="TableofAuthorities">
    <w:name w:val="table of authorities"/>
    <w:basedOn w:val="Normal"/>
    <w:next w:val="Normal"/>
    <w:uiPriority w:val="99"/>
    <w:semiHidden/>
    <w:unhideWhenUsed/>
    <w:rsid w:val="008D0432"/>
    <w:pPr>
      <w:spacing w:after="0"/>
      <w:ind w:left="220" w:hanging="220"/>
      <w:jc w:val="both"/>
    </w:pPr>
  </w:style>
  <w:style w:type="paragraph" w:styleId="TableofFigures">
    <w:name w:val="table of figures"/>
    <w:basedOn w:val="Normal"/>
    <w:next w:val="Normal"/>
    <w:uiPriority w:val="99"/>
    <w:semiHidden/>
    <w:unhideWhenUsed/>
    <w:rsid w:val="008D0432"/>
    <w:pPr>
      <w:spacing w:after="0"/>
      <w:jc w:val="both"/>
    </w:pPr>
  </w:style>
  <w:style w:type="paragraph" w:styleId="TOAHeading">
    <w:name w:val="toa heading"/>
    <w:basedOn w:val="Normal"/>
    <w:next w:val="Normal"/>
    <w:uiPriority w:val="99"/>
    <w:semiHidden/>
    <w:unhideWhenUsed/>
    <w:rsid w:val="008D0432"/>
    <w:pPr>
      <w:spacing w:before="120"/>
      <w:jc w:val="both"/>
    </w:pPr>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C74AC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1546">
      <w:bodyDiv w:val="1"/>
      <w:marLeft w:val="0"/>
      <w:marRight w:val="0"/>
      <w:marTop w:val="0"/>
      <w:marBottom w:val="0"/>
      <w:divBdr>
        <w:top w:val="none" w:sz="0" w:space="0" w:color="auto"/>
        <w:left w:val="none" w:sz="0" w:space="0" w:color="auto"/>
        <w:bottom w:val="none" w:sz="0" w:space="0" w:color="auto"/>
        <w:right w:val="none" w:sz="0" w:space="0" w:color="auto"/>
      </w:divBdr>
    </w:div>
    <w:div w:id="133329697">
      <w:bodyDiv w:val="1"/>
      <w:marLeft w:val="0"/>
      <w:marRight w:val="0"/>
      <w:marTop w:val="0"/>
      <w:marBottom w:val="0"/>
      <w:divBdr>
        <w:top w:val="none" w:sz="0" w:space="0" w:color="auto"/>
        <w:left w:val="none" w:sz="0" w:space="0" w:color="auto"/>
        <w:bottom w:val="none" w:sz="0" w:space="0" w:color="auto"/>
        <w:right w:val="none" w:sz="0" w:space="0" w:color="auto"/>
      </w:divBdr>
    </w:div>
    <w:div w:id="163471269">
      <w:bodyDiv w:val="1"/>
      <w:marLeft w:val="0"/>
      <w:marRight w:val="0"/>
      <w:marTop w:val="0"/>
      <w:marBottom w:val="0"/>
      <w:divBdr>
        <w:top w:val="none" w:sz="0" w:space="0" w:color="auto"/>
        <w:left w:val="none" w:sz="0" w:space="0" w:color="auto"/>
        <w:bottom w:val="none" w:sz="0" w:space="0" w:color="auto"/>
        <w:right w:val="none" w:sz="0" w:space="0" w:color="auto"/>
      </w:divBdr>
    </w:div>
    <w:div w:id="267396547">
      <w:bodyDiv w:val="1"/>
      <w:marLeft w:val="0"/>
      <w:marRight w:val="0"/>
      <w:marTop w:val="0"/>
      <w:marBottom w:val="0"/>
      <w:divBdr>
        <w:top w:val="none" w:sz="0" w:space="0" w:color="auto"/>
        <w:left w:val="none" w:sz="0" w:space="0" w:color="auto"/>
        <w:bottom w:val="none" w:sz="0" w:space="0" w:color="auto"/>
        <w:right w:val="none" w:sz="0" w:space="0" w:color="auto"/>
      </w:divBdr>
    </w:div>
    <w:div w:id="269901985">
      <w:bodyDiv w:val="1"/>
      <w:marLeft w:val="0"/>
      <w:marRight w:val="0"/>
      <w:marTop w:val="0"/>
      <w:marBottom w:val="0"/>
      <w:divBdr>
        <w:top w:val="none" w:sz="0" w:space="0" w:color="auto"/>
        <w:left w:val="none" w:sz="0" w:space="0" w:color="auto"/>
        <w:bottom w:val="none" w:sz="0" w:space="0" w:color="auto"/>
        <w:right w:val="none" w:sz="0" w:space="0" w:color="auto"/>
      </w:divBdr>
    </w:div>
    <w:div w:id="301232822">
      <w:bodyDiv w:val="1"/>
      <w:marLeft w:val="0"/>
      <w:marRight w:val="0"/>
      <w:marTop w:val="0"/>
      <w:marBottom w:val="0"/>
      <w:divBdr>
        <w:top w:val="none" w:sz="0" w:space="0" w:color="auto"/>
        <w:left w:val="none" w:sz="0" w:space="0" w:color="auto"/>
        <w:bottom w:val="none" w:sz="0" w:space="0" w:color="auto"/>
        <w:right w:val="none" w:sz="0" w:space="0" w:color="auto"/>
      </w:divBdr>
    </w:div>
    <w:div w:id="317610125">
      <w:bodyDiv w:val="1"/>
      <w:marLeft w:val="0"/>
      <w:marRight w:val="0"/>
      <w:marTop w:val="0"/>
      <w:marBottom w:val="0"/>
      <w:divBdr>
        <w:top w:val="none" w:sz="0" w:space="0" w:color="auto"/>
        <w:left w:val="none" w:sz="0" w:space="0" w:color="auto"/>
        <w:bottom w:val="none" w:sz="0" w:space="0" w:color="auto"/>
        <w:right w:val="none" w:sz="0" w:space="0" w:color="auto"/>
      </w:divBdr>
    </w:div>
    <w:div w:id="369376755">
      <w:bodyDiv w:val="1"/>
      <w:marLeft w:val="0"/>
      <w:marRight w:val="0"/>
      <w:marTop w:val="0"/>
      <w:marBottom w:val="0"/>
      <w:divBdr>
        <w:top w:val="none" w:sz="0" w:space="0" w:color="auto"/>
        <w:left w:val="none" w:sz="0" w:space="0" w:color="auto"/>
        <w:bottom w:val="none" w:sz="0" w:space="0" w:color="auto"/>
        <w:right w:val="none" w:sz="0" w:space="0" w:color="auto"/>
      </w:divBdr>
    </w:div>
    <w:div w:id="497886698">
      <w:bodyDiv w:val="1"/>
      <w:marLeft w:val="0"/>
      <w:marRight w:val="0"/>
      <w:marTop w:val="0"/>
      <w:marBottom w:val="0"/>
      <w:divBdr>
        <w:top w:val="none" w:sz="0" w:space="0" w:color="auto"/>
        <w:left w:val="none" w:sz="0" w:space="0" w:color="auto"/>
        <w:bottom w:val="none" w:sz="0" w:space="0" w:color="auto"/>
        <w:right w:val="none" w:sz="0" w:space="0" w:color="auto"/>
      </w:divBdr>
    </w:div>
    <w:div w:id="500780710">
      <w:bodyDiv w:val="1"/>
      <w:marLeft w:val="0"/>
      <w:marRight w:val="0"/>
      <w:marTop w:val="0"/>
      <w:marBottom w:val="0"/>
      <w:divBdr>
        <w:top w:val="none" w:sz="0" w:space="0" w:color="auto"/>
        <w:left w:val="none" w:sz="0" w:space="0" w:color="auto"/>
        <w:bottom w:val="none" w:sz="0" w:space="0" w:color="auto"/>
        <w:right w:val="none" w:sz="0" w:space="0" w:color="auto"/>
      </w:divBdr>
    </w:div>
    <w:div w:id="555286872">
      <w:bodyDiv w:val="1"/>
      <w:marLeft w:val="0"/>
      <w:marRight w:val="0"/>
      <w:marTop w:val="0"/>
      <w:marBottom w:val="0"/>
      <w:divBdr>
        <w:top w:val="none" w:sz="0" w:space="0" w:color="auto"/>
        <w:left w:val="none" w:sz="0" w:space="0" w:color="auto"/>
        <w:bottom w:val="none" w:sz="0" w:space="0" w:color="auto"/>
        <w:right w:val="none" w:sz="0" w:space="0" w:color="auto"/>
      </w:divBdr>
    </w:div>
    <w:div w:id="622732662">
      <w:bodyDiv w:val="1"/>
      <w:marLeft w:val="0"/>
      <w:marRight w:val="0"/>
      <w:marTop w:val="0"/>
      <w:marBottom w:val="0"/>
      <w:divBdr>
        <w:top w:val="none" w:sz="0" w:space="0" w:color="auto"/>
        <w:left w:val="none" w:sz="0" w:space="0" w:color="auto"/>
        <w:bottom w:val="none" w:sz="0" w:space="0" w:color="auto"/>
        <w:right w:val="none" w:sz="0" w:space="0" w:color="auto"/>
      </w:divBdr>
    </w:div>
    <w:div w:id="668139818">
      <w:bodyDiv w:val="1"/>
      <w:marLeft w:val="0"/>
      <w:marRight w:val="0"/>
      <w:marTop w:val="0"/>
      <w:marBottom w:val="0"/>
      <w:divBdr>
        <w:top w:val="none" w:sz="0" w:space="0" w:color="auto"/>
        <w:left w:val="none" w:sz="0" w:space="0" w:color="auto"/>
        <w:bottom w:val="none" w:sz="0" w:space="0" w:color="auto"/>
        <w:right w:val="none" w:sz="0" w:space="0" w:color="auto"/>
      </w:divBdr>
    </w:div>
    <w:div w:id="690881445">
      <w:bodyDiv w:val="1"/>
      <w:marLeft w:val="0"/>
      <w:marRight w:val="0"/>
      <w:marTop w:val="0"/>
      <w:marBottom w:val="0"/>
      <w:divBdr>
        <w:top w:val="none" w:sz="0" w:space="0" w:color="auto"/>
        <w:left w:val="none" w:sz="0" w:space="0" w:color="auto"/>
        <w:bottom w:val="none" w:sz="0" w:space="0" w:color="auto"/>
        <w:right w:val="none" w:sz="0" w:space="0" w:color="auto"/>
      </w:divBdr>
    </w:div>
    <w:div w:id="710112922">
      <w:bodyDiv w:val="1"/>
      <w:marLeft w:val="0"/>
      <w:marRight w:val="0"/>
      <w:marTop w:val="0"/>
      <w:marBottom w:val="0"/>
      <w:divBdr>
        <w:top w:val="none" w:sz="0" w:space="0" w:color="auto"/>
        <w:left w:val="none" w:sz="0" w:space="0" w:color="auto"/>
        <w:bottom w:val="none" w:sz="0" w:space="0" w:color="auto"/>
        <w:right w:val="none" w:sz="0" w:space="0" w:color="auto"/>
      </w:divBdr>
    </w:div>
    <w:div w:id="759712971">
      <w:bodyDiv w:val="1"/>
      <w:marLeft w:val="0"/>
      <w:marRight w:val="0"/>
      <w:marTop w:val="0"/>
      <w:marBottom w:val="0"/>
      <w:divBdr>
        <w:top w:val="none" w:sz="0" w:space="0" w:color="auto"/>
        <w:left w:val="none" w:sz="0" w:space="0" w:color="auto"/>
        <w:bottom w:val="none" w:sz="0" w:space="0" w:color="auto"/>
        <w:right w:val="none" w:sz="0" w:space="0" w:color="auto"/>
      </w:divBdr>
    </w:div>
    <w:div w:id="784425959">
      <w:bodyDiv w:val="1"/>
      <w:marLeft w:val="0"/>
      <w:marRight w:val="0"/>
      <w:marTop w:val="0"/>
      <w:marBottom w:val="0"/>
      <w:divBdr>
        <w:top w:val="none" w:sz="0" w:space="0" w:color="auto"/>
        <w:left w:val="none" w:sz="0" w:space="0" w:color="auto"/>
        <w:bottom w:val="none" w:sz="0" w:space="0" w:color="auto"/>
        <w:right w:val="none" w:sz="0" w:space="0" w:color="auto"/>
      </w:divBdr>
    </w:div>
    <w:div w:id="787509099">
      <w:bodyDiv w:val="1"/>
      <w:marLeft w:val="0"/>
      <w:marRight w:val="0"/>
      <w:marTop w:val="0"/>
      <w:marBottom w:val="0"/>
      <w:divBdr>
        <w:top w:val="none" w:sz="0" w:space="0" w:color="auto"/>
        <w:left w:val="none" w:sz="0" w:space="0" w:color="auto"/>
        <w:bottom w:val="none" w:sz="0" w:space="0" w:color="auto"/>
        <w:right w:val="none" w:sz="0" w:space="0" w:color="auto"/>
      </w:divBdr>
    </w:div>
    <w:div w:id="807161735">
      <w:bodyDiv w:val="1"/>
      <w:marLeft w:val="0"/>
      <w:marRight w:val="0"/>
      <w:marTop w:val="0"/>
      <w:marBottom w:val="0"/>
      <w:divBdr>
        <w:top w:val="none" w:sz="0" w:space="0" w:color="auto"/>
        <w:left w:val="none" w:sz="0" w:space="0" w:color="auto"/>
        <w:bottom w:val="none" w:sz="0" w:space="0" w:color="auto"/>
        <w:right w:val="none" w:sz="0" w:space="0" w:color="auto"/>
      </w:divBdr>
    </w:div>
    <w:div w:id="892347887">
      <w:bodyDiv w:val="1"/>
      <w:marLeft w:val="0"/>
      <w:marRight w:val="0"/>
      <w:marTop w:val="0"/>
      <w:marBottom w:val="0"/>
      <w:divBdr>
        <w:top w:val="none" w:sz="0" w:space="0" w:color="auto"/>
        <w:left w:val="none" w:sz="0" w:space="0" w:color="auto"/>
        <w:bottom w:val="none" w:sz="0" w:space="0" w:color="auto"/>
        <w:right w:val="none" w:sz="0" w:space="0" w:color="auto"/>
      </w:divBdr>
    </w:div>
    <w:div w:id="895094102">
      <w:bodyDiv w:val="1"/>
      <w:marLeft w:val="0"/>
      <w:marRight w:val="0"/>
      <w:marTop w:val="0"/>
      <w:marBottom w:val="0"/>
      <w:divBdr>
        <w:top w:val="none" w:sz="0" w:space="0" w:color="auto"/>
        <w:left w:val="none" w:sz="0" w:space="0" w:color="auto"/>
        <w:bottom w:val="none" w:sz="0" w:space="0" w:color="auto"/>
        <w:right w:val="none" w:sz="0" w:space="0" w:color="auto"/>
      </w:divBdr>
    </w:div>
    <w:div w:id="897743474">
      <w:bodyDiv w:val="1"/>
      <w:marLeft w:val="0"/>
      <w:marRight w:val="0"/>
      <w:marTop w:val="0"/>
      <w:marBottom w:val="0"/>
      <w:divBdr>
        <w:top w:val="none" w:sz="0" w:space="0" w:color="auto"/>
        <w:left w:val="none" w:sz="0" w:space="0" w:color="auto"/>
        <w:bottom w:val="none" w:sz="0" w:space="0" w:color="auto"/>
        <w:right w:val="none" w:sz="0" w:space="0" w:color="auto"/>
      </w:divBdr>
    </w:div>
    <w:div w:id="933784328">
      <w:bodyDiv w:val="1"/>
      <w:marLeft w:val="0"/>
      <w:marRight w:val="0"/>
      <w:marTop w:val="0"/>
      <w:marBottom w:val="0"/>
      <w:divBdr>
        <w:top w:val="none" w:sz="0" w:space="0" w:color="auto"/>
        <w:left w:val="none" w:sz="0" w:space="0" w:color="auto"/>
        <w:bottom w:val="none" w:sz="0" w:space="0" w:color="auto"/>
        <w:right w:val="none" w:sz="0" w:space="0" w:color="auto"/>
      </w:divBdr>
    </w:div>
    <w:div w:id="954143636">
      <w:bodyDiv w:val="1"/>
      <w:marLeft w:val="0"/>
      <w:marRight w:val="0"/>
      <w:marTop w:val="0"/>
      <w:marBottom w:val="0"/>
      <w:divBdr>
        <w:top w:val="none" w:sz="0" w:space="0" w:color="auto"/>
        <w:left w:val="none" w:sz="0" w:space="0" w:color="auto"/>
        <w:bottom w:val="none" w:sz="0" w:space="0" w:color="auto"/>
        <w:right w:val="none" w:sz="0" w:space="0" w:color="auto"/>
      </w:divBdr>
    </w:div>
    <w:div w:id="1038581732">
      <w:bodyDiv w:val="1"/>
      <w:marLeft w:val="0"/>
      <w:marRight w:val="0"/>
      <w:marTop w:val="0"/>
      <w:marBottom w:val="0"/>
      <w:divBdr>
        <w:top w:val="none" w:sz="0" w:space="0" w:color="auto"/>
        <w:left w:val="none" w:sz="0" w:space="0" w:color="auto"/>
        <w:bottom w:val="none" w:sz="0" w:space="0" w:color="auto"/>
        <w:right w:val="none" w:sz="0" w:space="0" w:color="auto"/>
      </w:divBdr>
    </w:div>
    <w:div w:id="1162618399">
      <w:bodyDiv w:val="1"/>
      <w:marLeft w:val="0"/>
      <w:marRight w:val="0"/>
      <w:marTop w:val="0"/>
      <w:marBottom w:val="0"/>
      <w:divBdr>
        <w:top w:val="none" w:sz="0" w:space="0" w:color="auto"/>
        <w:left w:val="none" w:sz="0" w:space="0" w:color="auto"/>
        <w:bottom w:val="none" w:sz="0" w:space="0" w:color="auto"/>
        <w:right w:val="none" w:sz="0" w:space="0" w:color="auto"/>
      </w:divBdr>
    </w:div>
    <w:div w:id="1174296753">
      <w:bodyDiv w:val="1"/>
      <w:marLeft w:val="0"/>
      <w:marRight w:val="0"/>
      <w:marTop w:val="0"/>
      <w:marBottom w:val="0"/>
      <w:divBdr>
        <w:top w:val="none" w:sz="0" w:space="0" w:color="auto"/>
        <w:left w:val="none" w:sz="0" w:space="0" w:color="auto"/>
        <w:bottom w:val="none" w:sz="0" w:space="0" w:color="auto"/>
        <w:right w:val="none" w:sz="0" w:space="0" w:color="auto"/>
      </w:divBdr>
    </w:div>
    <w:div w:id="1234465013">
      <w:bodyDiv w:val="1"/>
      <w:marLeft w:val="0"/>
      <w:marRight w:val="0"/>
      <w:marTop w:val="0"/>
      <w:marBottom w:val="0"/>
      <w:divBdr>
        <w:top w:val="none" w:sz="0" w:space="0" w:color="auto"/>
        <w:left w:val="none" w:sz="0" w:space="0" w:color="auto"/>
        <w:bottom w:val="none" w:sz="0" w:space="0" w:color="auto"/>
        <w:right w:val="none" w:sz="0" w:space="0" w:color="auto"/>
      </w:divBdr>
    </w:div>
    <w:div w:id="1235553754">
      <w:bodyDiv w:val="1"/>
      <w:marLeft w:val="0"/>
      <w:marRight w:val="0"/>
      <w:marTop w:val="0"/>
      <w:marBottom w:val="0"/>
      <w:divBdr>
        <w:top w:val="none" w:sz="0" w:space="0" w:color="auto"/>
        <w:left w:val="none" w:sz="0" w:space="0" w:color="auto"/>
        <w:bottom w:val="none" w:sz="0" w:space="0" w:color="auto"/>
        <w:right w:val="none" w:sz="0" w:space="0" w:color="auto"/>
      </w:divBdr>
    </w:div>
    <w:div w:id="1342925264">
      <w:bodyDiv w:val="1"/>
      <w:marLeft w:val="0"/>
      <w:marRight w:val="0"/>
      <w:marTop w:val="0"/>
      <w:marBottom w:val="0"/>
      <w:divBdr>
        <w:top w:val="none" w:sz="0" w:space="0" w:color="auto"/>
        <w:left w:val="none" w:sz="0" w:space="0" w:color="auto"/>
        <w:bottom w:val="none" w:sz="0" w:space="0" w:color="auto"/>
        <w:right w:val="none" w:sz="0" w:space="0" w:color="auto"/>
      </w:divBdr>
    </w:div>
    <w:div w:id="1415124329">
      <w:bodyDiv w:val="1"/>
      <w:marLeft w:val="0"/>
      <w:marRight w:val="0"/>
      <w:marTop w:val="0"/>
      <w:marBottom w:val="0"/>
      <w:divBdr>
        <w:top w:val="none" w:sz="0" w:space="0" w:color="auto"/>
        <w:left w:val="none" w:sz="0" w:space="0" w:color="auto"/>
        <w:bottom w:val="none" w:sz="0" w:space="0" w:color="auto"/>
        <w:right w:val="none" w:sz="0" w:space="0" w:color="auto"/>
      </w:divBdr>
    </w:div>
    <w:div w:id="1487940687">
      <w:bodyDiv w:val="1"/>
      <w:marLeft w:val="0"/>
      <w:marRight w:val="0"/>
      <w:marTop w:val="0"/>
      <w:marBottom w:val="0"/>
      <w:divBdr>
        <w:top w:val="none" w:sz="0" w:space="0" w:color="auto"/>
        <w:left w:val="none" w:sz="0" w:space="0" w:color="auto"/>
        <w:bottom w:val="none" w:sz="0" w:space="0" w:color="auto"/>
        <w:right w:val="none" w:sz="0" w:space="0" w:color="auto"/>
      </w:divBdr>
    </w:div>
    <w:div w:id="1498032913">
      <w:bodyDiv w:val="1"/>
      <w:marLeft w:val="0"/>
      <w:marRight w:val="0"/>
      <w:marTop w:val="0"/>
      <w:marBottom w:val="0"/>
      <w:divBdr>
        <w:top w:val="none" w:sz="0" w:space="0" w:color="auto"/>
        <w:left w:val="none" w:sz="0" w:space="0" w:color="auto"/>
        <w:bottom w:val="none" w:sz="0" w:space="0" w:color="auto"/>
        <w:right w:val="none" w:sz="0" w:space="0" w:color="auto"/>
      </w:divBdr>
    </w:div>
    <w:div w:id="1511413131">
      <w:bodyDiv w:val="1"/>
      <w:marLeft w:val="0"/>
      <w:marRight w:val="0"/>
      <w:marTop w:val="0"/>
      <w:marBottom w:val="0"/>
      <w:divBdr>
        <w:top w:val="none" w:sz="0" w:space="0" w:color="auto"/>
        <w:left w:val="none" w:sz="0" w:space="0" w:color="auto"/>
        <w:bottom w:val="none" w:sz="0" w:space="0" w:color="auto"/>
        <w:right w:val="none" w:sz="0" w:space="0" w:color="auto"/>
      </w:divBdr>
      <w:divsChild>
        <w:div w:id="1997145150">
          <w:marLeft w:val="480"/>
          <w:marRight w:val="0"/>
          <w:marTop w:val="0"/>
          <w:marBottom w:val="0"/>
          <w:divBdr>
            <w:top w:val="none" w:sz="0" w:space="0" w:color="auto"/>
            <w:left w:val="none" w:sz="0" w:space="0" w:color="auto"/>
            <w:bottom w:val="none" w:sz="0" w:space="0" w:color="auto"/>
            <w:right w:val="none" w:sz="0" w:space="0" w:color="auto"/>
          </w:divBdr>
          <w:divsChild>
            <w:div w:id="14343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7056">
      <w:bodyDiv w:val="1"/>
      <w:marLeft w:val="0"/>
      <w:marRight w:val="0"/>
      <w:marTop w:val="0"/>
      <w:marBottom w:val="0"/>
      <w:divBdr>
        <w:top w:val="none" w:sz="0" w:space="0" w:color="auto"/>
        <w:left w:val="none" w:sz="0" w:space="0" w:color="auto"/>
        <w:bottom w:val="none" w:sz="0" w:space="0" w:color="auto"/>
        <w:right w:val="none" w:sz="0" w:space="0" w:color="auto"/>
      </w:divBdr>
    </w:div>
    <w:div w:id="1555507693">
      <w:bodyDiv w:val="1"/>
      <w:marLeft w:val="0"/>
      <w:marRight w:val="0"/>
      <w:marTop w:val="0"/>
      <w:marBottom w:val="0"/>
      <w:divBdr>
        <w:top w:val="none" w:sz="0" w:space="0" w:color="auto"/>
        <w:left w:val="none" w:sz="0" w:space="0" w:color="auto"/>
        <w:bottom w:val="none" w:sz="0" w:space="0" w:color="auto"/>
        <w:right w:val="none" w:sz="0" w:space="0" w:color="auto"/>
      </w:divBdr>
    </w:div>
    <w:div w:id="1569682280">
      <w:bodyDiv w:val="1"/>
      <w:marLeft w:val="0"/>
      <w:marRight w:val="0"/>
      <w:marTop w:val="0"/>
      <w:marBottom w:val="0"/>
      <w:divBdr>
        <w:top w:val="none" w:sz="0" w:space="0" w:color="auto"/>
        <w:left w:val="none" w:sz="0" w:space="0" w:color="auto"/>
        <w:bottom w:val="none" w:sz="0" w:space="0" w:color="auto"/>
        <w:right w:val="none" w:sz="0" w:space="0" w:color="auto"/>
      </w:divBdr>
    </w:div>
    <w:div w:id="1596472711">
      <w:bodyDiv w:val="1"/>
      <w:marLeft w:val="0"/>
      <w:marRight w:val="0"/>
      <w:marTop w:val="0"/>
      <w:marBottom w:val="0"/>
      <w:divBdr>
        <w:top w:val="none" w:sz="0" w:space="0" w:color="auto"/>
        <w:left w:val="none" w:sz="0" w:space="0" w:color="auto"/>
        <w:bottom w:val="none" w:sz="0" w:space="0" w:color="auto"/>
        <w:right w:val="none" w:sz="0" w:space="0" w:color="auto"/>
      </w:divBdr>
    </w:div>
    <w:div w:id="1600334445">
      <w:bodyDiv w:val="1"/>
      <w:marLeft w:val="0"/>
      <w:marRight w:val="0"/>
      <w:marTop w:val="0"/>
      <w:marBottom w:val="0"/>
      <w:divBdr>
        <w:top w:val="none" w:sz="0" w:space="0" w:color="auto"/>
        <w:left w:val="none" w:sz="0" w:space="0" w:color="auto"/>
        <w:bottom w:val="none" w:sz="0" w:space="0" w:color="auto"/>
        <w:right w:val="none" w:sz="0" w:space="0" w:color="auto"/>
      </w:divBdr>
    </w:div>
    <w:div w:id="1695501990">
      <w:bodyDiv w:val="1"/>
      <w:marLeft w:val="0"/>
      <w:marRight w:val="0"/>
      <w:marTop w:val="0"/>
      <w:marBottom w:val="0"/>
      <w:divBdr>
        <w:top w:val="none" w:sz="0" w:space="0" w:color="auto"/>
        <w:left w:val="none" w:sz="0" w:space="0" w:color="auto"/>
        <w:bottom w:val="none" w:sz="0" w:space="0" w:color="auto"/>
        <w:right w:val="none" w:sz="0" w:space="0" w:color="auto"/>
      </w:divBdr>
    </w:div>
    <w:div w:id="1707558379">
      <w:bodyDiv w:val="1"/>
      <w:marLeft w:val="0"/>
      <w:marRight w:val="0"/>
      <w:marTop w:val="0"/>
      <w:marBottom w:val="0"/>
      <w:divBdr>
        <w:top w:val="none" w:sz="0" w:space="0" w:color="auto"/>
        <w:left w:val="none" w:sz="0" w:space="0" w:color="auto"/>
        <w:bottom w:val="none" w:sz="0" w:space="0" w:color="auto"/>
        <w:right w:val="none" w:sz="0" w:space="0" w:color="auto"/>
      </w:divBdr>
    </w:div>
    <w:div w:id="1820606776">
      <w:bodyDiv w:val="1"/>
      <w:marLeft w:val="0"/>
      <w:marRight w:val="0"/>
      <w:marTop w:val="0"/>
      <w:marBottom w:val="0"/>
      <w:divBdr>
        <w:top w:val="none" w:sz="0" w:space="0" w:color="auto"/>
        <w:left w:val="none" w:sz="0" w:space="0" w:color="auto"/>
        <w:bottom w:val="none" w:sz="0" w:space="0" w:color="auto"/>
        <w:right w:val="none" w:sz="0" w:space="0" w:color="auto"/>
      </w:divBdr>
    </w:div>
    <w:div w:id="1855806564">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52321341">
      <w:bodyDiv w:val="1"/>
      <w:marLeft w:val="0"/>
      <w:marRight w:val="0"/>
      <w:marTop w:val="0"/>
      <w:marBottom w:val="0"/>
      <w:divBdr>
        <w:top w:val="none" w:sz="0" w:space="0" w:color="auto"/>
        <w:left w:val="none" w:sz="0" w:space="0" w:color="auto"/>
        <w:bottom w:val="none" w:sz="0" w:space="0" w:color="auto"/>
        <w:right w:val="none" w:sz="0" w:space="0" w:color="auto"/>
      </w:divBdr>
    </w:div>
    <w:div w:id="1958367940">
      <w:bodyDiv w:val="1"/>
      <w:marLeft w:val="0"/>
      <w:marRight w:val="0"/>
      <w:marTop w:val="0"/>
      <w:marBottom w:val="0"/>
      <w:divBdr>
        <w:top w:val="none" w:sz="0" w:space="0" w:color="auto"/>
        <w:left w:val="none" w:sz="0" w:space="0" w:color="auto"/>
        <w:bottom w:val="none" w:sz="0" w:space="0" w:color="auto"/>
        <w:right w:val="none" w:sz="0" w:space="0" w:color="auto"/>
      </w:divBdr>
    </w:div>
    <w:div w:id="1986615584">
      <w:bodyDiv w:val="1"/>
      <w:marLeft w:val="0"/>
      <w:marRight w:val="0"/>
      <w:marTop w:val="0"/>
      <w:marBottom w:val="0"/>
      <w:divBdr>
        <w:top w:val="none" w:sz="0" w:space="0" w:color="auto"/>
        <w:left w:val="none" w:sz="0" w:space="0" w:color="auto"/>
        <w:bottom w:val="none" w:sz="0" w:space="0" w:color="auto"/>
        <w:right w:val="none" w:sz="0" w:space="0" w:color="auto"/>
      </w:divBdr>
    </w:div>
    <w:div w:id="2012371835">
      <w:bodyDiv w:val="1"/>
      <w:marLeft w:val="0"/>
      <w:marRight w:val="0"/>
      <w:marTop w:val="0"/>
      <w:marBottom w:val="0"/>
      <w:divBdr>
        <w:top w:val="none" w:sz="0" w:space="0" w:color="auto"/>
        <w:left w:val="none" w:sz="0" w:space="0" w:color="auto"/>
        <w:bottom w:val="none" w:sz="0" w:space="0" w:color="auto"/>
        <w:right w:val="none" w:sz="0" w:space="0" w:color="auto"/>
      </w:divBdr>
    </w:div>
    <w:div w:id="2096002975">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 w:id="2134057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rfa@berkeley.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EDC39-22E6-4DA6-8B57-FF62C29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44451</Words>
  <Characters>253375</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8</cp:revision>
  <dcterms:created xsi:type="dcterms:W3CDTF">2023-11-08T16:50:00Z</dcterms:created>
  <dcterms:modified xsi:type="dcterms:W3CDTF">2023-11-08T20:35:00Z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id="Bkln1Xai"/&gt;&lt;style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