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F2820F"/>
          <w:sz w:val="72"/>
          <w:szCs w:val="72"/>
        </w:rPr>
        <w:t xml:space="preserve">ANIMÉAUX</w:t>
      </w:r>
    </w:p>
    <w:p>
      <w:pPr>
        <w:spacing w:after="100" w:before="200"/>
        <w:jc w:val="center"/>
      </w:pPr>
      <w:r>
        <w:rPr>
          <w:color w:val="5A3A22"/>
          <w:sz w:val="32"/>
          <w:szCs w:val="32"/>
        </w:rPr>
        <w:t xml:space="preserve">Cahier des charges fonctionnel et technique</w:t>
      </w:r>
    </w:p>
    <w:p>
      <w:pPr>
        <w:spacing w:after="800"/>
        <w:jc w:val="center"/>
      </w:pPr>
      <w:r>
        <w:rPr>
          <w:i/>
          <w:iCs/>
          <w:color w:val="444444"/>
          <w:sz w:val="24"/>
          <w:szCs w:val="24"/>
        </w:rPr>
        <w:t xml:space="preserve">Plateforme de prise de rendez-vous entre propriétaires d'animaux et praticiens du secteur animalier</w:t>
      </w:r>
    </w:p>
    <w:p>
      <w:pPr>
        <w:spacing w:before="2000"/>
        <w:jc w:val="center"/>
      </w:pPr>
      <w:r>
        <w:rPr>
          <w:sz w:val="22"/>
          <w:szCs w:val="22"/>
        </w:rPr>
        <w:t>Version 1.54 — document mis à jour avec les évolutions de juillet, août et septembre 2026 (vérification des praticiens par documents, correctif critique inscriptions, espace secrétariat en compte dédié, statut administrateur découplé du rôle, tableau de bord admin complet, domaine d'envoi Resend vérifié, carte Leaflet sur la fiche praticien avec géocodage des cabinets, domaine monanimeaux.fr connecté au site et indexé par Google, modération avancée admin, rappels de RDV par SMS, liste d'attente, rappels de vaccin proactifs, statistiques praticien, 368 tests unitaires, code-splitting par route, PWA installable, référencement de base, découpage vendor du bundle, réponse du praticien aux avis, export .ics du RDV, carnet de santé exportable, tri par prochaine disponibilité en recherche, notifications push navigateur, email + SMS de confirmation immédiate à la réservation, pages légales finalisées avec le SIRET, annulation de RDV patient corrigée, interface mobile dédiée pour l'espace patient avec recherche à deux champs et cartes animaux en bannière photo, rappel automatique pour laisser un avis après un RDV terminé, favoris praticiens, annulation de RDV côté praticien avec notification patient (in-app, email, SMS), correctif de redirection post-connexion, logo Animéaux dans tous les emails transactionnels, recherche de bugs applicative complète le 24 août 2026 : faille XSS critique corrigée sur la biographie praticien, durcissement de la sécurité au niveau colonne sur les rendez-vous/profils praticiens/messages/notifications, sécurisation des fonctions serveur d'envoi d'email-SMS-push contre les appels non autorisés, correctifs messagerie temps réel/documents de vérification/statistiques praticien/actions de modération admin, système de rappels automatiques (RDV à 24h, vaccin, avis) entièrement fiabilisé début septembre 2026 après plusieurs pannes silencieuses en cascade (vérification JWT de la plateforme, délai réseau trop court, désynchronisation de clé secrète, mauvaise colonne interrogée), erreurs de requête serveur désormais toujours visibles au lieu d'être ignorées silencieusement, adresse postale ajoutée au profil praticien, code de messagerie temps réel unifié entre l'espace patient et praticien, audit applicatif complet du 04/09/2026 : reconstruction de secours de 4 tables jamais commitées (animaux/vaccins/poids/dossiers de santé), verrouillage RLS niveau colonne étendu (avis, dossiers médicaux), durée de rendez-vous alignée sur la configuration réelle du praticien (45/60 min au lieu de 30 min fixe), garde-fou anti-doublon sur le rappel de RDV à 24h, rappel de vaccin en retard qui repart, confirmations ajoutées avant les actions destructrices du cabinet (retirer un membre, supprimer un tarif), renouvellement d'abonnement push géré, notification qui réutilise l'onglet déjà ouvert, plusieurs correctifs de fiabilité (connexion, invalidations de cache, routage administrateur), report de rendez-vous en libre-service pour le patient (au même titre que l'annulation), délai minimum d'1h avant le rendez-vous imposé au patient pour annuler ou reporter, flux calendrier abonnable (ICS) pour le praticien permettant de synchroniser tout son agenda confirmé en un clic dans Google Agenda ou Apple Calendrier, audit de sécurité complet du 05/09/2026 (8 revues croisées) : contournement RLS corrigé permettant à un patient de confirmer lui-même un RDV en attente et de le déplacer à sa guise, motif de rejet administratif d'un praticien retiré de la lecture publique, faille de remplacement de fichier de stockage entre utilisateurs corrigée, verrou ajouté empêchant un patient de forger la réponse du praticien à son propre avis, emails de confirmation/annulation/report de RDV et lien de confirmation de présence fiabilisés (requête ambiguë), échappement HTML généralisé dans les emails, correction du destinataire de l'email de report de RDV quand c'est le patient qui reporte, auto-réparation de l'abonnement aux notifications push, confirmations à deux clics harmonisées sur les annulations de RDV, messages d'erreur explicites au lieu d'échecs silencieux sur les actions de rendez-vous; puis du 22 au 25/09/2026 : notifications push enfin fonctionnelles, pipeline de déploiement automatisé (fonctions Edge, tests bloquants, Sentry), corrections de récursions RLS sur l'espace praticien, performances mobile (graphique et carte chargés à la demande, images en lazy loading), rappels de suivi généralisés (vaccin, vermifuge, bilan annuel), partage de dossier animal entre praticiens avec l'accord du propriétaire, praticiens à plusieurs métiers, page Mes animaux allégée, relance des patients inactifs, interrupteur de messagerie par praticien, visite guidée de première connexion, 646 tests unitaires, email de confirmation d'inscription refait (lien cliquable, en français), statistiques praticien enrichies, fermeture de cabinet, carte dans la recherche, retrait d'un compte secrétariat, partages terminés visibles du propriétaire, nouvelle règle d'accès praticien aux dossiers d'animaux, ouverture d'un document corrigée : plus aucun lien public périmé pendant que le lien sécurisé se prépare, message d'inscription précisant que l'email peut mettre quelques minutes, domaine www redirigé vers monanimeaux.fr, dépôt de plusieurs justificatifs par le praticien rendu explicite (nouveau type « attestation de formation / certification », confirmation après chaque envoi), visite guidée praticien qui n'attend plus qu'il soit vérifié avant de se lancer, étape messagerie de la visite guidée précisant qu'elle est facultative pour le praticien, interrupteur « Apparaître dans la recherche » pour le praticien (migration 126 : masquer sa fiche sans perdre l'accès à son espace ni son statut vérifié), message explicite quand les notifications sont bloquées par le navigateur (navigation privée), offre du praticien gratuite/abonnement étape 1 (migration 127 : champ verrouillé contre l'auto-attribution, changement par l'admin, praticiens existants en abonnement fondateur), offre cabinet (jusqu'à 5 praticiens, offre propre au cabinet, fonctionnalités complètes pour ses membres, limite imposée par la base) ajoutée à l'étape 1 des offres, offres étape 2 (migration 128 : réservation, liste d'attente et messagerie fermées côté base pour un praticien en offre gratuite, fiche publique sans réservation, pas de prochain créneau pour lui en recherche), note du praticien recalculée aussi à la suppression d'un avis ou d'un compte (migration 129), carte de résultat « Voir la fiche » au lieu de « Réserver » pour un praticien en offre gratuite, signalement d'un avis abusif réservé au praticien concerné (bouton dans l'onglet Avis de son espace, retiré de la fiche publique ; règle imposée par la base, migration 130), suppression de l'avis signalé et clôture du signalement en une action depuis la vue admin « Signalements », email de retour au praticien quand l'admin traite son signalement d'avis (issue + commentaire de l'admin, fonction Edge send-report-feedback, copie de l'avis conservée au signalement, migration 131), nettoyage du 13/10/2026 : filtre « disponible » de la recherche aligné sur les offres, message de refus de la messagerie corrigé, vouvoiement harmonisé, documentation à jour, cabinets : secrétariat réservé aux cabinets abonnés (refus avant création du compte + garde en base), messages clairs quand un cabinet est non activé ou complet, bandeau d'état du cabinet dans l'espace praticien, page publique du cabinet limitée aux praticiens vérifiés et visibles, pastilles « Offre gratuite » / « Masqué » / « Non activé » dans l'administration (migration 132))</w:t>
      </w:r>
    </w:p>
    <w:p>
      <w:pPr>
        <w:spacing w:before="100"/>
        <w:jc w:val="center"/>
      </w:pPr>
      <w:r>
        <w:rPr>
          <w:sz w:val="22"/>
          <w:szCs w:val="22"/>
        </w:rPr>
        <w:t xml:space="preserve">Juillet – Août 2026</w:t>
      </w:r>
    </w:p>
    <w:p>
      <w:pPr>
        <w:spacing w:before="100"/>
        <w:jc w:val="center"/>
      </w:pPr>
      <w:r>
        <w:rPr>
          <w:color w:val="444444"/>
          <w:sz w:val="20"/>
          <w:szCs w:val="20"/>
        </w:rPr>
        <w:t xml:space="preserve">Document destiné à un développeur pour la reprise ou l'évolution du produit</w:t>
      </w:r>
    </w:p>
    <w:p>
      <w:r>
        <w:br w:type="page"/>
      </w:r>
    </w:p>
    <w:p>
      <w:pPr>
        <w:pStyle w:val="Heading1"/>
        <w:spacing w:after="200" w:before="400"/>
      </w:pPr>
      <w:r>
        <w:t xml:space="preserve">Sommaire</w:t>
      </w:r>
    </w:p>
    <w:p>
      <w:pPr>
        <w:pBdr>
          <w:left w:val="single" w:color="F2820F" w:sz="18"/>
        </w:pBdr>
        <w:shd w:fill="FFF6E6" w:val="clear"/>
        <w:spacing w:after="200" w:before="100"/>
        <w:ind w:left="200"/>
      </w:pPr>
      <w:r>
        <w:rPr>
          <w:i/>
          <w:iCs/>
          <w:color w:val="6B5B3D"/>
          <w:sz w:val="20"/>
          <w:szCs w:val="20"/>
        </w:rPr>
        <w:t xml:space="preserve">Sommaire généré automatiquement à partir des titres du document. S'il apparaît vide à l'ouverture, faire un clic droit dessus puis « Mettre à jour les champs » (ou sélectionner tout le document avec Ctrl+A puis appuyer sur F9).</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 et objectifs du document</w:t>
      </w:r>
    </w:p>
    <w:p>
      <w:pPr>
        <w:spacing w:after="160" w:line="300"/>
      </w:pPr>
      <w:r>
        <w:t xml:space="preserve">Ce document décrit, de façon exhaustive, l'état actuel de l'application Animéaux : ses fonctionnalités, son modèle de données, son architecture technique et ses règles métier. Il a pour vocation de permettre à un développeur — qu'il rejoigne le projet ou qu'il en reprenne la maintenance — de comprendre et de retrouver l'intégralité du fonctionnement de l'application sans avoir besoin d'échanger avec l'équipe actuelle.</w:t>
      </w:r>
    </w:p>
    <w:p>
      <w:pPr>
        <w:spacing w:after="160" w:line="300"/>
      </w:pPr>
      <w:r>
        <w:t xml:space="preserve">Le périmètre couvert est volontairement limité à l'existant : ce document ne contient aucune fonctionnalité prévue mais non développée, aucune roadmap. Tout ce qui est décrit ici est en production et fonctionnel au moment de la rédaction.</w:t>
      </w:r>
    </w:p>
    <w:p>
      <w:pPr>
        <w:pStyle w:val="Heading2"/>
        <w:spacing w:after="150" w:before="300"/>
      </w:pPr>
      <w:r>
        <w:t xml:space="preserve">1.1 Présentation du produit</w:t>
      </w:r>
    </w:p>
    <w:p>
      <w:pPr>
        <w:spacing w:after="160" w:line="300"/>
      </w:pPr>
      <w:r>
        <w:t xml:space="preserve">Animéaux est une plateforme de mise en relation entre propriétaires d'animaux et praticiens du secteur animalier (vétérinaires, ostéopathes, toiletteurs, éducateurs canins, etc.), sur le modèle d'un Doctolib spécialisé dans le monde animal. Elle permet à un propriétaire de rechercher un praticien par métier et localisation, de consulter son profil et ses avis, de réserver un créneau en ligne et de suivre le dossier de santé de ses animaux. Côté praticien, elle offre un espace de gestion complet : agenda, tarifs, dossiers patients, messagerie et — pour les structures à plusieurs praticiens — un mode « cabinet » avec agenda et patientèle partagés.</w:t>
      </w:r>
    </w:p>
    <w:p>
      <w:pPr>
        <w:pStyle w:val="Heading2"/>
        <w:spacing w:after="150" w:before="300"/>
      </w:pPr>
      <w:r>
        <w:t xml:space="preserve">1.2 Nom technique du projet</w:t>
      </w:r>
    </w:p>
    <w:p>
      <w:pPr>
        <w:spacing w:after="160" w:line="300"/>
      </w:pPr>
      <w:r>
        <w:t xml:space="preserve">Le nom de package interne (package.json) est « pawcare », nom de travail antérieur au nom commercial « Animéaux » retenu pour le produit fini. Cette incohérence est purement cosmétique et sans impact fonctionnel.</w:t>
      </w:r>
    </w:p>
    <w:p>
      <w:pPr>
        <w:pStyle w:val="Heading1"/>
        <w:spacing w:after="200" w:before="400"/>
      </w:pPr>
      <w:r>
        <w:t xml:space="preserve">2. Personas et rôles utilisateurs</w:t>
      </w:r>
    </w:p>
    <w:p>
      <w:pPr>
        <w:spacing w:after="160" w:line="300"/>
      </w:pPr>
      <w:r>
        <w:t xml:space="preserve">L'application distingue trois rôles, stockés dans la colonne role de la table users (type énuméré user_role) et déterminant à la fois les routes accessibles et le comportement de l'interface.</w:t>
      </w:r>
    </w:p>
    <w:p>
      <w:pPr>
        <w:pStyle w:val="Heading2"/>
        <w:spacing w:after="150" w:before="300"/>
      </w:pPr>
      <w:r>
        <w:t xml:space="preserve">2.1 Patient (propriétaire d'animal)</w:t>
      </w:r>
    </w:p>
    <w:p>
      <w:pPr>
        <w:spacing w:after="160" w:line="300"/>
      </w:pPr>
      <w:r>
        <w:t xml:space="preserve">Le patient est le propriétaire d'un ou plusieurs animaux. Il peut rechercher des praticiens, réserver des rendez-vous, gérer le dossier de santé de ses animaux (vaccins, poids, historique de soins, documents), échanger par messagerie avec les praticiens qu'il a consultés, et laisser des avis.</w:t>
      </w:r>
    </w:p>
    <w:p>
      <w:pPr>
        <w:pStyle w:val="Heading2"/>
        <w:spacing w:after="150" w:before="300"/>
      </w:pPr>
      <w:r>
        <w:t xml:space="preserve">2.2 Praticien (doctor)</w:t>
      </w:r>
    </w:p>
    <w:p>
      <w:pPr>
        <w:spacing w:after="160" w:line="300"/>
      </w:pPr>
      <w:r>
        <w:t xml:space="preserve">Le praticien exerce l'un des métiers animaliers listés dans l'application (vétérinaire, ostéopathe, toiletteur, éducateur canin, etc. — liste complète en section 6.7). Il gère son agenda, ses tarifs, sa patientèle, et peut le cas échéant faire partie d'un cabinet regroupant plusieurs praticiens. Son compte génère automatiquement, à l'inscription, une ligne dans la table doctors en plus de users et profiles.</w:t>
      </w:r>
    </w:p>
    <w:p>
      <w:pPr>
        <w:pStyle w:val="Heading2"/>
        <w:spacing w:after="150" w:before="300"/>
      </w:pPr>
      <w:r>
        <w:t xml:space="preserve">2.3 Administrateur (admin)</w:t>
      </w:r>
    </w:p>
    <w:p>
      <w:pPr>
        <w:spacing w:after="160" w:line="300"/>
      </w:pPr>
      <w:r>
        <w:t>Depuis le 22 juillet 2026, is_admin est un booléen indépendant du rôle principal du compte (colonne users.is_admin, migration 055) plutôt qu'une valeur de role — n'importe quel compte patient ou praticien peut ainsi aussi être administrateur sans perdre son tableau de bord habituel (c'est le cas du compte personnel de la fondatrice, seul compte is_admin = true). Un onglet « Admin » dédié apparaît dans la navbar quand is_admin est vrai, menant à /dashboard/admin. Ce tableau de bord est fonctionnel pour la vérification des praticiens (section 6.15) ; le reste (métriques, modération, reporting) demeure un stub non implémenté (voir section 10).</w:t>
      </w:r>
    </w:p>
    <w:p>
      <w:pPr>
        <w:pStyle w:val="Heading2"/>
        <w:spacing w:after="150" w:before="300"/>
      </w:pPr>
      <w:r>
        <w:t xml:space="preserve">2.4 Visiteur non connecté</w:t>
      </w:r>
    </w:p>
    <w:p>
      <w:pPr>
        <w:spacing w:after="160" w:line="300"/>
      </w:pPr>
      <w:r>
        <w:t xml:space="preserve">Un visiteur peut consulter librement la page d'accueil, effectuer une recherche de praticiens, consulter les fiches publiques des praticiens et des cabinets, et voir les avis. La réservation, la messagerie et tout ce qui touche à un compte personnel nécessitent une connexion.</w:t>
      </w:r>
    </w:p>
    <w:p>
      <w:pPr>
        <w:pStyle w:val="Heading1"/>
        <w:spacing w:after="200" w:before="400"/>
      </w:pPr>
      <w:r>
        <w:t xml:space="preserve">3. Architecture technique</w:t>
      </w:r>
    </w:p>
    <w:p>
      <w:pPr>
        <w:pStyle w:val="Heading2"/>
        <w:spacing w:after="150" w:before="300"/>
      </w:pPr>
      <w:r>
        <w:t xml:space="preserve">3.1 Stack technique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F2820F" w:val="clear"/>
            <w:tcMar>
              <w:top w:type="dxa" w:w="80"/>
              <w:left w:type="dxa" w:w="100"/>
              <w:bottom w:type="dxa" w:w="80"/>
              <w:right w:type="dxa" w:w="100"/>
            </w:tcMar>
          </w:tcPr>
          <w:p>
            <w:r>
              <w:rPr>
                <w:b/>
                <w:bCs/>
                <w:color w:val="FFFFFF"/>
                <w:sz w:val="19"/>
                <w:szCs w:val="19"/>
              </w:rPr>
              <w:t xml:space="preserve">Couche</w:t>
            </w:r>
          </w:p>
        </w:tc>
        <w:tc>
          <w:tcPr>
            <w:tcW w:type="dxa" w:w="5820"/>
            <w:shd w:fill="F2820F" w:val="clear"/>
            <w:tcMar>
              <w:top w:type="dxa" w:w="80"/>
              <w:left w:type="dxa" w:w="100"/>
              <w:bottom w:type="dxa" w:w="80"/>
              <w:right w:type="dxa" w:w="100"/>
            </w:tcMar>
          </w:tcPr>
          <w:p>
            <w:r>
              <w:rPr>
                <w:b/>
                <w:bCs/>
                <w:color w:val="FFFFFF"/>
                <w:sz w:val="19"/>
                <w:szCs w:val="19"/>
              </w:rPr>
              <w:t xml:space="preserve">Technologie</w:t>
            </w:r>
          </w:p>
        </w:tc>
      </w:tr>
      <w:tr>
        <w:tc>
          <w:tcPr>
            <w:tcW w:type="dxa" w:w="3200"/>
            <w:tcMar>
              <w:top w:type="dxa" w:w="60"/>
              <w:left w:type="dxa" w:w="100"/>
              <w:bottom w:type="dxa" w:w="60"/>
              <w:right w:type="dxa" w:w="100"/>
            </w:tcMar>
          </w:tcPr>
          <w:p>
            <w:r>
              <w:rPr>
                <w:sz w:val="19"/>
                <w:szCs w:val="19"/>
              </w:rPr>
              <w:t xml:space="preserve">Framework front-end</w:t>
            </w:r>
          </w:p>
        </w:tc>
        <w:tc>
          <w:tcPr>
            <w:tcW w:type="dxa" w:w="5820"/>
            <w:tcMar>
              <w:top w:type="dxa" w:w="60"/>
              <w:left w:type="dxa" w:w="100"/>
              <w:bottom w:type="dxa" w:w="60"/>
              <w:right w:type="dxa" w:w="100"/>
            </w:tcMar>
          </w:tcPr>
          <w:p>
            <w:r>
              <w:rPr>
                <w:sz w:val="19"/>
                <w:szCs w:val="19"/>
              </w:rPr>
              <w:t xml:space="preserve">React 18</w:t>
            </w:r>
          </w:p>
        </w:tc>
      </w:tr>
      <w:tr>
        <w:tc>
          <w:tcPr>
            <w:tcW w:type="dxa" w:w="3200"/>
            <w:tcMar>
              <w:top w:type="dxa" w:w="60"/>
              <w:left w:type="dxa" w:w="100"/>
              <w:bottom w:type="dxa" w:w="60"/>
              <w:right w:type="dxa" w:w="100"/>
            </w:tcMar>
          </w:tcPr>
          <w:p>
            <w:r>
              <w:rPr>
                <w:sz w:val="19"/>
                <w:szCs w:val="19"/>
              </w:rPr>
              <w:t xml:space="preserve">Bundler / dev server</w:t>
            </w:r>
          </w:p>
        </w:tc>
        <w:tc>
          <w:tcPr>
            <w:tcW w:type="dxa" w:w="5820"/>
            <w:tcMar>
              <w:top w:type="dxa" w:w="60"/>
              <w:left w:type="dxa" w:w="100"/>
              <w:bottom w:type="dxa" w:w="60"/>
              <w:right w:type="dxa" w:w="100"/>
            </w:tcMar>
          </w:tcPr>
          <w:p>
            <w:r>
              <w:rPr>
                <w:sz w:val="19"/>
                <w:szCs w:val="19"/>
              </w:rPr>
              <w:t xml:space="preserve">Vite</w:t>
            </w:r>
          </w:p>
        </w:tc>
      </w:tr>
      <w:tr>
        <w:tc>
          <w:tcPr>
            <w:tcW w:type="dxa" w:w="3200"/>
            <w:tcMar>
              <w:top w:type="dxa" w:w="60"/>
              <w:left w:type="dxa" w:w="100"/>
              <w:bottom w:type="dxa" w:w="60"/>
              <w:right w:type="dxa" w:w="100"/>
            </w:tcMar>
          </w:tcPr>
          <w:p>
            <w:r>
              <w:rPr>
                <w:sz w:val="19"/>
                <w:szCs w:val="19"/>
              </w:rPr>
              <w:t xml:space="preserve">Langage</w:t>
            </w:r>
          </w:p>
        </w:tc>
        <w:tc>
          <w:tcPr>
            <w:tcW w:type="dxa" w:w="5820"/>
            <w:tcMar>
              <w:top w:type="dxa" w:w="60"/>
              <w:left w:type="dxa" w:w="100"/>
              <w:bottom w:type="dxa" w:w="60"/>
              <w:right w:type="dxa" w:w="100"/>
            </w:tcMar>
          </w:tcPr>
          <w:p>
            <w:r>
              <w:rPr>
                <w:sz w:val="19"/>
                <w:szCs w:val="19"/>
              </w:rPr>
              <w:t xml:space="preserve">TypeScript</w:t>
            </w:r>
          </w:p>
        </w:tc>
      </w:tr>
      <w:tr>
        <w:tc>
          <w:tcPr>
            <w:tcW w:type="dxa" w:w="3200"/>
            <w:tcMar>
              <w:top w:type="dxa" w:w="60"/>
              <w:left w:type="dxa" w:w="100"/>
              <w:bottom w:type="dxa" w:w="60"/>
              <w:right w:type="dxa" w:w="100"/>
            </w:tcMar>
          </w:tcPr>
          <w:p>
            <w:r>
              <w:rPr>
                <w:sz w:val="19"/>
                <w:szCs w:val="19"/>
              </w:rPr>
              <w:t xml:space="preserve">Style</w:t>
            </w:r>
          </w:p>
        </w:tc>
        <w:tc>
          <w:tcPr>
            <w:tcW w:type="dxa" w:w="5820"/>
            <w:tcMar>
              <w:top w:type="dxa" w:w="60"/>
              <w:left w:type="dxa" w:w="100"/>
              <w:bottom w:type="dxa" w:w="60"/>
              <w:right w:type="dxa" w:w="100"/>
            </w:tcMar>
          </w:tcPr>
          <w:p>
            <w:r>
              <w:rPr>
                <w:sz w:val="19"/>
                <w:szCs w:val="19"/>
              </w:rPr>
              <w:t xml:space="preserve">Tailwind CSS</w:t>
            </w:r>
          </w:p>
        </w:tc>
      </w:tr>
      <w:tr>
        <w:tc>
          <w:tcPr>
            <w:tcW w:type="dxa" w:w="3200"/>
            <w:tcMar>
              <w:top w:type="dxa" w:w="60"/>
              <w:left w:type="dxa" w:w="100"/>
              <w:bottom w:type="dxa" w:w="60"/>
              <w:right w:type="dxa" w:w="100"/>
            </w:tcMar>
          </w:tcPr>
          <w:p>
            <w:r>
              <w:rPr>
                <w:sz w:val="19"/>
                <w:szCs w:val="19"/>
              </w:rPr>
              <w:t xml:space="preserve">Routing</w:t>
            </w:r>
          </w:p>
        </w:tc>
        <w:tc>
          <w:tcPr>
            <w:tcW w:type="dxa" w:w="5820"/>
            <w:tcMar>
              <w:top w:type="dxa" w:w="60"/>
              <w:left w:type="dxa" w:w="100"/>
              <w:bottom w:type="dxa" w:w="60"/>
              <w:right w:type="dxa" w:w="100"/>
            </w:tcMar>
          </w:tcPr>
          <w:p>
            <w:r>
              <w:rPr>
                <w:sz w:val="19"/>
                <w:szCs w:val="19"/>
              </w:rPr>
              <w:t xml:space="preserve">React Router v6</w:t>
            </w:r>
          </w:p>
        </w:tc>
      </w:tr>
      <w:tr>
        <w:tc>
          <w:tcPr>
            <w:tcW w:type="dxa" w:w="3200"/>
            <w:tcMar>
              <w:top w:type="dxa" w:w="60"/>
              <w:left w:type="dxa" w:w="100"/>
              <w:bottom w:type="dxa" w:w="60"/>
              <w:right w:type="dxa" w:w="100"/>
            </w:tcMar>
          </w:tcPr>
          <w:p>
            <w:r>
              <w:rPr>
                <w:sz w:val="19"/>
                <w:szCs w:val="19"/>
              </w:rPr>
              <w:t xml:space="preserve">Gestion de données serveur (cache, requêtes)</w:t>
            </w:r>
          </w:p>
        </w:tc>
        <w:tc>
          <w:tcPr>
            <w:tcW w:type="dxa" w:w="5820"/>
            <w:tcMar>
              <w:top w:type="dxa" w:w="60"/>
              <w:left w:type="dxa" w:w="100"/>
              <w:bottom w:type="dxa" w:w="60"/>
              <w:right w:type="dxa" w:w="100"/>
            </w:tcMar>
          </w:tcPr>
          <w:p>
            <w:r>
              <w:rPr>
                <w:sz w:val="19"/>
                <w:szCs w:val="19"/>
              </w:rPr>
              <w:t xml:space="preserve">TanStack Query (React Query)</w:t>
            </w:r>
          </w:p>
        </w:tc>
      </w:tr>
      <w:tr>
        <w:tc>
          <w:tcPr>
            <w:tcW w:type="dxa" w:w="3200"/>
            <w:tcMar>
              <w:top w:type="dxa" w:w="60"/>
              <w:left w:type="dxa" w:w="100"/>
              <w:bottom w:type="dxa" w:w="60"/>
              <w:right w:type="dxa" w:w="100"/>
            </w:tcMar>
          </w:tcPr>
          <w:p>
            <w:r>
              <w:rPr>
                <w:sz w:val="19"/>
                <w:szCs w:val="19"/>
              </w:rPr>
              <w:t xml:space="preserve">État global client</w:t>
            </w:r>
          </w:p>
        </w:tc>
        <w:tc>
          <w:tcPr>
            <w:tcW w:type="dxa" w:w="5820"/>
            <w:tcMar>
              <w:top w:type="dxa" w:w="60"/>
              <w:left w:type="dxa" w:w="100"/>
              <w:bottom w:type="dxa" w:w="60"/>
              <w:right w:type="dxa" w:w="100"/>
            </w:tcMar>
          </w:tcPr>
          <w:p>
            <w:r>
              <w:rPr>
                <w:sz w:val="19"/>
                <w:szCs w:val="19"/>
              </w:rPr>
              <w:t xml:space="preserve">Zustand (avec persistance localStorage)</w:t>
            </w:r>
          </w:p>
        </w:tc>
      </w:tr>
      <w:tr>
        <w:tc>
          <w:tcPr>
            <w:tcW w:type="dxa" w:w="3200"/>
            <w:tcMar>
              <w:top w:type="dxa" w:w="60"/>
              <w:left w:type="dxa" w:w="100"/>
              <w:bottom w:type="dxa" w:w="60"/>
              <w:right w:type="dxa" w:w="100"/>
            </w:tcMar>
          </w:tcPr>
          <w:p>
            <w:r>
              <w:rPr>
                <w:sz w:val="19"/>
                <w:szCs w:val="19"/>
              </w:rPr>
              <w:t xml:space="preserve">Backend / base de données</w:t>
            </w:r>
          </w:p>
        </w:tc>
        <w:tc>
          <w:tcPr>
            <w:tcW w:type="dxa" w:w="5820"/>
            <w:tcMar>
              <w:top w:type="dxa" w:w="60"/>
              <w:left w:type="dxa" w:w="100"/>
              <w:bottom w:type="dxa" w:w="60"/>
              <w:right w:type="dxa" w:w="100"/>
            </w:tcMar>
          </w:tcPr>
          <w:p>
            <w:r>
              <w:rPr>
                <w:sz w:val="19"/>
                <w:szCs w:val="19"/>
              </w:rPr>
              <w:t xml:space="preserve">Supabase (PostgreSQL + Auth + Row Level Security + Edge Functions + Storage)</w:t>
            </w:r>
          </w:p>
        </w:tc>
      </w:tr>
      <w:tr>
        <w:tc>
          <w:tcPr>
            <w:tcW w:type="dxa" w:w="3200"/>
            <w:tcMar>
              <w:top w:type="dxa" w:w="60"/>
              <w:left w:type="dxa" w:w="100"/>
              <w:bottom w:type="dxa" w:w="60"/>
              <w:right w:type="dxa" w:w="100"/>
            </w:tcMar>
          </w:tcPr>
          <w:p>
            <w:r>
              <w:rPr>
                <w:sz w:val="19"/>
                <w:szCs w:val="19"/>
              </w:rPr>
              <w:t xml:space="preserve">Validation de formulaires</w:t>
            </w:r>
          </w:p>
        </w:tc>
        <w:tc>
          <w:tcPr>
            <w:tcW w:type="dxa" w:w="5820"/>
            <w:tcMar>
              <w:top w:type="dxa" w:w="60"/>
              <w:left w:type="dxa" w:w="100"/>
              <w:bottom w:type="dxa" w:w="60"/>
              <w:right w:type="dxa" w:w="100"/>
            </w:tcMar>
          </w:tcPr>
          <w:p>
            <w:r>
              <w:rPr>
                <w:sz w:val="19"/>
                <w:szCs w:val="19"/>
              </w:rPr>
              <w:t xml:space="preserve">Zod</w:t>
            </w:r>
          </w:p>
        </w:tc>
      </w:tr>
      <w:tr>
        <w:tc>
          <w:tcPr>
            <w:tcW w:type="dxa" w:w="3200"/>
            <w:tcMar>
              <w:top w:type="dxa" w:w="60"/>
              <w:left w:type="dxa" w:w="100"/>
              <w:bottom w:type="dxa" w:w="60"/>
              <w:right w:type="dxa" w:w="100"/>
            </w:tcMar>
          </w:tcPr>
          <w:p>
            <w:r>
              <w:rPr>
                <w:sz w:val="19"/>
                <w:szCs w:val="19"/>
              </w:rPr>
              <w:t xml:space="preserve">Graphiques</w:t>
            </w:r>
          </w:p>
        </w:tc>
        <w:tc>
          <w:tcPr>
            <w:tcW w:type="dxa" w:w="5820"/>
            <w:tcMar>
              <w:top w:type="dxa" w:w="60"/>
              <w:left w:type="dxa" w:w="100"/>
              <w:bottom w:type="dxa" w:w="60"/>
              <w:right w:type="dxa" w:w="100"/>
            </w:tcMar>
          </w:tcPr>
          <w:p>
            <w:r>
              <w:rPr>
                <w:sz w:val="19"/>
                <w:szCs w:val="19"/>
              </w:rPr>
              <w:t xml:space="preserve">Recharts</w:t>
            </w:r>
          </w:p>
        </w:tc>
      </w:tr>
      <w:tr>
        <w:tc>
          <w:tcPr>
            <w:tcW w:type="dxa" w:w="3200"/>
            <w:tcMar>
              <w:top w:type="dxa" w:w="60"/>
              <w:left w:type="dxa" w:w="100"/>
              <w:bottom w:type="dxa" w:w="60"/>
              <w:right w:type="dxa" w:w="100"/>
            </w:tcMar>
          </w:tcPr>
          <w:p>
            <w:r>
              <w:rPr>
                <w:sz w:val="19"/>
                <w:szCs w:val="19"/>
              </w:rPr>
              <w:t xml:space="preserve">Dates</w:t>
            </w:r>
          </w:p>
        </w:tc>
        <w:tc>
          <w:tcPr>
            <w:tcW w:type="dxa" w:w="5820"/>
            <w:tcMar>
              <w:top w:type="dxa" w:w="60"/>
              <w:left w:type="dxa" w:w="100"/>
              <w:bottom w:type="dxa" w:w="60"/>
              <w:right w:type="dxa" w:w="100"/>
            </w:tcMar>
          </w:tcPr>
          <w:p>
            <w:r>
              <w:rPr>
                <w:sz w:val="19"/>
                <w:szCs w:val="19"/>
              </w:rPr>
              <w:t xml:space="preserve">date-fns (locale fr)</w:t>
            </w:r>
          </w:p>
        </w:tc>
      </w:tr>
      <w:tr>
        <w:tc>
          <w:tcPr>
            <w:tcW w:type="dxa" w:w="3200"/>
            <w:tcMar>
              <w:top w:type="dxa" w:w="60"/>
              <w:left w:type="dxa" w:w="100"/>
              <w:bottom w:type="dxa" w:w="60"/>
              <w:right w:type="dxa" w:w="100"/>
            </w:tcMar>
          </w:tcPr>
          <w:p>
            <w:r>
              <w:rPr>
                <w:sz w:val="19"/>
                <w:szCs w:val="19"/>
              </w:rPr>
              <w:t xml:space="preserve">Email transactionnel</w:t>
            </w:r>
          </w:p>
        </w:tc>
        <w:tc>
          <w:tcPr>
            <w:tcW w:type="dxa" w:w="5820"/>
            <w:tcMar>
              <w:top w:type="dxa" w:w="60"/>
              <w:left w:type="dxa" w:w="100"/>
              <w:bottom w:type="dxa" w:w="60"/>
              <w:right w:type="dxa" w:w="100"/>
            </w:tcMar>
          </w:tcPr>
          <w:p>
            <w:r>
              <w:rPr>
                <w:sz w:val="19"/>
                <w:szCs w:val="19"/>
              </w:rPr>
              <w:t xml:space="preserve">Resend (via Edge Function Supabase)</w:t>
            </w:r>
          </w:p>
        </w:tc>
      </w:tr>
      <w:tr>
        <w:tc>
          <w:tcPr>
            <w:tcW w:type="dxa" w:w="3200"/>
            <w:tcMar>
              <w:top w:type="dxa" w:w="60"/>
              <w:left w:type="dxa" w:w="100"/>
              <w:bottom w:type="dxa" w:w="60"/>
              <w:right w:type="dxa" w:w="100"/>
            </w:tcMar>
          </w:tcPr>
          <w:p>
            <w:r>
              <w:rPr>
                <w:sz w:val="19"/>
                <w:szCs w:val="19"/>
              </w:rPr>
              <w:t xml:space="preserve">Protection anti-bot (inscription)</w:t>
            </w:r>
          </w:p>
        </w:tc>
        <w:tc>
          <w:tcPr>
            <w:tcW w:type="dxa" w:w="5820"/>
            <w:tcMar>
              <w:top w:type="dxa" w:w="60"/>
              <w:left w:type="dxa" w:w="100"/>
              <w:bottom w:type="dxa" w:w="60"/>
              <w:right w:type="dxa" w:w="100"/>
            </w:tcMar>
          </w:tcPr>
          <w:p>
            <w:r>
              <w:rPr>
                <w:sz w:val="19"/>
                <w:szCs w:val="19"/>
              </w:rPr>
              <w:t xml:space="preserve">Cloudflare Turnstile</w:t>
            </w:r>
          </w:p>
        </w:tc>
      </w:tr>
      <w:tr>
        <w:tc>
          <w:tcPr>
            <w:tcW w:type="dxa" w:w="3200"/>
            <w:tcMar>
              <w:top w:type="dxa" w:w="60"/>
              <w:left w:type="dxa" w:w="100"/>
              <w:bottom w:type="dxa" w:w="60"/>
              <w:right w:type="dxa" w:w="100"/>
            </w:tcMar>
          </w:tcPr>
          <w:p>
            <w:r>
              <w:rPr>
                <w:sz w:val="19"/>
                <w:szCs w:val="19"/>
              </w:rPr>
              <w:t xml:space="preserve">Monitoring d’erreurs</w:t>
            </w:r>
          </w:p>
        </w:tc>
        <w:tc>
          <w:tcPr>
            <w:tcW w:type="dxa" w:w="5820"/>
            <w:tcMar>
              <w:top w:type="dxa" w:w="60"/>
              <w:left w:type="dxa" w:w="100"/>
              <w:bottom w:type="dxa" w:w="60"/>
              <w:right w:type="dxa" w:w="100"/>
            </w:tcMar>
          </w:tcPr>
          <w:p>
            <w:r>
              <w:rPr>
                <w:sz w:val="19"/>
                <w:szCs w:val="19"/>
              </w:rPr>
              <w:t xml:space="preserve">Sentry (@sentry/react)</w:t>
            </w:r>
          </w:p>
        </w:tc>
      </w:tr>
    </w:tbl>
    <w:p>
      <w:pPr>
        <w:pStyle w:val="Heading2"/>
        <w:spacing w:after="150" w:before="300"/>
      </w:pPr>
      <w:r>
        <w:t xml:space="preserve">3.2 Commandes de développement</w:t>
      </w:r>
    </w:p>
    <w:p>
      <w:pPr>
        <w:pStyle w:val="ListParagraph"/>
        <w:numPr>
          <w:ilvl w:val="0"/>
          <w:numId w:val="2"/>
        </w:numPr>
        <w:spacing w:after="100"/>
      </w:pPr>
      <w:r>
        <w:t xml:space="preserve">npm run dev — démarre le serveur de développement sur http://localhost:3000</w:t>
      </w:r>
    </w:p>
    <w:p>
      <w:pPr>
        <w:pStyle w:val="ListParagraph"/>
        <w:numPr>
          <w:ilvl w:val="0"/>
          <w:numId w:val="2"/>
        </w:numPr>
        <w:spacing w:after="100"/>
      </w:pPr>
      <w:r>
        <w:t xml:space="preserve">npm run build — vérification TypeScript puis build de production (tsc &amp;&amp; vite build)</w:t>
      </w:r>
    </w:p>
    <w:p>
      <w:pPr>
        <w:pStyle w:val="ListParagraph"/>
        <w:numPr>
          <w:ilvl w:val="0"/>
          <w:numId w:val="2"/>
        </w:numPr>
        <w:spacing w:after="100"/>
      </w:pPr>
      <w:r>
        <w:t xml:space="preserve">npm run preview — prévisualise le build de production en local</w:t>
      </w:r>
    </w:p>
    <w:p>
      <w:pPr>
        <w:pStyle w:val="ListParagraph"/>
        <w:numPr>
          <w:ilvl w:val="0"/>
          <w:numId w:val="2"/>
        </w:numPr>
        <w:spacing w:after="100"/>
      </w:pPr>
      <w:r>
        <w:t xml:space="preserve">npm run lint — ESLint sur l'ensemble des fichiers .ts/.tsx du dossier src/</w:t>
      </w:r>
    </w:p>
    <w:p>
      <w:pPr>
        <w:spacing w:after="160" w:line="300"/>
      </w:pPr>
      <w:r>
        <w:t xml:space="preserve">Variables d'environnement : copier .env.example en .env.local et renseigner VITE_SUPABASE_URL et VITE_SUPABASE_ANON_KEY. Deux variables optionnelles activent des fonctionnalités supplémentaires sans bloquer l'application si elles sont absentes : VITE_TURNSTILE_SITE_KEY (protection anti-bot à l'inscription, section 6.2) et VITE_SENTRY_DSN (remontée automatique des erreurs, section 3.7).</w:t>
      </w:r>
    </w:p>
    <w:p>
      <w:pPr>
        <w:pStyle w:val="Heading2"/>
        <w:spacing w:after="150" w:before="300"/>
      </w:pPr>
      <w:r>
        <w:t xml:space="preserve">3.3 Alias de chemin</w:t>
      </w:r>
    </w:p>
    <w:p>
      <w:pPr>
        <w:spacing w:after="160" w:line="300"/>
      </w:pPr>
      <w:r>
        <w:t xml:space="preserve">L'alias @/ pointe vers le dossier src/ (configuré dans vite.config.ts). L'ensemble du code utilise cet alias plutôt que des chemins relatifs.</w:t>
      </w:r>
    </w:p>
    <w:p>
      <w:pPr>
        <w:pStyle w:val="Heading2"/>
        <w:spacing w:after="150" w:before="300"/>
      </w:pPr>
      <w:r>
        <w:t xml:space="preserve">3.4 Organisation du code</w:t>
      </w:r>
    </w:p>
    <w:p>
      <w:pPr>
        <w:pStyle w:val="ListParagraph"/>
        <w:numPr>
          <w:ilvl w:val="0"/>
          <w:numId w:val="2"/>
        </w:numPr>
        <w:spacing w:after="100"/>
      </w:pPr>
      <w:r>
        <w:t xml:space="preserve">src/pages/ — une page par route (voir table des routes, section 13)</w:t>
      </w:r>
    </w:p>
    <w:p>
      <w:pPr>
        <w:pStyle w:val="ListParagraph"/>
        <w:numPr>
          <w:ilvl w:val="0"/>
          <w:numId w:val="2"/>
        </w:numPr>
        <w:spacing w:after="100"/>
      </w:pPr>
      <w:r>
        <w:t xml:space="preserve">src/components/ — composants réutilisables, organisés par domaine (auth/, ui/, doctor/, appointment/, search/)</w:t>
      </w:r>
    </w:p>
    <w:p>
      <w:pPr>
        <w:pStyle w:val="ListParagraph"/>
        <w:numPr>
          <w:ilvl w:val="0"/>
          <w:numId w:val="2"/>
        </w:numPr>
        <w:spacing w:after="100"/>
      </w:pPr>
      <w:r>
        <w:t xml:space="preserve">src/hooks/useData.ts — couche de données unique : tous les appels Supabase de l'application (environ 70 hooks TanStack Query), il n'existe pas de couche service séparée</w:t>
      </w:r>
    </w:p>
    <w:p>
      <w:pPr>
        <w:pStyle w:val="ListParagraph"/>
        <w:numPr>
          <w:ilvl w:val="0"/>
          <w:numId w:val="2"/>
        </w:numPr>
        <w:spacing w:after="100"/>
      </w:pPr>
      <w:r>
        <w:t xml:space="preserve">src/lib/ — utilitaires transverses (store d'authentification, client Supabase, listes fermées de référence, sanitisation HTML)</w:t>
      </w:r>
    </w:p>
    <w:p>
      <w:pPr>
        <w:pStyle w:val="ListParagraph"/>
        <w:numPr>
          <w:ilvl w:val="0"/>
          <w:numId w:val="2"/>
        </w:numPr>
        <w:spacing w:after="100"/>
      </w:pPr>
      <w:r>
        <w:t xml:space="preserve">src/types/index.ts — interfaces TypeScript de toutes les entités métier</w:t>
      </w:r>
    </w:p>
    <w:p>
      <w:pPr>
        <w:pStyle w:val="ListParagraph"/>
        <w:numPr>
          <w:ilvl w:val="0"/>
          <w:numId w:val="2"/>
        </w:numPr>
        <w:spacing w:after="100"/>
      </w:pPr>
      <w:r>
        <w:t>supabase/migrations/ — historique SQL versionné (125 fichiers à ce jour)</w:t>
      </w:r>
    </w:p>
    <w:p>
      <w:pPr>
        <w:pStyle w:val="ListParagraph"/>
        <w:numPr>
          <w:ilvl w:val="0"/>
          <w:numId w:val="2"/>
        </w:numPr>
        <w:spacing w:after="100"/>
      </w:pPr>
      <w:r>
        <w:t xml:space="preserve">supabase/functions/ — Edge Functions Deno (emails transactionnels)</w:t>
      </w:r>
    </w:p>
    <w:p>
      <w:pPr>
        <w:pStyle w:val="Heading2"/>
        <w:spacing w:after="150" w:before="300"/>
      </w:pPr>
      <w:r>
        <w:t xml:space="preserve">3.5 Authentification et état global</w:t>
      </w:r>
    </w:p>
    <w:p>
      <w:pPr>
        <w:spacing w:after="160" w:line="300"/>
      </w:pPr>
      <w:r>
        <w:t xml:space="preserve">Le store Zustand (src/lib/authStore.ts) est persisté sous la clé localStorage pawcare-auth et contient les objets user et profile. Cette persistance est indispensable pour que la session survive à un rafraîchissement de page. Le champ loading démarre à false car le persist restaure déjà la session avant même le premier appel réseau.</w:t>
      </w:r>
    </w:p>
    <w:p>
      <w:pPr>
        <w:spacing w:after="160" w:line="300"/>
      </w:pPr>
      <w:r>
        <w:t xml:space="preserve">App.tsx s'abonne à supabase.auth.onAuthStateChange et n'hydrate le store (via le RPC get_my_user_data) que sur les événements SIGNED_IN, SIGNED_OUT et INITIAL_SESSION — jamais sur TOKEN_REFRESHED, pour éviter des requêtes redondantes à chaque rafraîchissement silencieux du token. Un timeout de 8 secondes protège contre un blocage indéfini de l'interface.</w:t>
      </w:r>
    </w:p>
    <w:p>
      <w:pPr>
        <w:spacing w:after="160" w:line="300"/>
      </w:pPr>
      <w:r>
        <w:t>ProtectedRoute (src/components/auth/ProtectedRoute.tsx) protège les routes par rôle : redirection vers /login si non connecté, vers / si le rôle ne correspond pas à la route (une route peut accepter un tableau de rôles, par exemple /animal/:id accessible aux patients et aux praticiens). Un compte avec is_admin = true contourne systématiquement ces vérifications, quel que soit son rôle principal (voir section 2.3). Un écran « Chargement... » s'affiche tant que loading vaut true.</w:t>
      </w:r>
    </w:p>
    <w:p>
      <w:pPr>
        <w:spacing w:after="160" w:line="300"/>
      </w:pPr>
      <w:r>
        <w:t xml:space="preserve">La déconnexion vide l'état local du store immédiatement, sans attendre la réponse de Supabase (fire-and-forget), afin d'éviter tout blocage de l'interface en cas de latence réseau.</w:t>
      </w:r>
    </w:p>
    <w:p>
      <w:pPr>
        <w:pStyle w:val="Heading2"/>
        <w:spacing w:after="150" w:before="300"/>
      </w:pPr>
      <w:r>
        <w:t xml:space="preserve">3.6 Couche de données (useData.ts)</w:t>
      </w:r>
    </w:p>
    <w:p>
      <w:pPr>
        <w:spacing w:after="160" w:line="300"/>
      </w:pPr>
      <w:r>
        <w:t xml:space="preserve">Toutes les requêtes Supabase transitent par des hooks TanStack Query définis dans src/hooks/useData.ts. Les clés de cache suivent la convention [entité, id ou filtres]. Chaque mutation invalide, après succès, les clés de requête liées afin de garder l'interface synchronisée. Deux hooks fonctionnent par polling plutôt que par abonnement temps réel strict : useConversation (messagerie, toutes les 5 secondes) et useClinicAppointments (agenda de cabinet, toutes les 10 secondes).</w:t>
      </w:r>
    </w:p>
    <w:p>
      <w:pPr>
        <w:pBdr>
          <w:left w:val="single" w:color="F2820F" w:sz="18"/>
        </w:pBdr>
        <w:shd w:fill="FFF6E6" w:val="clear"/>
        <w:spacing w:after="200" w:before="100"/>
        <w:ind w:left="200"/>
      </w:pPr>
      <w:r>
        <w:rPr>
          <w:i/>
          <w:iCs/>
          <w:color w:val="6B5B3D"/>
          <w:sz w:val="20"/>
          <w:szCs w:val="20"/>
        </w:rPr>
        <w:t xml:space="preserve">Règle de conception récurrente dans la base de code : lorsqu'une jointure PostgREST directe se heurte à une politique RLS trop restrictive pour être traversée (par exemple lire le profil d'un tiers), le code effectue deux requêtes séparées — la requête principale, puis une requête complémentaire sur les identifiants collectés — et fusionne les résultats côté client plutôt que de tenter une jointure imbriquée bloquée par le RLS.</w:t>
      </w:r>
    </w:p>
    <w:p>
      <w:pPr>
        <w:pStyle w:val="Heading2"/>
        <w:spacing w:after="150" w:before="300"/>
      </w:pPr>
      <w:r>
        <w:t xml:space="preserve">3.7 Monitoring et protection anti-bot</w:t>
      </w:r>
    </w:p>
    <w:p>
      <w:pPr>
        <w:spacing w:after="160" w:line="300"/>
      </w:pPr>
      <w:r>
        <w:t xml:space="preserve">Deux services tiers, tous deux optionnels et désactivés proprement si leur variable d'environnement respective est absente (aucun blocage de l'application) :</w:t>
      </w:r>
    </w:p>
    <w:p>
      <w:pPr>
        <w:pStyle w:val="ListParagraph"/>
        <w:numPr>
          <w:ilvl w:val="0"/>
          <w:numId w:val="2"/>
        </w:numPr>
        <w:spacing w:after="100"/>
      </w:pPr>
      <w:r>
        <w:t xml:space="preserve">Cloudflare Turnstile (src/components/ui/Turnstile.tsx) — widget anti-bot affiché sur le formulaire d'inscription (/register, section 6.2). Le jeton produit est transmis à supabase.auth.signUp via options.captchaToken ; la vérification du jeton est effectuée côté Supabase Auth (clé secrète Turnstile configurée dans Authentication → Attack Protection du dashboard Supabase, jamais dans le code).</w:t>
      </w:r>
    </w:p>
    <w:p>
      <w:pPr>
        <w:pStyle w:val="ListParagraph"/>
        <w:numPr>
          <w:ilvl w:val="0"/>
          <w:numId w:val="2"/>
        </w:numPr>
        <w:spacing w:after="100"/>
      </w:pPr>
      <w:r>
        <w:t xml:space="preserve">Sentry (@sentry/react, initialisé dans src/main.tsx) — capture automatiquement les exceptions JavaScript et les erreurs de rendu React en production, avec la pile d'appel, la page concernée et le navigateur. L'application est enveloppée dans un Sentry.ErrorBoundary qui affiche un écran de secours (plutôt qu'une page blanche) si un composant plante. Compte créé sur un essai 14 jours à volume illimité, puis plan gratuit (5 000 erreurs/mois) sans carte bancaire requise. Point d'attention critique découvert le 21 juillet 2026 : activer la protection captcha dans Supabase Auth (Attack Protection) l'applique à toutes les routes d'authentification (signUp, signInWithPassword, resetPasswordForEmail), pas seulement à l'inscription. Le widget Turnstile n'avait été ajouté qu'à /register : plus personne ne pouvait se connecter ni réinitialiser son mot de passe jusqu'à ce que le widget soit également ajouté à /login et /forgot-password. Toute nouvelle route appelant une méthode supabase.auth.* doit désormais transmettre options.captchaToken si la protection captcha est active.</w:t>
      </w:r>
    </w:p>
    <w:p>
      <w:pPr>
        <w:pStyle w:val="Heading1"/>
        <w:spacing w:after="200" w:before="400"/>
      </w:pPr>
      <w:r>
        <w:t xml:space="preserve">4. Modèle de données</w:t>
      </w:r>
    </w:p>
    <w:p>
      <w:pPr>
        <w:spacing w:after="160" w:line="300"/>
      </w:pPr>
      <w:r>
        <w:t>Le schéma de base (enums, tables principales, RLS) est versionné dans supabase/migrations/001_schema.sql, complété par 124 migrations correctives et additives. Sept tables (animals, vaccines, weight_tracking, health_records, clinics, clinic_members, clinic_services) ont été créées directement depuis le tableau de bord Supabase et n'apparaissent dans aucune migration committée : leur schéma ci-dessous est donc reconstitué à partir de leur usage réel dans le code TypeScript (src/types/index.ts et src/hooks/useData.ts), pas d'un fichier SQL source. Ce point est confirmé explicitement par un commentaire de la migration 023.</w:t>
      </w:r>
    </w:p>
    <w:p>
      <w:pPr>
        <w:pBdr>
          <w:left w:val="single" w:color="F2820F" w:sz="18"/>
        </w:pBdr>
        <w:shd w:fill="FFF6E6" w:val="clear"/>
        <w:spacing w:after="200" w:before="100"/>
        <w:ind w:left="200"/>
      </w:pPr>
      <w:r>
        <w:rPr>
          <w:i/>
          <w:iCs/>
          <w:color w:val="6B5B3D"/>
          <w:sz w:val="20"/>
          <w:szCs w:val="20"/>
        </w:rPr>
        <w:t xml:space="preserve">Pour reprendre intégralement le projet, un développeur devra donc, en plus d'exécuter les migrations SQL committées, recréer manuellement (ou exporter depuis le projet Supabase existant) le schéma de ces sept tables.</w:t>
      </w:r>
    </w:p>
    <w:p>
      <w:pPr>
        <w:pStyle w:val="Heading2"/>
        <w:spacing w:after="150" w:before="300"/>
      </w:pPr>
      <w:r>
        <w:t xml:space="preserve">4.1 Comptes et profils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0"/>
      </w:tblGrid>
      <w:tr>
        <w:trPr>
          <w:tblHeader/>
        </w:trPr>
        <w:tc>
          <w:tcPr>
            <w:tcW w:type="dxa" w:w="1800"/>
            <w:shd w:fill="F2820F" w:val="clear"/>
            <w:tcMar>
              <w:top w:type="dxa" w:w="80"/>
              <w:left w:type="dxa" w:w="100"/>
              <w:bottom w:type="dxa" w:w="80"/>
              <w:right w:type="dxa" w:w="100"/>
            </w:tcMar>
          </w:tcPr>
          <w:p>
            <w:r>
              <w:rPr>
                <w:b/>
                <w:bCs/>
                <w:color w:val="FFFFFF"/>
                <w:sz w:val="19"/>
                <w:szCs w:val="19"/>
              </w:rPr>
              <w:t xml:space="preserve">Table</w:t>
            </w:r>
          </w:p>
        </w:tc>
        <w:tc>
          <w:tcPr>
            <w:tcW w:type="dxa" w:w="3700"/>
            <w:shd w:fill="F2820F" w:val="clear"/>
            <w:tcMar>
              <w:top w:type="dxa" w:w="80"/>
              <w:left w:type="dxa" w:w="100"/>
              <w:bottom w:type="dxa" w:w="80"/>
              <w:right w:type="dxa" w:w="100"/>
            </w:tcMar>
          </w:tcPr>
          <w:p>
            <w:r>
              <w:rPr>
                <w:b/>
                <w:bCs/>
                <w:color w:val="FFFFFF"/>
                <w:sz w:val="19"/>
                <w:szCs w:val="19"/>
              </w:rPr>
              <w:t xml:space="preserve">Rôle</w:t>
            </w:r>
          </w:p>
        </w:tc>
        <w:tc>
          <w:tcPr>
            <w:tcW w:type="dxa" w:w="3520"/>
            <w:shd w:fill="F2820F" w:val="clear"/>
            <w:tcMar>
              <w:top w:type="dxa" w:w="80"/>
              <w:left w:type="dxa" w:w="100"/>
              <w:bottom w:type="dxa" w:w="80"/>
              <w:right w:type="dxa" w:w="100"/>
            </w:tcMar>
          </w:tcPr>
          <w:p>
            <w:r>
              <w:rPr>
                <w:b/>
                <w:bCs/>
                <w:color w:val="FFFFFF"/>
                <w:sz w:val="19"/>
                <w:szCs w:val="19"/>
              </w:rPr>
              <w:t xml:space="preserve">Champs clés</w:t>
            </w:r>
          </w:p>
        </w:tc>
      </w:tr>
      <w:tr>
        <w:tc>
          <w:tcPr>
            <w:tcW w:type="dxa" w:w="1800"/>
            <w:tcMar>
              <w:top w:type="dxa" w:w="60"/>
              <w:left w:type="dxa" w:w="100"/>
              <w:bottom w:type="dxa" w:w="60"/>
              <w:right w:type="dxa" w:w="100"/>
            </w:tcMar>
          </w:tcPr>
          <w:p>
            <w:r>
              <w:rPr>
                <w:sz w:val="19"/>
                <w:szCs w:val="19"/>
              </w:rPr>
              <w:t xml:space="preserve">users</w:t>
            </w:r>
          </w:p>
        </w:tc>
        <w:tc>
          <w:tcPr>
            <w:tcW w:type="dxa" w:w="3700"/>
            <w:tcMar>
              <w:top w:type="dxa" w:w="60"/>
              <w:left w:type="dxa" w:w="100"/>
              <w:bottom w:type="dxa" w:w="60"/>
              <w:right w:type="dxa" w:w="100"/>
            </w:tcMar>
          </w:tcPr>
          <w:p>
            <w:r>
              <w:rPr>
                <w:sz w:val="19"/>
                <w:szCs w:val="19"/>
              </w:rPr>
              <w:t xml:space="preserve">Identité + rôle applicatif (miroir de auth.users)</w:t>
            </w:r>
          </w:p>
        </w:tc>
        <w:tc>
          <w:tcPr>
            <w:tcW w:type="dxa" w:w="3520"/>
            <w:tcMar>
              <w:top w:type="dxa" w:w="60"/>
              <w:left w:type="dxa" w:w="100"/>
              <w:bottom w:type="dxa" w:w="60"/>
              <w:right w:type="dxa" w:w="100"/>
            </w:tcMar>
          </w:tcPr>
          <w:p>
            <w:r>
              <w:rPr>
                <w:sz w:val="19"/>
                <w:szCs w:val="19"/>
              </w:rPr>
              <w:t xml:space="preserve">id, role (patient / doctor / admin), email</w:t>
            </w:r>
          </w:p>
        </w:tc>
      </w:tr>
      <w:tr>
        <w:tc>
          <w:tcPr>
            <w:tcW w:type="dxa" w:w="1800"/>
            <w:tcMar>
              <w:top w:type="dxa" w:w="60"/>
              <w:left w:type="dxa" w:w="100"/>
              <w:bottom w:type="dxa" w:w="60"/>
              <w:right w:type="dxa" w:w="100"/>
            </w:tcMar>
          </w:tcPr>
          <w:p>
            <w:r>
              <w:rPr>
                <w:sz w:val="19"/>
                <w:szCs w:val="19"/>
              </w:rPr>
              <w:t xml:space="preserve">profiles</w:t>
            </w:r>
          </w:p>
        </w:tc>
        <w:tc>
          <w:tcPr>
            <w:tcW w:type="dxa" w:w="3700"/>
            <w:tcMar>
              <w:top w:type="dxa" w:w="60"/>
              <w:left w:type="dxa" w:w="100"/>
              <w:bottom w:type="dxa" w:w="60"/>
              <w:right w:type="dxa" w:w="100"/>
            </w:tcMar>
          </w:tcPr>
          <w:p>
            <w:r>
              <w:rPr>
                <w:sz w:val="19"/>
                <w:szCs w:val="19"/>
              </w:rPr>
              <w:t xml:space="preserve">Informations personnelles communes à tous les rôles</w:t>
            </w:r>
          </w:p>
        </w:tc>
        <w:tc>
          <w:tcPr>
            <w:tcW w:type="dxa" w:w="3520"/>
            <w:tcMar>
              <w:top w:type="dxa" w:w="60"/>
              <w:left w:type="dxa" w:w="100"/>
              <w:bottom w:type="dxa" w:w="60"/>
              <w:right w:type="dxa" w:w="100"/>
            </w:tcMar>
          </w:tcPr>
          <w:p>
            <w:r>
              <w:rPr>
                <w:sz w:val="19"/>
                <w:szCs w:val="19"/>
              </w:rPr>
              <w:t xml:space="preserve">user_id, first_name, last_name, phone, avatar_url, emergency_contact_name, emergency_contact_phone</w:t>
            </w:r>
          </w:p>
        </w:tc>
      </w:tr>
      <w:tr>
        <w:tc>
          <w:tcPr>
            <w:tcW w:type="dxa" w:w="1800"/>
            <w:tcMar>
              <w:top w:type="dxa" w:w="60"/>
              <w:left w:type="dxa" w:w="100"/>
              <w:bottom w:type="dxa" w:w="60"/>
              <w:right w:type="dxa" w:w="100"/>
            </w:tcMar>
          </w:tcPr>
          <w:p>
            <w:r>
              <w:rPr>
                <w:sz w:val="19"/>
                <w:szCs w:val="19"/>
              </w:rPr>
              <w:t xml:space="preserve">doctors</w:t>
            </w:r>
          </w:p>
        </w:tc>
        <w:tc>
          <w:tcPr>
            <w:tcW w:type="dxa" w:w="3700"/>
            <w:tcMar>
              <w:top w:type="dxa" w:w="60"/>
              <w:left w:type="dxa" w:w="100"/>
              <w:bottom w:type="dxa" w:w="60"/>
              <w:right w:type="dxa" w:w="100"/>
            </w:tcMar>
          </w:tcPr>
          <w:p>
            <w:r>
              <w:rPr>
                <w:sz w:val="19"/>
                <w:szCs w:val="19"/>
              </w:rPr>
              <w:t xml:space="preserve">Informations spécifiques aux praticiens</w:t>
            </w:r>
          </w:p>
        </w:tc>
        <w:tc>
          <w:tcPr>
            <w:tcW w:type="dxa" w:w="3520"/>
            <w:tcMar>
              <w:top w:type="dxa" w:w="60"/>
              <w:left w:type="dxa" w:w="100"/>
              <w:bottom w:type="dxa" w:w="60"/>
              <w:right w:type="dxa" w:w="100"/>
            </w:tcMar>
          </w:tcPr>
          <w:p>
            <w:r>
              <w:rPr>
                <w:sz w:val="19"/>
                <w:szCs w:val="19"/>
              </w:rPr>
              <w:t xml:space="preserve">id, user_id, specialty, rpps_number, bio (HTML sanitisé), consultation_price, address, city, lat/lng, accepted_species (tableau texte), home_visit (booléen), is_verified, average_rating, review_count</w:t>
            </w:r>
          </w:p>
        </w:tc>
      </w:tr>
    </w:tbl>
    <w:p>
      <w:pPr>
        <w:spacing w:after="160" w:line="300"/>
      </w:pPr>
      <w:r>
        <w:t xml:space="preserve">La création d'un compte déclenche le trigger handle_new_user (SQL, sur auth.users) qui crée automatiquement les lignes correspondantes dans users, profiles et, si le rôle est doctor, dans doctors, à partir des métadonnées transmises par le formulaire d'inscription (raw_user_meta_data).</w:t>
      </w:r>
    </w:p>
    <w:p>
      <w:pPr>
        <w:pStyle w:val="Heading2"/>
        <w:spacing w:after="150" w:before="300"/>
      </w:pPr>
      <w:r>
        <w:t xml:space="preserve">4.2 Agenda et rendez-vous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0"/>
      </w:tblGrid>
      <w:tr>
        <w:trPr>
          <w:tblHeader/>
        </w:trPr>
        <w:tc>
          <w:tcPr>
            <w:tcW w:type="dxa" w:w="2000"/>
            <w:shd w:fill="F2820F" w:val="clear"/>
            <w:tcMar>
              <w:top w:type="dxa" w:w="80"/>
              <w:left w:type="dxa" w:w="100"/>
              <w:bottom w:type="dxa" w:w="80"/>
              <w:right w:type="dxa" w:w="100"/>
            </w:tcMar>
          </w:tcPr>
          <w:p>
            <w:r>
              <w:rPr>
                <w:b/>
                <w:bCs/>
                <w:color w:val="FFFFFF"/>
                <w:sz w:val="19"/>
                <w:szCs w:val="19"/>
              </w:rPr>
              <w:t xml:space="preserve">Table</w:t>
            </w:r>
          </w:p>
        </w:tc>
        <w:tc>
          <w:tcPr>
            <w:tcW w:type="dxa" w:w="3800"/>
            <w:shd w:fill="F2820F" w:val="clear"/>
            <w:tcMar>
              <w:top w:type="dxa" w:w="80"/>
              <w:left w:type="dxa" w:w="100"/>
              <w:bottom w:type="dxa" w:w="80"/>
              <w:right w:type="dxa" w:w="100"/>
            </w:tcMar>
          </w:tcPr>
          <w:p>
            <w:r>
              <w:rPr>
                <w:b/>
                <w:bCs/>
                <w:color w:val="FFFFFF"/>
                <w:sz w:val="19"/>
                <w:szCs w:val="19"/>
              </w:rPr>
              <w:t xml:space="preserve">Rôle</w:t>
            </w:r>
          </w:p>
        </w:tc>
        <w:tc>
          <w:tcPr>
            <w:tcW w:type="dxa" w:w="3220"/>
            <w:shd w:fill="F2820F" w:val="clear"/>
            <w:tcMar>
              <w:top w:type="dxa" w:w="80"/>
              <w:left w:type="dxa" w:w="100"/>
              <w:bottom w:type="dxa" w:w="80"/>
              <w:right w:type="dxa" w:w="100"/>
            </w:tcMar>
          </w:tcPr>
          <w:p>
            <w:r>
              <w:rPr>
                <w:b/>
                <w:bCs/>
                <w:color w:val="FFFFFF"/>
                <w:sz w:val="19"/>
                <w:szCs w:val="19"/>
              </w:rPr>
              <w:t xml:space="preserve">Champs clés</w:t>
            </w:r>
          </w:p>
        </w:tc>
      </w:tr>
      <w:tr>
        <w:tc>
          <w:tcPr>
            <w:tcW w:type="dxa" w:w="2000"/>
            <w:tcMar>
              <w:top w:type="dxa" w:w="60"/>
              <w:left w:type="dxa" w:w="100"/>
              <w:bottom w:type="dxa" w:w="60"/>
              <w:right w:type="dxa" w:w="100"/>
            </w:tcMar>
          </w:tcPr>
          <w:p>
            <w:r>
              <w:rPr>
                <w:sz w:val="19"/>
                <w:szCs w:val="19"/>
              </w:rPr>
              <w:t xml:space="preserve">availabilities</w:t>
            </w:r>
          </w:p>
        </w:tc>
        <w:tc>
          <w:tcPr>
            <w:tcW w:type="dxa" w:w="3800"/>
            <w:tcMar>
              <w:top w:type="dxa" w:w="60"/>
              <w:left w:type="dxa" w:w="100"/>
              <w:bottom w:type="dxa" w:w="60"/>
              <w:right w:type="dxa" w:w="100"/>
            </w:tcMar>
          </w:tcPr>
          <w:p>
            <w:r>
              <w:rPr>
                <w:sz w:val="19"/>
                <w:szCs w:val="19"/>
              </w:rPr>
              <w:t xml:space="preserve">Créneaux récurrents hebdomadaires d'un praticien</w:t>
            </w:r>
          </w:p>
        </w:tc>
        <w:tc>
          <w:tcPr>
            <w:tcW w:type="dxa" w:w="3220"/>
            <w:tcMar>
              <w:top w:type="dxa" w:w="60"/>
              <w:left w:type="dxa" w:w="100"/>
              <w:bottom w:type="dxa" w:w="60"/>
              <w:right w:type="dxa" w:w="100"/>
            </w:tcMar>
          </w:tcPr>
          <w:p>
            <w:r>
              <w:rPr>
                <w:sz w:val="19"/>
                <w:szCs w:val="19"/>
              </w:rPr>
              <w:t xml:space="preserve">doctor_id, day_of_week, start_time, end_time, slot_duration_minutes</w:t>
            </w:r>
          </w:p>
        </w:tc>
      </w:tr>
      <w:tr>
        <w:tc>
          <w:tcPr>
            <w:tcW w:type="dxa" w:w="2000"/>
            <w:tcMar>
              <w:top w:type="dxa" w:w="60"/>
              <w:left w:type="dxa" w:w="100"/>
              <w:bottom w:type="dxa" w:w="60"/>
              <w:right w:type="dxa" w:w="100"/>
            </w:tcMar>
          </w:tcPr>
          <w:p>
            <w:r>
              <w:rPr>
                <w:sz w:val="19"/>
                <w:szCs w:val="19"/>
              </w:rPr>
              <w:t xml:space="preserve">blocked_slots</w:t>
            </w:r>
          </w:p>
        </w:tc>
        <w:tc>
          <w:tcPr>
            <w:tcW w:type="dxa" w:w="3800"/>
            <w:tcMar>
              <w:top w:type="dxa" w:w="60"/>
              <w:left w:type="dxa" w:w="100"/>
              <w:bottom w:type="dxa" w:w="60"/>
              <w:right w:type="dxa" w:w="100"/>
            </w:tcMar>
          </w:tcPr>
          <w:p>
            <w:r>
              <w:rPr>
                <w:sz w:val="19"/>
                <w:szCs w:val="19"/>
              </w:rPr>
              <w:t xml:space="preserve">Périodes bloquées (congés, indisponibilités ponctuelles)</w:t>
            </w:r>
          </w:p>
        </w:tc>
        <w:tc>
          <w:tcPr>
            <w:tcW w:type="dxa" w:w="3220"/>
            <w:tcMar>
              <w:top w:type="dxa" w:w="60"/>
              <w:left w:type="dxa" w:w="100"/>
              <w:bottom w:type="dxa" w:w="60"/>
              <w:right w:type="dxa" w:w="100"/>
            </w:tcMar>
          </w:tcPr>
          <w:p>
            <w:r>
              <w:rPr>
                <w:sz w:val="19"/>
                <w:szCs w:val="19"/>
              </w:rPr>
              <w:t xml:space="preserve">doctor_id, start_at, end_at</w:t>
            </w:r>
          </w:p>
        </w:tc>
      </w:tr>
      <w:tr>
        <w:tc>
          <w:tcPr>
            <w:tcW w:type="dxa" w:w="2000"/>
            <w:tcMar>
              <w:top w:type="dxa" w:w="60"/>
              <w:left w:type="dxa" w:w="100"/>
              <w:bottom w:type="dxa" w:w="60"/>
              <w:right w:type="dxa" w:w="100"/>
            </w:tcMar>
          </w:tcPr>
          <w:p>
            <w:r>
              <w:rPr>
                <w:sz w:val="19"/>
                <w:szCs w:val="19"/>
              </w:rPr>
              <w:t xml:space="preserve">appointments</w:t>
            </w:r>
          </w:p>
        </w:tc>
        <w:tc>
          <w:tcPr>
            <w:tcW w:type="dxa" w:w="3800"/>
            <w:tcMar>
              <w:top w:type="dxa" w:w="60"/>
              <w:left w:type="dxa" w:w="100"/>
              <w:bottom w:type="dxa" w:w="60"/>
              <w:right w:type="dxa" w:w="100"/>
            </w:tcMar>
          </w:tcPr>
          <w:p>
            <w:r>
              <w:rPr>
                <w:sz w:val="19"/>
                <w:szCs w:val="19"/>
              </w:rPr>
              <w:t xml:space="preserve">Rendez-vous</w:t>
            </w:r>
          </w:p>
        </w:tc>
        <w:tc>
          <w:tcPr>
            <w:tcW w:type="dxa" w:w="3220"/>
            <w:tcMar>
              <w:top w:type="dxa" w:w="60"/>
              <w:left w:type="dxa" w:w="100"/>
              <w:bottom w:type="dxa" w:w="60"/>
              <w:right w:type="dxa" w:w="100"/>
            </w:tcMar>
          </w:tcPr>
          <w:p>
            <w:r>
              <w:rPr>
                <w:sz w:val="19"/>
                <w:szCs w:val="19"/>
              </w:rPr>
              <w:t xml:space="preserve">id, patient_id, doctor_id, start_at, status (pending / confirmed / cancelled / completed / no_show), reason, animal_id (lien historique unique, nullable)</w:t>
            </w:r>
          </w:p>
        </w:tc>
      </w:tr>
      <w:tr>
        <w:tc>
          <w:tcPr>
            <w:tcW w:type="dxa" w:w="2000"/>
            <w:tcMar>
              <w:top w:type="dxa" w:w="60"/>
              <w:left w:type="dxa" w:w="100"/>
              <w:bottom w:type="dxa" w:w="60"/>
              <w:right w:type="dxa" w:w="100"/>
            </w:tcMar>
          </w:tcPr>
          <w:p>
            <w:r>
              <w:rPr>
                <w:sz w:val="19"/>
                <w:szCs w:val="19"/>
              </w:rPr>
              <w:t xml:space="preserve">appointment_animals</w:t>
            </w:r>
          </w:p>
        </w:tc>
        <w:tc>
          <w:tcPr>
            <w:tcW w:type="dxa" w:w="3800"/>
            <w:tcMar>
              <w:top w:type="dxa" w:w="60"/>
              <w:left w:type="dxa" w:w="100"/>
              <w:bottom w:type="dxa" w:w="60"/>
              <w:right w:type="dxa" w:w="100"/>
            </w:tcMar>
          </w:tcPr>
          <w:p>
            <w:r>
              <w:rPr>
                <w:sz w:val="19"/>
                <w:szCs w:val="19"/>
              </w:rPr>
              <w:t xml:space="preserve">Table de jonction — un RDV peut concerner plusieurs animaux</w:t>
            </w:r>
          </w:p>
        </w:tc>
        <w:tc>
          <w:tcPr>
            <w:tcW w:type="dxa" w:w="3220"/>
            <w:tcMar>
              <w:top w:type="dxa" w:w="60"/>
              <w:left w:type="dxa" w:w="100"/>
              <w:bottom w:type="dxa" w:w="60"/>
              <w:right w:type="dxa" w:w="100"/>
            </w:tcMar>
          </w:tcPr>
          <w:p>
            <w:r>
              <w:rPr>
                <w:sz w:val="19"/>
                <w:szCs w:val="19"/>
              </w:rPr>
              <w:t xml:space="preserve">appointment_id, animal_id</w:t>
            </w:r>
          </w:p>
        </w:tc>
      </w:tr>
    </w:tbl>
    <w:p>
      <w:pPr>
        <w:spacing w:after="160" w:line="300"/>
      </w:pPr>
      <w:r>
        <w:t xml:space="preserve">La table appointments porte une contrainte unique sur (doctor_id, start_at), empêchant tout double rendez-vous au même horaire pour un même praticien. Les créneaux disponibles ne sont pas stockés : ils sont calculés côté client par le hook useAvailableSlots, qui croise les disponibilités récurrentes, le RPC get_booked_slots (créneaux déjà pris) et les blocked_slots, en itérant par tranches de slot_duration_minutes. Un délai de battement minimum de 15 minutes est appliqué aux créneaux du jour même : un créneau qui commence dans moins de 15 minutes n'est plus proposé, le reste de la journée restant normalement disponible.</w:t>
      </w:r>
    </w:p>
    <w:p>
      <w:pPr>
        <w:pStyle w:val="Heading2"/>
        <w:spacing w:after="150" w:before="300"/>
      </w:pPr>
      <w:r>
        <w:t xml:space="preserve">4.3 Dossier de santé animal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0"/>
      </w:tblGrid>
      <w:tr>
        <w:trPr>
          <w:tblHeader/>
        </w:trPr>
        <w:tc>
          <w:tcPr>
            <w:tcW w:type="dxa" w:w="2400"/>
            <w:shd w:fill="F2820F" w:val="clear"/>
            <w:tcMar>
              <w:top w:type="dxa" w:w="80"/>
              <w:left w:type="dxa" w:w="100"/>
              <w:bottom w:type="dxa" w:w="80"/>
              <w:right w:type="dxa" w:w="100"/>
            </w:tcMar>
          </w:tcPr>
          <w:p>
            <w:r>
              <w:rPr>
                <w:b/>
                <w:bCs/>
                <w:color w:val="FFFFFF"/>
                <w:sz w:val="19"/>
                <w:szCs w:val="19"/>
              </w:rPr>
              <w:t xml:space="preserve">Table</w:t>
            </w:r>
          </w:p>
        </w:tc>
        <w:tc>
          <w:tcPr>
            <w:tcW w:type="dxa" w:w="3600"/>
            <w:shd w:fill="F2820F" w:val="clear"/>
            <w:tcMar>
              <w:top w:type="dxa" w:w="80"/>
              <w:left w:type="dxa" w:w="100"/>
              <w:bottom w:type="dxa" w:w="80"/>
              <w:right w:type="dxa" w:w="100"/>
            </w:tcMar>
          </w:tcPr>
          <w:p>
            <w:r>
              <w:rPr>
                <w:b/>
                <w:bCs/>
                <w:color w:val="FFFFFF"/>
                <w:sz w:val="19"/>
                <w:szCs w:val="19"/>
              </w:rPr>
              <w:t xml:space="preserve">Rôle</w:t>
            </w:r>
          </w:p>
        </w:tc>
        <w:tc>
          <w:tcPr>
            <w:tcW w:type="dxa" w:w="3020"/>
            <w:shd w:fill="F2820F" w:val="clear"/>
            <w:tcMar>
              <w:top w:type="dxa" w:w="80"/>
              <w:left w:type="dxa" w:w="100"/>
              <w:bottom w:type="dxa" w:w="80"/>
              <w:right w:type="dxa" w:w="100"/>
            </w:tcMar>
          </w:tcPr>
          <w:p>
            <w:r>
              <w:rPr>
                <w:b/>
                <w:bCs/>
                <w:color w:val="FFFFFF"/>
                <w:sz w:val="19"/>
                <w:szCs w:val="19"/>
              </w:rPr>
              <w:t xml:space="preserve">Champs clés</w:t>
            </w:r>
          </w:p>
        </w:tc>
      </w:tr>
      <w:tr>
        <w:tc>
          <w:tcPr>
            <w:tcW w:type="dxa" w:w="2400"/>
            <w:tcMar>
              <w:top w:type="dxa" w:w="60"/>
              <w:left w:type="dxa" w:w="100"/>
              <w:bottom w:type="dxa" w:w="60"/>
              <w:right w:type="dxa" w:w="100"/>
            </w:tcMar>
          </w:tcPr>
          <w:p>
            <w:r>
              <w:rPr>
                <w:sz w:val="19"/>
                <w:szCs w:val="19"/>
              </w:rPr>
              <w:t xml:space="preserve">animals</w:t>
            </w:r>
          </w:p>
        </w:tc>
        <w:tc>
          <w:tcPr>
            <w:tcW w:type="dxa" w:w="3600"/>
            <w:tcMar>
              <w:top w:type="dxa" w:w="60"/>
              <w:left w:type="dxa" w:w="100"/>
              <w:bottom w:type="dxa" w:w="60"/>
              <w:right w:type="dxa" w:w="100"/>
            </w:tcMar>
          </w:tcPr>
          <w:p>
            <w:r>
              <w:rPr>
                <w:sz w:val="19"/>
                <w:szCs w:val="19"/>
              </w:rPr>
              <w:t xml:space="preserve">Fiche d'un animal</w:t>
            </w:r>
          </w:p>
        </w:tc>
        <w:tc>
          <w:tcPr>
            <w:tcW w:type="dxa" w:w="3020"/>
            <w:tcMar>
              <w:top w:type="dxa" w:w="60"/>
              <w:left w:type="dxa" w:w="100"/>
              <w:bottom w:type="dxa" w:w="60"/>
              <w:right w:type="dxa" w:w="100"/>
            </w:tcMar>
          </w:tcPr>
          <w:p>
            <w:r>
              <w:rPr>
                <w:sz w:val="19"/>
                <w:szCs w:val="19"/>
              </w:rPr>
              <w:t xml:space="preserve">id, owner_id, name, species, breed, birth_date, weight, photo_url, tattoo_number</w:t>
            </w:r>
          </w:p>
        </w:tc>
      </w:tr>
      <w:tr>
        <w:tc>
          <w:tcPr>
            <w:tcW w:type="dxa" w:w="2400"/>
            <w:tcMar>
              <w:top w:type="dxa" w:w="60"/>
              <w:left w:type="dxa" w:w="100"/>
              <w:bottom w:type="dxa" w:w="60"/>
              <w:right w:type="dxa" w:w="100"/>
            </w:tcMar>
          </w:tcPr>
          <w:p>
            <w:r>
              <w:rPr>
                <w:sz w:val="19"/>
                <w:szCs w:val="19"/>
              </w:rPr>
              <w:t xml:space="preserve">vaccines</w:t>
            </w:r>
          </w:p>
        </w:tc>
        <w:tc>
          <w:tcPr>
            <w:tcW w:type="dxa" w:w="3600"/>
            <w:tcMar>
              <w:top w:type="dxa" w:w="60"/>
              <w:left w:type="dxa" w:w="100"/>
              <w:bottom w:type="dxa" w:w="60"/>
              <w:right w:type="dxa" w:w="100"/>
            </w:tcMar>
          </w:tcPr>
          <w:p>
            <w:r>
              <w:rPr>
                <w:sz w:val="19"/>
                <w:szCs w:val="19"/>
              </w:rPr>
              <w:t xml:space="preserve">Historique vaccinal</w:t>
            </w:r>
          </w:p>
        </w:tc>
        <w:tc>
          <w:tcPr>
            <w:tcW w:type="dxa" w:w="3020"/>
            <w:tcMar>
              <w:top w:type="dxa" w:w="60"/>
              <w:left w:type="dxa" w:w="100"/>
              <w:bottom w:type="dxa" w:w="60"/>
              <w:right w:type="dxa" w:w="100"/>
            </w:tcMar>
          </w:tcPr>
          <w:p>
            <w:r>
              <w:rPr>
                <w:sz w:val="19"/>
                <w:szCs w:val="19"/>
              </w:rPr>
              <w:t xml:space="preserve">id, animal_id, name, administered_by, date, next_due_date</w:t>
            </w:r>
          </w:p>
        </w:tc>
      </w:tr>
      <w:tr>
        <w:tc>
          <w:tcPr>
            <w:tcW w:type="dxa" w:w="2400"/>
            <w:tcMar>
              <w:top w:type="dxa" w:w="60"/>
              <w:left w:type="dxa" w:w="100"/>
              <w:bottom w:type="dxa" w:w="60"/>
              <w:right w:type="dxa" w:w="100"/>
            </w:tcMar>
          </w:tcPr>
          <w:p>
            <w:r>
              <w:rPr>
                <w:sz w:val="19"/>
                <w:szCs w:val="19"/>
              </w:rPr>
              <w:t xml:space="preserve">weight_tracking</w:t>
            </w:r>
          </w:p>
        </w:tc>
        <w:tc>
          <w:tcPr>
            <w:tcW w:type="dxa" w:w="3600"/>
            <w:tcMar>
              <w:top w:type="dxa" w:w="60"/>
              <w:left w:type="dxa" w:w="100"/>
              <w:bottom w:type="dxa" w:w="60"/>
              <w:right w:type="dxa" w:w="100"/>
            </w:tcMar>
          </w:tcPr>
          <w:p>
            <w:r>
              <w:rPr>
                <w:sz w:val="19"/>
                <w:szCs w:val="19"/>
              </w:rPr>
              <w:t xml:space="preserve">Suivi de poids (courbe)</w:t>
            </w:r>
          </w:p>
        </w:tc>
        <w:tc>
          <w:tcPr>
            <w:tcW w:type="dxa" w:w="3020"/>
            <w:tcMar>
              <w:top w:type="dxa" w:w="60"/>
              <w:left w:type="dxa" w:w="100"/>
              <w:bottom w:type="dxa" w:w="60"/>
              <w:right w:type="dxa" w:w="100"/>
            </w:tcMar>
          </w:tcPr>
          <w:p>
            <w:r>
              <w:rPr>
                <w:sz w:val="19"/>
                <w:szCs w:val="19"/>
              </w:rPr>
              <w:t xml:space="preserve">id, animal_id, weight, date</w:t>
            </w:r>
          </w:p>
        </w:tc>
      </w:tr>
      <w:tr>
        <w:tc>
          <w:tcPr>
            <w:tcW w:type="dxa" w:w="2400"/>
            <w:tcMar>
              <w:top w:type="dxa" w:w="60"/>
              <w:left w:type="dxa" w:w="100"/>
              <w:bottom w:type="dxa" w:w="60"/>
              <w:right w:type="dxa" w:w="100"/>
            </w:tcMar>
          </w:tcPr>
          <w:p>
            <w:r>
              <w:rPr>
                <w:sz w:val="19"/>
                <w:szCs w:val="19"/>
              </w:rPr>
              <w:t xml:space="preserve">health_records</w:t>
            </w:r>
          </w:p>
        </w:tc>
        <w:tc>
          <w:tcPr>
            <w:tcW w:type="dxa" w:w="3600"/>
            <w:tcMar>
              <w:top w:type="dxa" w:w="60"/>
              <w:left w:type="dxa" w:w="100"/>
              <w:bottom w:type="dxa" w:w="60"/>
              <w:right w:type="dxa" w:w="100"/>
            </w:tcMar>
          </w:tcPr>
          <w:p>
            <w:r>
              <w:rPr>
                <w:sz w:val="19"/>
                <w:szCs w:val="19"/>
              </w:rPr>
              <w:t xml:space="preserve">Actes de soin (7 types fixes)</w:t>
            </w:r>
          </w:p>
        </w:tc>
        <w:tc>
          <w:tcPr>
            <w:tcW w:type="dxa" w:w="3020"/>
            <w:tcMar>
              <w:top w:type="dxa" w:w="60"/>
              <w:left w:type="dxa" w:w="100"/>
              <w:bottom w:type="dxa" w:w="60"/>
              <w:right w:type="dxa" w:w="100"/>
            </w:tcMar>
          </w:tcPr>
          <w:p>
            <w:r>
              <w:rPr>
                <w:sz w:val="19"/>
                <w:szCs w:val="19"/>
              </w:rPr>
              <w:t xml:space="preserve">id, animal_id, type, professional_name, date, notes</w:t>
            </w:r>
          </w:p>
        </w:tc>
      </w:tr>
      <w:tr>
        <w:tc>
          <w:tcPr>
            <w:tcW w:type="dxa" w:w="2400"/>
            <w:tcMar>
              <w:top w:type="dxa" w:w="60"/>
              <w:left w:type="dxa" w:w="100"/>
              <w:bottom w:type="dxa" w:w="60"/>
              <w:right w:type="dxa" w:w="100"/>
            </w:tcMar>
          </w:tcPr>
          <w:p>
            <w:r>
              <w:rPr>
                <w:sz w:val="19"/>
                <w:szCs w:val="19"/>
              </w:rPr>
              <w:t xml:space="preserve">animal_documents</w:t>
            </w:r>
          </w:p>
        </w:tc>
        <w:tc>
          <w:tcPr>
            <w:tcW w:type="dxa" w:w="3600"/>
            <w:tcMar>
              <w:top w:type="dxa" w:w="60"/>
              <w:left w:type="dxa" w:w="100"/>
              <w:bottom w:type="dxa" w:w="60"/>
              <w:right w:type="dxa" w:w="100"/>
            </w:tcMar>
          </w:tcPr>
          <w:p>
            <w:r>
              <w:rPr>
                <w:sz w:val="19"/>
                <w:szCs w:val="19"/>
              </w:rPr>
              <w:t xml:space="preserve">Documents attachés en permanence au dossier de l'animal</w:t>
            </w:r>
          </w:p>
        </w:tc>
        <w:tc>
          <w:tcPr>
            <w:tcW w:type="dxa" w:w="3020"/>
            <w:tcMar>
              <w:top w:type="dxa" w:w="60"/>
              <w:left w:type="dxa" w:w="100"/>
              <w:bottom w:type="dxa" w:w="60"/>
              <w:right w:type="dxa" w:w="100"/>
            </w:tcMar>
          </w:tcPr>
          <w:p>
            <w:r>
              <w:rPr>
                <w:sz w:val="19"/>
                <w:szCs w:val="19"/>
              </w:rPr>
              <w:t xml:space="preserve">id, animal_id, uploaded_by, file_url, file_name, file_type, label, document_type</w:t>
            </w:r>
          </w:p>
        </w:tc>
      </w:tr>
      <w:tr>
        <w:tc>
          <w:tcPr>
            <w:tcW w:type="dxa" w:w="2400"/>
            <w:tcMar>
              <w:top w:type="dxa" w:w="60"/>
              <w:left w:type="dxa" w:w="100"/>
              <w:bottom w:type="dxa" w:w="60"/>
              <w:right w:type="dxa" w:w="100"/>
            </w:tcMar>
          </w:tcPr>
          <w:p>
            <w:r>
              <w:rPr>
                <w:sz w:val="19"/>
                <w:szCs w:val="19"/>
              </w:rPr>
              <w:t xml:space="preserve">appointment_documents</w:t>
            </w:r>
          </w:p>
        </w:tc>
        <w:tc>
          <w:tcPr>
            <w:tcW w:type="dxa" w:w="3600"/>
            <w:tcMar>
              <w:top w:type="dxa" w:w="60"/>
              <w:left w:type="dxa" w:w="100"/>
              <w:bottom w:type="dxa" w:w="60"/>
              <w:right w:type="dxa" w:w="100"/>
            </w:tcMar>
          </w:tcPr>
          <w:p>
            <w:r>
              <w:rPr>
                <w:sz w:val="19"/>
                <w:szCs w:val="19"/>
              </w:rPr>
              <w:t xml:space="preserve">Documents attachés à un rendez-vous précis</w:t>
            </w:r>
          </w:p>
        </w:tc>
        <w:tc>
          <w:tcPr>
            <w:tcW w:type="dxa" w:w="3020"/>
            <w:tcMar>
              <w:top w:type="dxa" w:w="60"/>
              <w:left w:type="dxa" w:w="100"/>
              <w:bottom w:type="dxa" w:w="60"/>
              <w:right w:type="dxa" w:w="100"/>
            </w:tcMar>
          </w:tcPr>
          <w:p>
            <w:r>
              <w:rPr>
                <w:sz w:val="19"/>
                <w:szCs w:val="19"/>
              </w:rPr>
              <w:t xml:space="preserve">id, appointment_id, uploaded_by, file_url, file_name, file_type</w:t>
            </w:r>
          </w:p>
        </w:tc>
      </w:tr>
    </w:tbl>
    <w:p>
      <w:pPr>
        <w:spacing w:after="160" w:line="300"/>
      </w:pPr>
      <w:r>
        <w:t xml:space="preserve">Les 7 types fixes de health_records sont : Consultation, Chirurgie, Traitement, Toilettage, Ostéopathie, Analyse, Autre. Les types de document (document_type, migration 032) sont : ordonnance, analyse, radio, certificat, autre.</w:t>
      </w:r>
    </w:p>
    <w:p>
      <w:pPr>
        <w:spacing w:after="160" w:line="300"/>
      </w:pPr>
      <w:r>
        <w:t>Mise à jour du 23–25/09/2026 : (1) la table vaccines a été renommée care_items et généralisée en « suivis » (migration 100) : une colonne care_type (vaccine, deworming, checkup, other) couvre vaccin, vermifuge, bilan annuel et autre suivi ; les huit policies RLS ont été recréées à l'identique sous le nouveau nom, et l'ancien type de notification vaccine_reminder est conservé pour l'historique à côté du nouveau care_reminder. (2) Nouvelle table animal_referrals (migration 105) : animal_id, owner_id (dérivé côté serveur par trigger depuis animals.owner_id, jamais fourni par le client), referring_doctor_id, target_doctor_id, reason, status (pending, accepted, declined, revoked), created_at, responded_at ; un index unique empêche deux demandes en attente identiques pour un même animal et un même praticien destinataire ; le statut accepted EST le droit d'accès, sans table séparée à synchroniser. (3) Colonnes ajoutées : doctors.specialties (tableau de métiers, migration 102, qui remplace doctors.specialty supprimée en migration 107), doctors.messaging_enabled (migration 109), appointments.reengagement_reminder_sent_at (migration 108), profiles.onboarding_completed_at (migration 110).</w:t>
      </w:r>
    </w:p>
    <w:p>
      <w:pPr>
        <w:pStyle w:val="Heading2"/>
        <w:spacing w:after="150" w:before="300"/>
      </w:pPr>
      <w:r>
        <w:t xml:space="preserve">4.4 Cabinets (structures multi-praticiens)</w:t>
      </w:r>
    </w:p>
    <w:p>
      <w:pPr>
        <w:spacing w:after="160" w:line="300"/>
      </w:pPr>
      <w:r>
        <w:t>La table clinics regroupe plusieurs praticiens sous une même structure (adresse, logo, tarifs et créneaux partagés — voir section 6.6), et clinic_members y rattache les comptes doctor membres. Un accès secrétariat (rôle secretary) est distinct : la table clinic_staff associe un compte secretary à un cabinet. Depuis le 22 juillet 2026, cet accès est toujours un compte dédié avec ses propres identifiants, créé par le propriétaire du cabinet depuis l'Edge Function invite-clinic-secretary — jamais un rattachement à un compte praticien ou patient existant, pour que le tableau de bord secrétariat (/dashboard/secretariat) reste un espace réellement séparé plutôt qu'un onglet supplémentaire du dashboard praticien. Depuis le 23 juillet 2026, l'identifiant de connexion Supabase Auth n'est plus l'email tapé par le praticien mais un code généré (ex. CAB4X9QZ, converti en email synthétique code@secretariat.animeaux.internal en interne) : l'email saisi à l'invitation ne sert plus qu'à l'envoi des identifiants par courrier (jamais à la connexion), ce qui rend le rattachement à un compte existant impossible par construction et évite toute confusion avec un vrai email personnel. Le formulaire /login accepte les deux formats (email ou identifiant généré) dans le même champ.</w:t>
      </w:r>
    </w:p>
    <w:p>
      <w:pPr>
        <w:spacing w:after="160" w:line="300"/>
      </w:pPr>
      <w:r>
        <w:t>Ajouté le 02/10/2026 : le créateur d'un cabinet peut désormais le fermer (bouton « Fermer le cabinet », zone dangereuse de l'onglet Mon cabinet) — jusque-là impossible, repéré par Anaïs pour le cas d'un praticien qui change d'activité (reprise en solo ou en tant que salarié). Aucune donnée patient ni rendez-vous n'est perdue (appointments ne référence que doctor_id/patient_id, jamais clinic_id) : seuls disparaissent le cabinet lui-même, ses tarifs communs (clinic_services) et l'accès de son éventuel secrétariat (clinic_staff), tous les trois en cascade depuis clinics. Bloqué tant que d'autres praticiens sont membres (migration 112, trigger clinics_prevent_deletion_with_members) : le créateur doit d'abord les retirer un par un (fonctionnalité déjà existante) — sans ce garde-fou, un cabinet pourrait disparaître silencieusement sous des confrères qui le partagent encore. Complément du 05/10/2026 (migration 113) : la policy de suppression « clinics: owner supprime », censée exister depuis la migration 039, était absente de la base de production — la suppression était refusée sans erreur (0 ligne). Recréée et versionnée ; le code vérifie désormais qu'une ligne a réellement été supprimée avant d'annoncer la fermeture. Complément du 05/10/2026 (migration 114) : les comptes secrétariat du cabinet (rôle secretary, rattachés à aucun autre cabinet) sont supprimés avec lui par le trigger clinics_zdelete_secretary_accounts — sans cela, ils restaient connectables sur un espace vide. Complément du 05/10/2026 : un praticien sans cabinet voit une carte « Créer ou rejoindre un cabinet » en haut de ses deux pages profil (onglet Profil du tableau de bord et /profil, qui ne partagent aucun code), qui ouvre directement RDV &gt; Agenda partagé grâce au paramètre d'URL ?view=shared — l'accès n'existait jusque-là que par cet onglet, peu évident.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0"/>
      </w:tblGrid>
      <w:tr>
        <w:trPr>
          <w:tblHeader/>
        </w:trPr>
        <w:tc>
          <w:tcPr>
            <w:tcW w:type="dxa" w:w="2200"/>
            <w:shd w:fill="F2820F" w:val="clear"/>
            <w:tcMar>
              <w:top w:type="dxa" w:w="80"/>
              <w:left w:type="dxa" w:w="100"/>
              <w:bottom w:type="dxa" w:w="80"/>
              <w:right w:type="dxa" w:w="100"/>
            </w:tcMar>
          </w:tcPr>
          <w:p>
            <w:r>
              <w:rPr>
                <w:b/>
                <w:bCs/>
                <w:color w:val="FFFFFF"/>
                <w:sz w:val="19"/>
                <w:szCs w:val="19"/>
              </w:rPr>
              <w:t xml:space="preserve">Table</w:t>
            </w:r>
          </w:p>
        </w:tc>
        <w:tc>
          <w:tcPr>
            <w:tcW w:type="dxa" w:w="3800"/>
            <w:shd w:fill="F2820F" w:val="clear"/>
            <w:tcMar>
              <w:top w:type="dxa" w:w="80"/>
              <w:left w:type="dxa" w:w="100"/>
              <w:bottom w:type="dxa" w:w="80"/>
              <w:right w:type="dxa" w:w="100"/>
            </w:tcMar>
          </w:tcPr>
          <w:p>
            <w:r>
              <w:rPr>
                <w:b/>
                <w:bCs/>
                <w:color w:val="FFFFFF"/>
                <w:sz w:val="19"/>
                <w:szCs w:val="19"/>
              </w:rPr>
              <w:t xml:space="preserve">Rôle</w:t>
            </w:r>
          </w:p>
        </w:tc>
        <w:tc>
          <w:tcPr>
            <w:tcW w:type="dxa" w:w="3020"/>
            <w:shd w:fill="F2820F" w:val="clear"/>
            <w:tcMar>
              <w:top w:type="dxa" w:w="80"/>
              <w:left w:type="dxa" w:w="100"/>
              <w:bottom w:type="dxa" w:w="80"/>
              <w:right w:type="dxa" w:w="100"/>
            </w:tcMar>
          </w:tcPr>
          <w:p>
            <w:r>
              <w:rPr>
                <w:b/>
                <w:bCs/>
                <w:color w:val="FFFFFF"/>
                <w:sz w:val="19"/>
                <w:szCs w:val="19"/>
              </w:rPr>
              <w:t xml:space="preserve">Champs clés</w:t>
            </w:r>
          </w:p>
        </w:tc>
      </w:tr>
      <w:tr>
        <w:tc>
          <w:tcPr>
            <w:tcW w:type="dxa" w:w="2200"/>
            <w:tcMar>
              <w:top w:type="dxa" w:w="60"/>
              <w:left w:type="dxa" w:w="100"/>
              <w:bottom w:type="dxa" w:w="60"/>
              <w:right w:type="dxa" w:w="100"/>
            </w:tcMar>
          </w:tcPr>
          <w:p>
            <w:r>
              <w:rPr>
                <w:sz w:val="19"/>
                <w:szCs w:val="19"/>
              </w:rPr>
              <w:t xml:space="preserve">clinics</w:t>
            </w:r>
          </w:p>
        </w:tc>
        <w:tc>
          <w:tcPr>
            <w:tcW w:type="dxa" w:w="3800"/>
            <w:tcMar>
              <w:top w:type="dxa" w:w="60"/>
              <w:left w:type="dxa" w:w="100"/>
              <w:bottom w:type="dxa" w:w="60"/>
              <w:right w:type="dxa" w:w="100"/>
            </w:tcMar>
          </w:tcPr>
          <w:p>
            <w:r>
              <w:rPr>
                <w:sz w:val="19"/>
                <w:szCs w:val="19"/>
              </w:rPr>
              <w:t xml:space="preserve">Structure regroupant plusieurs praticiens</w:t>
            </w:r>
          </w:p>
        </w:tc>
        <w:tc>
          <w:tcPr>
            <w:tcW w:type="dxa" w:w="3020"/>
            <w:tcMar>
              <w:top w:type="dxa" w:w="60"/>
              <w:left w:type="dxa" w:w="100"/>
              <w:bottom w:type="dxa" w:w="60"/>
              <w:right w:type="dxa" w:w="100"/>
            </w:tcMar>
          </w:tcPr>
          <w:p>
            <w:r>
              <w:rPr>
                <w:sz w:val="19"/>
                <w:szCs w:val="19"/>
              </w:rPr>
              <w:t xml:space="preserve">id, name, address, city, phone, logo_url, invite_code, owner_id</w:t>
            </w:r>
          </w:p>
        </w:tc>
      </w:tr>
      <w:tr>
        <w:tc>
          <w:tcPr>
            <w:tcW w:type="dxa" w:w="2200"/>
            <w:tcMar>
              <w:top w:type="dxa" w:w="60"/>
              <w:left w:type="dxa" w:w="100"/>
              <w:bottom w:type="dxa" w:w="60"/>
              <w:right w:type="dxa" w:w="100"/>
            </w:tcMar>
          </w:tcPr>
          <w:p>
            <w:r>
              <w:rPr>
                <w:sz w:val="19"/>
                <w:szCs w:val="19"/>
              </w:rPr>
              <w:t xml:space="preserve">clinic_members</w:t>
            </w:r>
          </w:p>
        </w:tc>
        <w:tc>
          <w:tcPr>
            <w:tcW w:type="dxa" w:w="3800"/>
            <w:tcMar>
              <w:top w:type="dxa" w:w="60"/>
              <w:left w:type="dxa" w:w="100"/>
              <w:bottom w:type="dxa" w:w="60"/>
              <w:right w:type="dxa" w:w="100"/>
            </w:tcMar>
          </w:tcPr>
          <w:p>
            <w:r>
              <w:rPr>
                <w:sz w:val="19"/>
                <w:szCs w:val="19"/>
              </w:rPr>
              <w:t xml:space="preserve">Appartenance d'un praticien à un cabinet</w:t>
            </w:r>
          </w:p>
        </w:tc>
        <w:tc>
          <w:tcPr>
            <w:tcW w:type="dxa" w:w="3020"/>
            <w:tcMar>
              <w:top w:type="dxa" w:w="60"/>
              <w:left w:type="dxa" w:w="100"/>
              <w:bottom w:type="dxa" w:w="60"/>
              <w:right w:type="dxa" w:w="100"/>
            </w:tcMar>
          </w:tcPr>
          <w:p>
            <w:r>
              <w:rPr>
                <w:sz w:val="19"/>
                <w:szCs w:val="19"/>
              </w:rPr>
              <w:t xml:space="preserve">id, clinic_id, doctor_id</w:t>
            </w:r>
          </w:p>
        </w:tc>
      </w:tr>
      <w:tr>
        <w:tc>
          <w:tcPr>
            <w:tcW w:type="dxa" w:w="2200"/>
            <w:tcMar>
              <w:top w:type="dxa" w:w="60"/>
              <w:left w:type="dxa" w:w="100"/>
              <w:bottom w:type="dxa" w:w="60"/>
              <w:right w:type="dxa" w:w="100"/>
            </w:tcMar>
          </w:tcPr>
          <w:p>
            <w:r>
              <w:rPr>
                <w:sz w:val="19"/>
                <w:szCs w:val="19"/>
              </w:rPr>
              <w:t xml:space="preserve">clinic_services</w:t>
            </w:r>
          </w:p>
        </w:tc>
        <w:tc>
          <w:tcPr>
            <w:tcW w:type="dxa" w:w="3800"/>
            <w:tcMar>
              <w:top w:type="dxa" w:w="60"/>
              <w:left w:type="dxa" w:w="100"/>
              <w:bottom w:type="dxa" w:w="60"/>
              <w:right w:type="dxa" w:w="100"/>
            </w:tcMar>
          </w:tcPr>
          <w:p>
            <w:r>
              <w:rPr>
                <w:sz w:val="19"/>
                <w:szCs w:val="19"/>
              </w:rPr>
              <w:t xml:space="preserve">Tarifs, propres à chaque praticien du cabinet — la même table sert aussi aux tarifs personnels des praticiens sans cabinet (clinic_id nullable depuis la migration 045)</w:t>
            </w:r>
          </w:p>
        </w:tc>
        <w:tc>
          <w:tcPr>
            <w:tcW w:type="dxa" w:w="3020"/>
            <w:tcMar>
              <w:top w:type="dxa" w:w="60"/>
              <w:left w:type="dxa" w:w="100"/>
              <w:bottom w:type="dxa" w:w="60"/>
              <w:right w:type="dxa" w:w="100"/>
            </w:tcMar>
          </w:tcPr>
          <w:p>
            <w:r>
              <w:rPr>
                <w:sz w:val="19"/>
                <w:szCs w:val="19"/>
              </w:rPr>
              <w:t xml:space="preserve">id, clinic_id, doctor_id, name, price, duration</w:t>
            </w:r>
          </w:p>
        </w:tc>
      </w:tr>
    </w:tbl>
    <w:p>
      <w:pPr>
        <w:pStyle w:val="Heading2"/>
        <w:spacing w:after="150" w:before="300"/>
      </w:pPr>
      <w:r>
        <w:t xml:space="preserve">4.5 Interactions et système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0"/>
      </w:tblGrid>
      <w:tr>
        <w:trPr>
          <w:tblHeader/>
        </w:trPr>
        <w:tc>
          <w:tcPr>
            <w:tcW w:type="dxa" w:w="2200"/>
            <w:shd w:fill="F2820F" w:val="clear"/>
            <w:tcMar>
              <w:top w:type="dxa" w:w="80"/>
              <w:left w:type="dxa" w:w="100"/>
              <w:bottom w:type="dxa" w:w="80"/>
              <w:right w:type="dxa" w:w="100"/>
            </w:tcMar>
          </w:tcPr>
          <w:p>
            <w:r>
              <w:rPr>
                <w:b/>
                <w:bCs/>
                <w:color w:val="FFFFFF"/>
                <w:sz w:val="19"/>
                <w:szCs w:val="19"/>
              </w:rPr>
              <w:t xml:space="preserve">Table</w:t>
            </w:r>
          </w:p>
        </w:tc>
        <w:tc>
          <w:tcPr>
            <w:tcW w:type="dxa" w:w="4000"/>
            <w:shd w:fill="F2820F" w:val="clear"/>
            <w:tcMar>
              <w:top w:type="dxa" w:w="80"/>
              <w:left w:type="dxa" w:w="100"/>
              <w:bottom w:type="dxa" w:w="80"/>
              <w:right w:type="dxa" w:w="100"/>
            </w:tcMar>
          </w:tcPr>
          <w:p>
            <w:r>
              <w:rPr>
                <w:b/>
                <w:bCs/>
                <w:color w:val="FFFFFF"/>
                <w:sz w:val="19"/>
                <w:szCs w:val="19"/>
              </w:rPr>
              <w:t xml:space="preserve">Rôle</w:t>
            </w:r>
          </w:p>
        </w:tc>
        <w:tc>
          <w:tcPr>
            <w:tcW w:type="dxa" w:w="2820"/>
            <w:shd w:fill="F2820F" w:val="clear"/>
            <w:tcMar>
              <w:top w:type="dxa" w:w="80"/>
              <w:left w:type="dxa" w:w="100"/>
              <w:bottom w:type="dxa" w:w="80"/>
              <w:right w:type="dxa" w:w="100"/>
            </w:tcMar>
          </w:tcPr>
          <w:p>
            <w:r>
              <w:rPr>
                <w:b/>
                <w:bCs/>
                <w:color w:val="FFFFFF"/>
                <w:sz w:val="19"/>
                <w:szCs w:val="19"/>
              </w:rPr>
              <w:t xml:space="preserve">Champs clés</w:t>
            </w:r>
          </w:p>
        </w:tc>
      </w:tr>
      <w:tr>
        <w:tc>
          <w:tcPr>
            <w:tcW w:type="dxa" w:w="2200"/>
            <w:tcMar>
              <w:top w:type="dxa" w:w="60"/>
              <w:left w:type="dxa" w:w="100"/>
              <w:bottom w:type="dxa" w:w="60"/>
              <w:right w:type="dxa" w:w="100"/>
            </w:tcMar>
          </w:tcPr>
          <w:p>
            <w:r>
              <w:rPr>
                <w:sz w:val="19"/>
                <w:szCs w:val="19"/>
              </w:rPr>
              <w:t xml:space="preserve">reviews</w:t>
            </w:r>
          </w:p>
        </w:tc>
        <w:tc>
          <w:tcPr>
            <w:tcW w:type="dxa" w:w="4000"/>
            <w:tcMar>
              <w:top w:type="dxa" w:w="60"/>
              <w:left w:type="dxa" w:w="100"/>
              <w:bottom w:type="dxa" w:w="60"/>
              <w:right w:type="dxa" w:w="100"/>
            </w:tcMar>
          </w:tcPr>
          <w:p>
            <w:r>
              <w:rPr>
                <w:sz w:val="19"/>
                <w:szCs w:val="19"/>
              </w:rPr>
              <w:t xml:space="preserve">Avis patients (indépendants de tout RDV, non limités en nombre)</w:t>
            </w:r>
          </w:p>
        </w:tc>
        <w:tc>
          <w:tcPr>
            <w:tcW w:type="dxa" w:w="2820"/>
            <w:tcMar>
              <w:top w:type="dxa" w:w="60"/>
              <w:left w:type="dxa" w:w="100"/>
              <w:bottom w:type="dxa" w:w="60"/>
              <w:right w:type="dxa" w:w="100"/>
            </w:tcMar>
          </w:tcPr>
          <w:p>
            <w:r>
              <w:rPr>
                <w:sz w:val="19"/>
                <w:szCs w:val="19"/>
              </w:rPr>
              <w:t xml:space="preserve">id, doctor_id, patient_id, rating, comment</w:t>
            </w:r>
          </w:p>
        </w:tc>
      </w:tr>
      <w:tr>
        <w:tc>
          <w:tcPr>
            <w:tcW w:type="dxa" w:w="2200"/>
            <w:tcMar>
              <w:top w:type="dxa" w:w="60"/>
              <w:left w:type="dxa" w:w="100"/>
              <w:bottom w:type="dxa" w:w="60"/>
              <w:right w:type="dxa" w:w="100"/>
            </w:tcMar>
          </w:tcPr>
          <w:p>
            <w:r>
              <w:rPr>
                <w:sz w:val="19"/>
                <w:szCs w:val="19"/>
              </w:rPr>
              <w:t xml:space="preserve">messages</w:t>
            </w:r>
          </w:p>
        </w:tc>
        <w:tc>
          <w:tcPr>
            <w:tcW w:type="dxa" w:w="4000"/>
            <w:tcMar>
              <w:top w:type="dxa" w:w="60"/>
              <w:left w:type="dxa" w:w="100"/>
              <w:bottom w:type="dxa" w:w="60"/>
              <w:right w:type="dxa" w:w="100"/>
            </w:tcMar>
          </w:tcPr>
          <w:p>
            <w:r>
              <w:rPr>
                <w:sz w:val="19"/>
                <w:szCs w:val="19"/>
              </w:rPr>
              <w:t xml:space="preserve">Messagerie patient ↔ praticien</w:t>
            </w:r>
          </w:p>
        </w:tc>
        <w:tc>
          <w:tcPr>
            <w:tcW w:type="dxa" w:w="2820"/>
            <w:tcMar>
              <w:top w:type="dxa" w:w="60"/>
              <w:left w:type="dxa" w:w="100"/>
              <w:bottom w:type="dxa" w:w="60"/>
              <w:right w:type="dxa" w:w="100"/>
            </w:tcMar>
          </w:tcPr>
          <w:p>
            <w:r>
              <w:rPr>
                <w:sz w:val="19"/>
                <w:szCs w:val="19"/>
              </w:rPr>
              <w:t xml:space="preserve">id, sender_id, receiver_id, content, read</w:t>
            </w:r>
          </w:p>
        </w:tc>
      </w:tr>
      <w:tr>
        <w:tc>
          <w:tcPr>
            <w:tcW w:type="dxa" w:w="2200"/>
            <w:tcMar>
              <w:top w:type="dxa" w:w="60"/>
              <w:left w:type="dxa" w:w="100"/>
              <w:bottom w:type="dxa" w:w="60"/>
              <w:right w:type="dxa" w:w="100"/>
            </w:tcMar>
          </w:tcPr>
          <w:p>
            <w:r>
              <w:rPr>
                <w:sz w:val="19"/>
                <w:szCs w:val="19"/>
              </w:rPr>
              <w:t xml:space="preserve">notifications</w:t>
            </w:r>
          </w:p>
        </w:tc>
        <w:tc>
          <w:tcPr>
            <w:tcW w:type="dxa" w:w="4000"/>
            <w:tcMar>
              <w:top w:type="dxa" w:w="60"/>
              <w:left w:type="dxa" w:w="100"/>
              <w:bottom w:type="dxa" w:w="60"/>
              <w:right w:type="dxa" w:w="100"/>
            </w:tcMar>
          </w:tcPr>
          <w:p>
            <w:r>
              <w:rPr>
                <w:sz w:val="19"/>
                <w:szCs w:val="19"/>
              </w:rPr>
              <w:t xml:space="preserve">Notifications in-app</w:t>
            </w:r>
          </w:p>
        </w:tc>
        <w:tc>
          <w:tcPr>
            <w:tcW w:type="dxa" w:w="2820"/>
            <w:tcMar>
              <w:top w:type="dxa" w:w="60"/>
              <w:left w:type="dxa" w:w="100"/>
              <w:bottom w:type="dxa" w:w="60"/>
              <w:right w:type="dxa" w:w="100"/>
            </w:tcMar>
          </w:tcPr>
          <w:p>
            <w:r>
              <w:rPr>
                <w:sz w:val="19"/>
                <w:szCs w:val="19"/>
              </w:rPr>
              <w:t xml:space="preserve">id, user_id, type, title, body, related_id, read</w:t>
            </w:r>
          </w:p>
        </w:tc>
      </w:tr>
      <w:tr>
        <w:tc>
          <w:tcPr>
            <w:tcW w:type="dxa" w:w="2200"/>
            <w:tcMar>
              <w:top w:type="dxa" w:w="60"/>
              <w:left w:type="dxa" w:w="100"/>
              <w:bottom w:type="dxa" w:w="60"/>
              <w:right w:type="dxa" w:w="100"/>
            </w:tcMar>
          </w:tcPr>
          <w:p>
            <w:r>
              <w:rPr>
                <w:sz w:val="19"/>
                <w:szCs w:val="19"/>
              </w:rPr>
              <w:t xml:space="preserve">specialties</w:t>
            </w:r>
          </w:p>
        </w:tc>
        <w:tc>
          <w:tcPr>
            <w:tcW w:type="dxa" w:w="4000"/>
            <w:tcMar>
              <w:top w:type="dxa" w:w="60"/>
              <w:left w:type="dxa" w:w="100"/>
              <w:bottom w:type="dxa" w:w="60"/>
              <w:right w:type="dxa" w:w="100"/>
            </w:tcMar>
          </w:tcPr>
          <w:p>
            <w:r>
              <w:rPr>
                <w:sz w:val="19"/>
                <w:szCs w:val="19"/>
              </w:rPr>
              <w:t xml:space="preserve">Table de référence pour l'autocomplétion de recherche</w:t>
            </w:r>
          </w:p>
        </w:tc>
        <w:tc>
          <w:tcPr>
            <w:tcW w:type="dxa" w:w="2820"/>
            <w:tcMar>
              <w:top w:type="dxa" w:w="60"/>
              <w:left w:type="dxa" w:w="100"/>
              <w:bottom w:type="dxa" w:w="60"/>
              <w:right w:type="dxa" w:w="100"/>
            </w:tcMar>
          </w:tcPr>
          <w:p>
            <w:r>
              <w:rPr>
                <w:sz w:val="19"/>
                <w:szCs w:val="19"/>
              </w:rPr>
              <w:t xml:space="preserve">id, name</w:t>
            </w:r>
          </w:p>
        </w:tc>
      </w:tr>
    </w:tbl>
    <w:p>
      <w:pPr>
        <w:spacing w:after="160" w:line="300"/>
      </w:pPr>
      <w:r>
        <w:t xml:space="preserve">Un trigger SQL (update_doctor_rating) recalcule automatiquement average_rating et review_count sur la table doctors à chaque insertion, modification ou suppression d'un avis.</w:t>
      </w:r>
    </w:p>
    <w:p>
      <w:pPr>
        <w:pStyle w:val="Heading1"/>
        <w:spacing w:after="200" w:before="400"/>
      </w:pPr>
      <w:r>
        <w:t xml:space="preserve">5. Authentification, rôles et sécurité (RLS)</w:t>
      </w:r>
    </w:p>
    <w:p>
      <w:pPr>
        <w:pStyle w:val="Heading2"/>
        <w:spacing w:after="150" w:before="300"/>
      </w:pPr>
      <w:r>
        <w:t xml:space="preserve">5.1 Fonctions RPC de sécurité (SECURITY DEFINER)</w:t>
      </w:r>
    </w:p>
    <w:p>
      <w:pPr>
        <w:spacing w:after="160" w:line="300"/>
      </w:pPr>
      <w:r>
        <w:t xml:space="preserve">Plusieurs opérations contournent délibérément le Row Level Security via des fonctions PostgreSQL en SECURITY DEFINER, car les politiques RLS strictes sur users/profiles/clinics provoquent des blocages ou des timeouts sur les requêtes directes multi-utilisateurs depuis le client. Ces fonctions constituent la seule voie d'accès légitime aux données concernées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F2820F" w:val="clear"/>
            <w:tcMar>
              <w:top w:type="dxa" w:w="80"/>
              <w:left w:type="dxa" w:w="100"/>
              <w:bottom w:type="dxa" w:w="80"/>
              <w:right w:type="dxa" w:w="100"/>
            </w:tcMar>
          </w:tcPr>
          <w:p>
            <w:r>
              <w:rPr>
                <w:b/>
                <w:bCs/>
                <w:color w:val="FFFFFF"/>
                <w:sz w:val="19"/>
                <w:szCs w:val="19"/>
              </w:rPr>
              <w:t xml:space="preserve">Fonction RPC</w:t>
            </w:r>
          </w:p>
        </w:tc>
        <w:tc>
          <w:tcPr>
            <w:tcW w:type="dxa" w:w="5820"/>
            <w:shd w:fill="F2820F" w:val="clear"/>
            <w:tcMar>
              <w:top w:type="dxa" w:w="80"/>
              <w:left w:type="dxa" w:w="100"/>
              <w:bottom w:type="dxa" w:w="80"/>
              <w:right w:type="dxa" w:w="100"/>
            </w:tcMar>
          </w:tcPr>
          <w:p>
            <w:r>
              <w:rPr>
                <w:b/>
                <w:bCs/>
                <w:color w:val="FFFFFF"/>
                <w:sz w:val="19"/>
                <w:szCs w:val="19"/>
              </w:rPr>
              <w:t xml:space="preserve">Rôle</w:t>
            </w:r>
          </w:p>
        </w:tc>
      </w:tr>
      <w:tr>
        <w:tc>
          <w:tcPr>
            <w:tcW w:type="dxa" w:w="3200"/>
            <w:tcMar>
              <w:top w:type="dxa" w:w="60"/>
              <w:left w:type="dxa" w:w="100"/>
              <w:bottom w:type="dxa" w:w="60"/>
              <w:right w:type="dxa" w:w="100"/>
            </w:tcMar>
          </w:tcPr>
          <w:p>
            <w:r>
              <w:rPr>
                <w:sz w:val="19"/>
                <w:szCs w:val="19"/>
              </w:rPr>
              <w:t xml:space="preserve">get_my_user_data()</w:t>
            </w:r>
          </w:p>
        </w:tc>
        <w:tc>
          <w:tcPr>
            <w:tcW w:type="dxa" w:w="5820"/>
            <w:tcMar>
              <w:top w:type="dxa" w:w="60"/>
              <w:left w:type="dxa" w:w="100"/>
              <w:bottom w:type="dxa" w:w="60"/>
              <w:right w:type="dxa" w:w="100"/>
            </w:tcMar>
          </w:tcPr>
          <w:p>
            <w:r>
              <w:rPr>
                <w:sz w:val="19"/>
                <w:szCs w:val="19"/>
              </w:rPr>
              <w:t xml:space="preserve">Retourne { role, profile } de l'utilisateur connecté. Utilisée à la connexion et dans onAuthStateChange. Ne jamais la remplacer par des requêtes directes sur users/profiles.</w:t>
            </w:r>
          </w:p>
        </w:tc>
      </w:tr>
      <w:tr>
        <w:tc>
          <w:tcPr>
            <w:tcW w:type="dxa" w:w="3200"/>
            <w:tcMar>
              <w:top w:type="dxa" w:w="60"/>
              <w:left w:type="dxa" w:w="100"/>
              <w:bottom w:type="dxa" w:w="60"/>
              <w:right w:type="dxa" w:w="100"/>
            </w:tcMar>
          </w:tcPr>
          <w:p>
            <w:r>
              <w:rPr>
                <w:sz w:val="19"/>
                <w:szCs w:val="19"/>
              </w:rPr>
              <w:t xml:space="preserve">is_admin()</w:t>
            </w:r>
          </w:p>
        </w:tc>
        <w:tc>
          <w:tcPr>
            <w:tcW w:type="dxa" w:w="5820"/>
            <w:tcMar>
              <w:top w:type="dxa" w:w="60"/>
              <w:left w:type="dxa" w:w="100"/>
              <w:bottom w:type="dxa" w:w="60"/>
              <w:right w:type="dxa" w:w="100"/>
            </w:tcMar>
          </w:tcPr>
          <w:p>
            <w:r>
              <w:rPr>
                <w:sz w:val="19"/>
                <w:szCs w:val="19"/>
              </w:rPr>
              <w:t xml:space="preserve">Vérifie si l'utilisateur connecté est administrateur</w:t>
            </w:r>
          </w:p>
        </w:tc>
      </w:tr>
      <w:tr>
        <w:tc>
          <w:tcPr>
            <w:tcW w:type="dxa" w:w="3200"/>
            <w:tcMar>
              <w:top w:type="dxa" w:w="60"/>
              <w:left w:type="dxa" w:w="100"/>
              <w:bottom w:type="dxa" w:w="60"/>
              <w:right w:type="dxa" w:w="100"/>
            </w:tcMar>
          </w:tcPr>
          <w:p>
            <w:r>
              <w:rPr>
                <w:sz w:val="19"/>
                <w:szCs w:val="19"/>
              </w:rPr>
              <w:t xml:space="preserve">is_doctor(uid)</w:t>
            </w:r>
          </w:p>
        </w:tc>
        <w:tc>
          <w:tcPr>
            <w:tcW w:type="dxa" w:w="5820"/>
            <w:tcMar>
              <w:top w:type="dxa" w:w="60"/>
              <w:left w:type="dxa" w:w="100"/>
              <w:bottom w:type="dxa" w:w="60"/>
              <w:right w:type="dxa" w:w="100"/>
            </w:tcMar>
          </w:tcPr>
          <w:p>
            <w:r>
              <w:rPr>
                <w:sz w:val="19"/>
                <w:szCs w:val="19"/>
              </w:rPr>
              <w:t xml:space="preserve">Vérifie si un identifiant utilisateur correspond à un praticien — utilisée dans les policies RLS pour éviter des sous-requêtes récursives</w:t>
            </w:r>
          </w:p>
        </w:tc>
      </w:tr>
      <w:tr>
        <w:tc>
          <w:tcPr>
            <w:tcW w:type="dxa" w:w="3200"/>
            <w:tcMar>
              <w:top w:type="dxa" w:w="60"/>
              <w:left w:type="dxa" w:w="100"/>
              <w:bottom w:type="dxa" w:w="60"/>
              <w:right w:type="dxa" w:w="100"/>
            </w:tcMar>
          </w:tcPr>
          <w:p>
            <w:r>
              <w:rPr>
                <w:sz w:val="19"/>
                <w:szCs w:val="19"/>
              </w:rPr>
              <w:t xml:space="preserve">get_my_doctor_id()</w:t>
            </w:r>
          </w:p>
        </w:tc>
        <w:tc>
          <w:tcPr>
            <w:tcW w:type="dxa" w:w="5820"/>
            <w:tcMar>
              <w:top w:type="dxa" w:w="60"/>
              <w:left w:type="dxa" w:w="100"/>
              <w:bottom w:type="dxa" w:w="60"/>
              <w:right w:type="dxa" w:w="100"/>
            </w:tcMar>
          </w:tcPr>
          <w:p>
            <w:r>
              <w:rPr>
                <w:sz w:val="19"/>
                <w:szCs w:val="19"/>
              </w:rPr>
              <w:t xml:space="preserve">Retourne l'id (table doctors) du praticien connecté</w:t>
            </w:r>
          </w:p>
        </w:tc>
      </w:tr>
      <w:tr>
        <w:tc>
          <w:tcPr>
            <w:tcW w:type="dxa" w:w="3200"/>
            <w:tcMar>
              <w:top w:type="dxa" w:w="60"/>
              <w:left w:type="dxa" w:w="100"/>
              <w:bottom w:type="dxa" w:w="60"/>
              <w:right w:type="dxa" w:w="100"/>
            </w:tcMar>
          </w:tcPr>
          <w:p>
            <w:r>
              <w:rPr>
                <w:sz w:val="19"/>
                <w:szCs w:val="19"/>
              </w:rPr>
              <w:t xml:space="preserve">get_booked_slots(...)</w:t>
            </w:r>
          </w:p>
        </w:tc>
        <w:tc>
          <w:tcPr>
            <w:tcW w:type="dxa" w:w="5820"/>
            <w:tcMar>
              <w:top w:type="dxa" w:w="60"/>
              <w:left w:type="dxa" w:w="100"/>
              <w:bottom w:type="dxa" w:w="60"/>
              <w:right w:type="dxa" w:w="100"/>
            </w:tcMar>
          </w:tcPr>
          <w:p>
            <w:r>
              <w:rPr>
                <w:sz w:val="19"/>
                <w:szCs w:val="19"/>
              </w:rPr>
              <w:t xml:space="preserve">Retourne les créneaux déjà réservés d'un praticien, pour le calcul des disponibilités</w:t>
            </w:r>
          </w:p>
        </w:tc>
      </w:tr>
      <w:tr>
        <w:tc>
          <w:tcPr>
            <w:tcW w:type="dxa" w:w="3200"/>
            <w:tcMar>
              <w:top w:type="dxa" w:w="60"/>
              <w:left w:type="dxa" w:w="100"/>
              <w:bottom w:type="dxa" w:w="60"/>
              <w:right w:type="dxa" w:w="100"/>
            </w:tcMar>
          </w:tcPr>
          <w:p>
            <w:r>
              <w:rPr>
                <w:sz w:val="19"/>
                <w:szCs w:val="19"/>
              </w:rPr>
              <w:t xml:space="preserve">join_clinic_by_code(code, doctor_id)</w:t>
            </w:r>
          </w:p>
        </w:tc>
        <w:tc>
          <w:tcPr>
            <w:tcW w:type="dxa" w:w="5820"/>
            <w:tcMar>
              <w:top w:type="dxa" w:w="60"/>
              <w:left w:type="dxa" w:w="100"/>
              <w:bottom w:type="dxa" w:w="60"/>
              <w:right w:type="dxa" w:w="100"/>
            </w:tcMar>
          </w:tcPr>
          <w:p>
            <w:r>
              <w:rPr>
                <w:sz w:val="19"/>
                <w:szCs w:val="19"/>
              </w:rPr>
              <w:t xml:space="preserve">Recherche un cabinet par code d'invitation et y ajoute le praticien de façon atomique</w:t>
            </w:r>
          </w:p>
        </w:tc>
      </w:tr>
      <w:tr>
        <w:tc>
          <w:tcPr>
            <w:tcW w:type="dxa" w:w="3200"/>
            <w:tcMar>
              <w:top w:type="dxa" w:w="60"/>
              <w:left w:type="dxa" w:w="100"/>
              <w:bottom w:type="dxa" w:w="60"/>
              <w:right w:type="dxa" w:w="100"/>
            </w:tcMar>
          </w:tcPr>
          <w:p>
            <w:r>
              <w:rPr>
                <w:sz w:val="19"/>
                <w:szCs w:val="19"/>
              </w:rPr>
              <w:t xml:space="preserve">get_doctor_clinic(doctor_id)</w:t>
            </w:r>
          </w:p>
        </w:tc>
        <w:tc>
          <w:tcPr>
            <w:tcW w:type="dxa" w:w="5820"/>
            <w:tcMar>
              <w:top w:type="dxa" w:w="60"/>
              <w:left w:type="dxa" w:w="100"/>
              <w:bottom w:type="dxa" w:w="60"/>
              <w:right w:type="dxa" w:w="100"/>
            </w:tcMar>
          </w:tcPr>
          <w:p>
            <w:r>
              <w:rPr>
                <w:sz w:val="19"/>
                <w:szCs w:val="19"/>
              </w:rPr>
              <w:t xml:space="preserve">Retourne le cabinet (nom, adresse, ville) d'un praticien donné, accessible même sans connexion, sans jamais exposer le code d'invitation</w:t>
            </w:r>
          </w:p>
        </w:tc>
      </w:tr>
      <w:tr>
        <w:tc>
          <w:tcPr>
            <w:tcW w:type="dxa" w:w="3200"/>
            <w:tcMar>
              <w:top w:type="dxa" w:w="60"/>
              <w:left w:type="dxa" w:w="100"/>
              <w:bottom w:type="dxa" w:w="60"/>
              <w:right w:type="dxa" w:w="100"/>
            </w:tcMar>
          </w:tcPr>
          <w:p>
            <w:r>
              <w:rPr>
                <w:sz w:val="19"/>
                <w:szCs w:val="19"/>
              </w:rPr>
              <w:t xml:space="preserve">search_clinics(city, specialty)</w:t>
            </w:r>
          </w:p>
        </w:tc>
        <w:tc>
          <w:tcPr>
            <w:tcW w:type="dxa" w:w="5820"/>
            <w:tcMar>
              <w:top w:type="dxa" w:w="60"/>
              <w:left w:type="dxa" w:w="100"/>
              <w:bottom w:type="dxa" w:w="60"/>
              <w:right w:type="dxa" w:w="100"/>
            </w:tcMar>
          </w:tcPr>
          <w:p>
            <w:r>
              <w:rPr>
                <w:sz w:val="19"/>
                <w:szCs w:val="19"/>
              </w:rPr>
              <w:t xml:space="preserve">Recherche de cabinets par ville et/ou spécialité d'un membre, agrégée (nombre de membres, spécialités, note moyenne, lat/lng depuis la migration 038)</w:t>
            </w:r>
          </w:p>
        </w:tc>
      </w:tr>
      <w:tr>
        <w:tc>
          <w:tcPr>
            <w:tcW w:type="dxa" w:w="3200"/>
            <w:tcMar>
              <w:top w:type="dxa" w:w="60"/>
              <w:left w:type="dxa" w:w="100"/>
              <w:bottom w:type="dxa" w:w="60"/>
              <w:right w:type="dxa" w:w="100"/>
            </w:tcMar>
          </w:tcPr>
          <w:p>
            <w:r>
              <w:rPr>
                <w:sz w:val="19"/>
                <w:szCs w:val="19"/>
              </w:rPr>
              <w:t xml:space="preserve">get_clinic_info(clinic_id)</w:t>
            </w:r>
          </w:p>
        </w:tc>
        <w:tc>
          <w:tcPr>
            <w:tcW w:type="dxa" w:w="5820"/>
            <w:tcMar>
              <w:top w:type="dxa" w:w="60"/>
              <w:left w:type="dxa" w:w="100"/>
              <w:bottom w:type="dxa" w:w="60"/>
              <w:right w:type="dxa" w:w="100"/>
            </w:tcMar>
          </w:tcPr>
          <w:p>
            <w:r>
              <w:rPr>
                <w:sz w:val="19"/>
                <w:szCs w:val="19"/>
              </w:rPr>
              <w:t xml:space="preserve">Fiche publique d'un cabinet</w:t>
            </w:r>
          </w:p>
        </w:tc>
      </w:tr>
      <w:tr>
        <w:tc>
          <w:tcPr>
            <w:tcW w:type="dxa" w:w="3200"/>
            <w:tcMar>
              <w:top w:type="dxa" w:w="60"/>
              <w:left w:type="dxa" w:w="100"/>
              <w:bottom w:type="dxa" w:w="60"/>
              <w:right w:type="dxa" w:w="100"/>
            </w:tcMar>
          </w:tcPr>
          <w:p>
            <w:r>
              <w:rPr>
                <w:sz w:val="19"/>
                <w:szCs w:val="19"/>
              </w:rPr>
              <w:t xml:space="preserve">get_clinic_team(clinic_id)</w:t>
            </w:r>
          </w:p>
        </w:tc>
        <w:tc>
          <w:tcPr>
            <w:tcW w:type="dxa" w:w="5820"/>
            <w:tcMar>
              <w:top w:type="dxa" w:w="60"/>
              <w:left w:type="dxa" w:w="100"/>
              <w:bottom w:type="dxa" w:w="60"/>
              <w:right w:type="dxa" w:w="100"/>
            </w:tcMar>
          </w:tcPr>
          <w:p>
            <w:r>
              <w:rPr>
                <w:sz w:val="19"/>
                <w:szCs w:val="19"/>
              </w:rPr>
              <w:t xml:space="preserve">Équipe complète (praticiens) d'un cabinet, avec leurs informations publiques</w:t>
            </w:r>
          </w:p>
        </w:tc>
      </w:tr>
      <w:tr>
        <w:tc>
          <w:tcPr>
            <w:tcW w:type="dxa" w:w="3200"/>
            <w:tcMar>
              <w:top w:type="dxa" w:w="60"/>
              <w:left w:type="dxa" w:w="100"/>
              <w:bottom w:type="dxa" w:w="60"/>
              <w:right w:type="dxa" w:w="100"/>
            </w:tcMar>
          </w:tcPr>
          <w:p>
            <w:r>
              <w:rPr>
                <w:sz w:val="19"/>
                <w:szCs w:val="19"/>
              </w:rPr>
              <w:t xml:space="preserve">add_clinic_service(...) / delete_clinic_service(id)</w:t>
            </w:r>
          </w:p>
        </w:tc>
        <w:tc>
          <w:tcPr>
            <w:tcW w:type="dxa" w:w="5820"/>
            <w:tcMar>
              <w:top w:type="dxa" w:w="60"/>
              <w:left w:type="dxa" w:w="100"/>
              <w:bottom w:type="dxa" w:w="60"/>
              <w:right w:type="dxa" w:w="100"/>
            </w:tcMar>
          </w:tcPr>
          <w:p>
            <w:r>
              <w:rPr>
                <w:sz w:val="19"/>
                <w:szCs w:val="19"/>
              </w:rPr>
              <w:t xml:space="preserve">Gestion des tarifs d'un cabinet : chaque praticien gère les siens, l'administrateur (créateur) du cabinet peut tous les supprimer</w:t>
            </w:r>
          </w:p>
        </w:tc>
      </w:tr>
      <w:tr>
        <w:tc>
          <w:tcPr>
            <w:tcW w:type="dxa" w:w="3200"/>
            <w:tcMar>
              <w:top w:type="dxa" w:w="60"/>
              <w:left w:type="dxa" w:w="100"/>
              <w:bottom w:type="dxa" w:w="60"/>
              <w:right w:type="dxa" w:w="100"/>
            </w:tcMar>
          </w:tcPr>
          <w:p>
            <w:r>
              <w:rPr>
                <w:sz w:val="19"/>
                <w:szCs w:val="19"/>
              </w:rPr>
              <w:t xml:space="preserve">remove_clinic_member(id)</w:t>
            </w:r>
          </w:p>
        </w:tc>
        <w:tc>
          <w:tcPr>
            <w:tcW w:type="dxa" w:w="5820"/>
            <w:tcMar>
              <w:top w:type="dxa" w:w="60"/>
              <w:left w:type="dxa" w:w="100"/>
              <w:bottom w:type="dxa" w:w="60"/>
              <w:right w:type="dxa" w:w="100"/>
            </w:tcMar>
          </w:tcPr>
          <w:p>
            <w:r>
              <w:rPr>
                <w:sz w:val="19"/>
                <w:szCs w:val="19"/>
              </w:rPr>
              <w:t xml:space="preserve">Retrait d'un membre du cabinet, réservé au créateur du cabinet, avec interdiction de s'auto-retirer</w:t>
            </w:r>
          </w:p>
        </w:tc>
      </w:tr>
      <w:tr>
        <w:tc>
          <w:tcPr>
            <w:tcW w:type="dxa" w:w="3200"/>
            <w:tcMar>
              <w:top w:type="dxa" w:w="60"/>
              <w:left w:type="dxa" w:w="100"/>
              <w:bottom w:type="dxa" w:w="60"/>
              <w:right w:type="dxa" w:w="100"/>
            </w:tcMar>
          </w:tcPr>
          <w:p>
            <w:r>
              <w:rPr>
                <w:sz w:val="19"/>
                <w:szCs w:val="19"/>
              </w:rPr>
              <w:t xml:space="preserve">get_conversation_partners()</w:t>
            </w:r>
          </w:p>
        </w:tc>
        <w:tc>
          <w:tcPr>
            <w:tcW w:type="dxa" w:w="5820"/>
            <w:tcMar>
              <w:top w:type="dxa" w:w="60"/>
              <w:left w:type="dxa" w:w="100"/>
              <w:bottom w:type="dxa" w:w="60"/>
              <w:right w:type="dxa" w:w="100"/>
            </w:tcMar>
          </w:tcPr>
          <w:p>
            <w:r>
              <w:rPr>
                <w:sz w:val="19"/>
                <w:szCs w:val="19"/>
              </w:rPr>
              <w:t xml:space="preserve">Liste des interlocuteurs de messagerie avec compteur de messages non lus</w:t>
            </w:r>
          </w:p>
        </w:tc>
      </w:tr>
      <w:tr>
        <w:tc>
          <w:tcPr>
            <w:tcW w:type="dxa" w:w="3200"/>
            <w:tcMar>
              <w:top w:type="dxa" w:w="60"/>
              <w:left w:type="dxa" w:w="100"/>
              <w:bottom w:type="dxa" w:w="60"/>
              <w:right w:type="dxa" w:w="100"/>
            </w:tcMar>
          </w:tcPr>
          <w:p>
            <w:r>
              <w:rPr>
                <w:sz w:val="19"/>
                <w:szCs w:val="19"/>
              </w:rPr>
              <w:t xml:space="preserve">notify_new_message()</w:t>
            </w:r>
          </w:p>
        </w:tc>
        <w:tc>
          <w:tcPr>
            <w:tcW w:type="dxa" w:w="5820"/>
            <w:tcMar>
              <w:top w:type="dxa" w:w="60"/>
              <w:left w:type="dxa" w:w="100"/>
              <w:bottom w:type="dxa" w:w="60"/>
              <w:right w:type="dxa" w:w="100"/>
            </w:tcMar>
          </w:tcPr>
          <w:p>
            <w:r>
              <w:rPr>
                <w:sz w:val="19"/>
                <w:szCs w:val="19"/>
              </w:rPr>
              <w:t xml:space="preserve">Trigger de création automatique d'une notification à l'envoi d'un message</w:t>
            </w:r>
          </w:p>
        </w:tc>
      </w:tr>
      <w:tr>
        <w:tc>
          <w:tcPr>
            <w:tcW w:type="dxa" w:w="3200"/>
            <w:tcMar>
              <w:top w:type="dxa" w:w="60"/>
              <w:left w:type="dxa" w:w="100"/>
              <w:bottom w:type="dxa" w:w="60"/>
              <w:right w:type="dxa" w:w="100"/>
            </w:tcMar>
          </w:tcPr>
          <w:p>
            <w:r>
              <w:rPr>
                <w:sz w:val="19"/>
                <w:szCs w:val="19"/>
              </w:rPr>
              <w:t xml:space="preserve">delete_my_account()</w:t>
            </w:r>
          </w:p>
        </w:tc>
        <w:tc>
          <w:tcPr>
            <w:tcW w:type="dxa" w:w="5820"/>
            <w:tcMar>
              <w:top w:type="dxa" w:w="60"/>
              <w:left w:type="dxa" w:w="100"/>
              <w:bottom w:type="dxa" w:w="60"/>
              <w:right w:type="dxa" w:w="100"/>
            </w:tcMar>
          </w:tcPr>
          <w:p>
            <w:r>
              <w:rPr>
                <w:sz w:val="19"/>
                <w:szCs w:val="19"/>
              </w:rPr>
              <w:t xml:space="preserve">Suppression complète et en cascade du compte (voir section 5.3)</w:t>
            </w:r>
          </w:p>
        </w:tc>
      </w:tr>
      <w:tr>
        <w:tc>
          <w:tcPr>
            <w:tcW w:type="dxa" w:w="3200"/>
            <w:tcMar>
              <w:top w:type="dxa" w:w="60"/>
              <w:left w:type="dxa" w:w="100"/>
              <w:bottom w:type="dxa" w:w="60"/>
              <w:right w:type="dxa" w:w="100"/>
            </w:tcMar>
          </w:tcPr>
          <w:p>
            <w:r>
              <w:rPr>
                <w:sz w:val="19"/>
                <w:szCs w:val="19"/>
              </w:rPr>
              <w:t xml:space="preserve">get_clinic_member_doctor_ids()</w:t>
            </w:r>
          </w:p>
        </w:tc>
        <w:tc>
          <w:tcPr>
            <w:tcW w:type="dxa" w:w="5820"/>
            <w:tcMar>
              <w:top w:type="dxa" w:w="60"/>
              <w:left w:type="dxa" w:w="100"/>
              <w:bottom w:type="dxa" w:w="60"/>
              <w:right w:type="dxa" w:w="100"/>
            </w:tcMar>
          </w:tcPr>
          <w:p>
            <w:r>
              <w:rPr>
                <w:sz w:val="19"/>
                <w:szCs w:val="19"/>
              </w:rPr>
              <w:t xml:space="preserve">Retourne les identifiants des praticiens membres d'un cabinet, afin de les exclure des résultats de recherche individuels (voir section 6.4)</w:t>
            </w:r>
          </w:p>
        </w:tc>
      </w:tr>
      <w:tr>
        <w:tc>
          <w:tcPr>
            <w:tcW w:type="dxa" w:w="3200"/>
            <w:tcMar>
              <w:top w:type="dxa" w:w="60"/>
              <w:left w:type="dxa" w:w="100"/>
              <w:bottom w:type="dxa" w:w="60"/>
              <w:right w:type="dxa" w:w="100"/>
            </w:tcMar>
          </w:tcPr>
          <w:p>
            <w:r>
              <w:rPr>
                <w:sz w:val="19"/>
                <w:szCs w:val="19"/>
              </w:rPr>
              <w:t xml:space="preserve">get_doctor_reviews(doctor_id)</w:t>
            </w:r>
          </w:p>
        </w:tc>
        <w:tc>
          <w:tcPr>
            <w:tcW w:type="dxa" w:w="5820"/>
            <w:tcMar>
              <w:top w:type="dxa" w:w="60"/>
              <w:left w:type="dxa" w:w="100"/>
              <w:bottom w:type="dxa" w:w="60"/>
              <w:right w:type="dxa" w:w="100"/>
            </w:tcMar>
          </w:tcPr>
          <w:p>
            <w:r>
              <w:rPr>
                <w:sz w:val="19"/>
                <w:szCs w:val="19"/>
              </w:rPr>
              <w:t xml:space="preserve">Retourne les avis d'un praticien avec les informations publiques de l'auteur, en contournant la policy RLS qui empêche une jointure directe sur profiles pour un tiers</w:t>
            </w:r>
          </w:p>
        </w:tc>
      </w:tr>
    </w:tbl>
    <w:p>
      <w:pPr>
        <w:pStyle w:val="Heading2"/>
        <w:spacing w:after="150" w:before="300"/>
      </w:pPr>
      <w:r>
        <w:t xml:space="preserve">5.2 Accès des praticiens aux dossiers patients</w:t>
      </w:r>
    </w:p>
    <w:p>
      <w:pPr>
        <w:spacing w:after="160" w:line="300"/>
      </w:pPr>
      <w:r>
        <w:t xml:space="preserve">Un praticien obtient un accès en lecture (et en ajout) aux tables animals, vaccines, weight_tracking et health_records d'un animal uniquement lorsqu'il existe, entre lui et le propriétaire de l'animal, un rendez-vous au statut confirmed ou completed. Cette règle est portée par les politiques RLS ajoutées en migration 002 puis étendue au contexte des cabinets par les migrations 026 à 031 (un praticien voit alors aussi les patients de ses confrères du même cabinet, avec des index de performance dédiés).</w:t>
      </w:r>
    </w:p>
    <w:p>
      <w:pPr>
        <w:spacing w:after="160" w:line="300"/>
      </w:pPr>
      <w:r>
        <w:t>MISE À JOUR du 05/10/2026 (migration 116) — nouvelle règle d'accès, qui remplace celle décrite ci-dessus : un praticien (ou un confrère de son cabinet) voit un animal tant qu'il existe un rendez-vous MAINTENU (confirmé ou terminé) datant de moins d'un an, futur compris. Premier rendez-vous annulé : aucun accès. Animal déjà vu : l'annulation d'un rendez-vous ultérieur ne retire rien. Plus de rendez-vous depuis un an : l'accès est perdu et retrouvé dès un nouveau rendez-vous. « Absent(e) » et annulé ne comptent jamais ; un rendez-vous passé resté « confirmé » (non clôturé) compte comme tenu. Mise en œuvre : fonctions security definer doctor_has_care_link / doctor_has_care_link_for_animal (pas de récursion RLS) utilisées par les policies praticien de animals, care_items, weight_tracking, health_records et animal_documents (les policies « cabinet » séparées sont fusionnées, ce qui supprime l'accès des confrères à des rendez-vous annulés). Inchangés : policies propriétaire, partage de dossier entre praticiens (animal_referrals), et policies sur profiles — nom et coordonnées du propriétaire restent lisibles pour l'agenda même après annulation. Les données saisies par le praticien restent en base. Côté écran, « Mes patients » (useDoctorPatientAnimals) ne liste que les patients avec un lien de soin valide (src/lib/careLink.ts, miroir de la règle SQL, testé) ; les anciens rendez-vous de plus d'un an s'affichent dans l'agenda sans nom d'animal.</w:t>
      </w:r>
    </w:p>
    <w:p>
      <w:pPr>
        <w:spacing w:after="160" w:line="300"/>
      </w:pPr>
      <w:r>
        <w:t>Mise à jour du 24/09/2026 — partage de dossier entre praticiens avec l'accord du propriétaire (migrations 104 à 106) : un praticien A qui a déjà un accès légitime peut proposer l'envoi du dossier d'un animal à un confrère B (bouton « Envoyer à un confrère » sur la fiche de santé, avec un message de contexte). B n'obtient rien tant que le propriétaire n'a pas accepté ; une fois accepté, B a un accès en lecture seule, limité à cet animal précis (pas aux autres animaux du propriétaire), sur animals, care_items, weight_tracking, health_records, animal_documents et sur le profil du propriétaire (pour afficher son nom). Le propriétaire peut révoquer à tout moment. Les transitions de statut sont verrouillées par trigger (pending vers accepted ou declined, accepted vers revoked, rien d'autre) et les notifications (referral_requested, referral_accepted, referral_declined, referral_revoked) sont créées par des triggers SQL, jamais côté client. Dans l'onglet Mes patients du praticien, une sous-section « Dossiers reçus en référence » est séparée de la liste habituelle, car la portée est différente (un seul animal). Trouvaille corrigée dans le même lot : la policy « animals: vétérinaire peut voir » (migration 081) autorisait n'importe quel praticien connecté à lire la fiche de n'importe quel animal sans lien avec son propriétaire (pas les données médicales, déjà protégées) ; aucune fonctionnalité n'en dépendait, elle a été supprimée (migration 104). Autre point : les trois policies RLS « propriétaire » de care_items, weight_tracking et health_records existaient en production sans figurer dans aucune migration ; elles ont été versionnées à l'identique (migration 101) après vérification via pg_policies.</w:t>
      </w:r>
    </w:p>
    <w:p>
      <w:pPr>
        <w:pStyle w:val="Heading2"/>
        <w:spacing w:after="150" w:before="300"/>
      </w:pPr>
      <w:r>
        <w:t xml:space="preserve">5.3 Suppression de compte</w:t>
      </w:r>
    </w:p>
    <w:p>
      <w:pPr>
        <w:spacing w:after="160" w:line="300"/>
      </w:pPr>
      <w:r>
        <w:t xml:space="preserve">La fonction delete_my_account() supprime, dans l'ordre, selon le rôle du compte : les tarifs, membres et éventuellement le cabinet (s'il en est le créateur) pour un praticien ; les vaccins, suivis de poids, dossiers de santé et animaux (s'il en est propriétaire) ; les rendez-vous (en tant que patient ou que praticien) ; les disponibilités et congés (praticien) ; puis le compte auth.users lui-même, dont la suppression déclenche en cascade celle de users, profiles, doctors, messages, notifications et reviews.</w:t>
      </w:r>
    </w:p>
    <w:p>
      <w:pPr>
        <w:pStyle w:val="Heading2"/>
        <w:spacing w:after="150" w:before="300"/>
      </w:pPr>
      <w:r>
        <w:t xml:space="preserve">5.4 Conformité RGPD : consentement et portabilité</w:t>
      </w:r>
    </w:p>
    <w:p>
      <w:pPr>
        <w:spacing w:after="160" w:line="300"/>
      </w:pPr>
      <w:r>
        <w:t xml:space="preserve">Ajoutés le 21 juillet 2026, en préparation de l'ouverture au public :</w:t>
      </w:r>
    </w:p>
    <w:p>
      <w:pPr>
        <w:pStyle w:val="ListParagraph"/>
        <w:numPr>
          <w:ilvl w:val="0"/>
          <w:numId w:val="2"/>
        </w:numPr>
        <w:spacing w:after="100"/>
      </w:pPr>
      <w:r>
        <w:t xml:space="preserve">users.terms_accepted_at (colonne timestamptz) — preuve horodatée de l'acceptation des CGU et de la politique de confidentialité. Renseignée par handle_new_user() uniquement si le client transmet terms_accepted=true dans les métadonnées d'inscription (RegisterPage.tsx). Auparavant, la case à cocher ne bloquait que la soumission du formulaire côté client, sans aucune trace côté serveur.</w:t>
      </w:r>
    </w:p>
    <w:p>
      <w:pPr>
        <w:pStyle w:val="ListParagraph"/>
        <w:numPr>
          <w:ilvl w:val="0"/>
          <w:numId w:val="2"/>
        </w:numPr>
        <w:spacing w:after="100"/>
      </w:pPr>
      <w:r>
        <w:t xml:space="preserve">export_my_data() — RPC SECURITY DEFINER (droit à la portabilité, RGPD art. 20) agrégeant en un seul objet JSON l'ensemble des données personnelles de l'utilisateur connecté : compte, profil, profil praticien, animaux, vaccins, suivi de poids, dossiers médicaux, documents, rendez-vous (patient et praticien), avis, messages, notifications, disponibilités. Scopée à auth.uid(), impossible d'exporter les données d'un tiers. Bouton « Télécharger mes données » sur /profil et sur l'onglet Profil du tableau de bord praticien, qui déclenche le téléchargement d'un fichier .json.</w:t>
      </w:r>
    </w:p>
    <w:p>
      <w:pPr>
        <w:pStyle w:val="Heading1"/>
        <w:spacing w:after="200" w:before="400"/>
      </w:pPr>
      <w:r>
        <w:t xml:space="preserve">6. Fonctionnalités — Visiteur et Patient</w:t>
      </w:r>
    </w:p>
    <w:p>
      <w:pPr>
        <w:pStyle w:val="Heading2"/>
        <w:spacing w:after="150" w:before="300"/>
      </w:pPr>
      <w:r>
        <w:t xml:space="preserve">6.1 Page d'accueil (/)</w:t>
      </w:r>
    </w:p>
    <w:p>
      <w:pPr>
        <w:spacing w:after="160" w:line="300"/>
      </w:pPr>
      <w:r>
        <w:t xml:space="preserve">Composée de quatre sections empilées verticalement : un héros avec barre de recherche (spécialité + ville, avec autocomplétion sur la spécialité), une section « Comment ça marche » dont le contenu s'adapte selon que le visiteur est un patient (Recherchez / Choisissez / Confirmez) ou un praticien connecté (Créez votre profil / Recevez des demandes / Échangez avec vos patients), une section « Consultez par spécialité » affichant l'ensemble des métiers de la liste fermée (sauf « Autre ») sous forme de grille de cartes cliquables, et enfin un bloc d'appel à l'inscription praticien, visible uniquement pour les visiteurs non connectés (ni patients ni praticiens déjà inscrits ne le voient). Un pied de page (Footer, src/components/ui/Footer.tsx) referme la page : logo et courte description, raccourcis vers la recherche et l'inscription praticien, et liens vers les pages légales (CGU, politique de confidentialité — voir section 6.14).</w:t>
      </w:r>
    </w:p>
    <w:p>
      <w:pPr>
        <w:pStyle w:val="Heading2"/>
        <w:spacing w:after="150" w:before="300"/>
      </w:pPr>
      <w:r>
        <w:t xml:space="preserve">6.2 Inscription (/register)</w:t>
      </w:r>
    </w:p>
    <w:p>
      <w:pPr>
        <w:spacing w:after="160" w:line="300"/>
      </w:pPr>
      <w:r>
        <w:t xml:space="preserve">Formulaire unique avec bascule Propriétaire / Praticien. Champs communs : prénom, nom, email, mot de passe (8 caractères minimum, validation Zod). Si le rôle choisi est praticien, un sélecteur obligatoire de profession apparaît, présentant la liste fermée des métiers sous forme de boutons illustrés d'une icône (voir section 6.7) — aucune saisie libre n'est possible. La validation du formulaire est bloquée tant que la case d'acceptation des CGU et de la politique de confidentialité (liens vers /cgu et /confidentialite, ouverts dans un nouvel onglet) n'est pas cochée. Un widget de vérification anti-bot (Cloudflare Turnstile, section 3.7) doit également être validé avant soumission, si VITE_TURNSTILE_SITE_KEY est configurée. L'inscription utilise supabase.auth.signUp avec les métadonnées transmises au trigger handle_new_user. Un écran de confirmation invite ensuite à valider l'adresse email avant de pouvoir se connecter.</w:t>
      </w:r>
    </w:p>
    <w:p>
      <w:pPr>
        <w:pStyle w:val="Heading2"/>
        <w:spacing w:after="150" w:before="300"/>
      </w:pPr>
      <w:r>
        <w:t xml:space="preserve">6.3 Connexion, mot de passe oublié (/login, /forgot-password, /reset-password)</w:t>
      </w:r>
    </w:p>
    <w:p>
      <w:pPr>
        <w:spacing w:after="160" w:line="300"/>
      </w:pPr>
      <w:r>
        <w:t xml:space="preserve">Connexion standard email/mot de passe avec redirection selon le rôle, protégée par un timeout de 10 secondes et une récupération des données utilisateur avec 3 tentatives et 800 ms de délai entre chacune (getMyUserDataWithRetry). La réinitialisation de mot de passe envoie un email (supabase.auth.resetPasswordForEmail) contenant un lien vers /reset-password ; Supabase établit alors automatiquement une session de récupération temporaire à partir de ce lien, permettant la mise à jour du mot de passe (supabase.auth.updateUser). Les trois formulaires (connexion, inscription, réinitialisation) proposent un bouton de visibilité du mot de passe (icône œil). Sur l'écran de connexion, une erreur d'identifiants distingue désormais le cas d'un email non confirmé (message invitant explicitement à cliquer sur le lien reçu par email) de celui d'un mot de passe réellement incorrect, plutôt que d'afficher un message générique unique dans les deux cas.</w:t>
      </w:r>
    </w:p>
    <w:p>
      <w:pPr>
        <w:pStyle w:val="Heading2"/>
        <w:spacing w:after="150" w:before="300"/>
      </w:pPr>
      <w:r>
        <w:t xml:space="preserve">6.4 Recherche de praticiens (/search)</w:t>
      </w:r>
    </w:p>
    <w:p>
      <w:pPr>
        <w:spacing w:after="160" w:line="300"/>
      </w:pPr>
      <w:r>
        <w:t xml:space="preserve">L'URL est l'unique source de vérité des filtres (specialty, city, maxPrice, minRating, lat, lng, radiusKm, species, homeVisit, availability) : aucun état React dupliqué. Ce choix garantit qu'un retour en arrière depuis une fiche praticien restaure exactement les filtres précédemment appliqués. Tant qu'aucun critère réel n'est renseigné (spécialité, ville, géolocalisation ou l'un des filtres secondaires ci-dessous), aucune requête n'est envoyée et aucun résultat ne s'affiche : un simple réglage du prix ou de la note seuls ne déclenche jamais l'affichage de l'ensemble des praticiens.</w:t>
      </w:r>
    </w:p>
    <w:p>
      <w:pPr>
        <w:spacing w:after="160" w:line="300"/>
      </w:pPr>
      <w:r>
        <w:t xml:space="preserve">Le filtre de prix est un curseur de 0 à 200 € par pas de 10 € (200 signifiant « 200 €+ », sans plafond) ; un curseur réglé à 0 € exclut désormais bien tous les praticiens dont le tarif est supérieur à 0 € — un bug corrigé, la condition initiale du filtre traitant à tort la valeur 0 comme l'absence de filtre. Le filtre de note propose « Toutes les notes », « 4+ étoiles » et « 4.5+ étoiles ».</w:t>
      </w:r>
    </w:p>
    <w:p>
      <w:pPr>
        <w:spacing w:after="160" w:line="300"/>
      </w:pPr>
      <w:r>
        <w:t xml:space="preserve">Un bouton « Autour de moi » (proposé en tête de liste dès le clic dans le champ ville) déclenche la géolocalisation du navigateur, fixe lat/lng dans l'URL et efface le champ ville. La distance à vol d'oiseau (haversineKm, src/lib/geo.ts) est alors calculée côté client pour trier les résultats par proximité ; le filtre de rayon (5 / 10 / 25 / 50 / 100 km) reste toujours visible dans la barre latérale mais désactivé tant qu'aucune position n'est active. Les praticiens et cabinets sans coordonnées géocodées restent affichés en fin de liste, sauf si un rayon précis est choisi. Le géocodage (API BAN, api-adresse.data.gouv.fr) s'exécute automatiquement à chaque enregistrement d'une ville ou d'une adresse par un praticien ou un cabinet (useUpdateDoctor, useUpdateClinic).</w:t>
      </w:r>
    </w:p>
    <w:p>
      <w:pPr>
        <w:spacing w:after="160" w:line="300"/>
      </w:pPr>
      <w:r>
        <w:t xml:space="preserve">Trois filtres supplémentaires (migration 046) complètent la recherche : espèces acceptées (pastilles multi-sélection Chiens / Chats / NAC / Équidés / Oiseaux, colonne accepted_species en tableau texte, filtrée côté serveur via l'opérateur overlaps) ; se déplace à domicile (colonne booléenne home_visit, affichée en badge sur la fiche du praticien dans les résultats) ; et une disponibilité choisie parmi Aujourd'hui ou Dans la semaine, qui recalcule pour chaque praticien s'il reste un créneau réellement libre sur la période (disponibilités récurrentes moins rendez-vous pris moins congés moins battement de 15 minutes), selon la même logique que le calendrier de réservation (useAvailableSlots). Ces trois champs praticien ne sont éditables que depuis la page de profil générique (/profil, voir section 6.13).</w:t>
      </w:r>
    </w:p>
    <w:p>
      <w:pPr>
        <w:spacing w:after="160" w:line="300"/>
      </w:pPr>
      <w:r>
        <w:t xml:space="preserve">Depuis le 21 juillet 2026, seuls les praticiens au statut verification_status = 'verified' apparaissent dans les résultats (voir section 6.15) — un praticien en attente ou rejeté reste absent, même s'il correspond par ailleurs aux critères filtrés. Un praticien membre d'un cabinet n'apparaît jamais comme résultat individuel (RPC get_clinic_member_doctor_ids) : il n'est trouvé qu'en passant par la fiche du cabinet, sauf si la recherche correspond directement à son nom, auquel cas il reste visible. Les résultats affichent séparément les cabinets (useClinicsSearch, RPC search_clinics) puis les praticiens individuels (useDoctors) ; les filtres prix, note, espèces, domicile et disponibilité ne s'appliquent volontairement pas aux cabinets, portant sur un praticien précis et non sur l'établissement dans son ensemble. Un bouton Retour est aligné sur la même ligne que la barre de recherche.</w:t>
      </w:r>
    </w:p>
    <w:p>
      <w:pPr>
        <w:spacing w:after="160" w:line="300"/>
      </w:pPr>
      <w:r>
        <w:t xml:space="preserve">Une fois connecté, l'accès à la recherche ne passe plus par un lien dédié de la barre de navigation (retiré) : la recherche depuis la page d'accueil (barre héros, section 6.1) en est désormais le seul point d'entrée, à l'image d'un Doctolib.</w:t>
      </w:r>
    </w:p>
    <w:p>
      <w:pPr>
        <w:pStyle w:val="Heading2"/>
        <w:spacing w:after="150" w:before="300"/>
      </w:pPr>
      <w:r>
        <w:t xml:space="preserve">6.5 Fiche praticien publique (/doctor/:id)</w:t>
      </w:r>
    </w:p>
    <w:p>
      <w:pPr>
        <w:spacing w:after="160" w:line="300"/>
      </w:pPr>
      <w:r>
        <w:t>Accessible sans connexion. Affiche l'en-tête (avatar, profession, adresse — celle du cabinet si le praticien en est membre, sinon son adresse personnelle —, note moyenne, badge « Vérifié » le cas échéant), la biographie au format HTML enrichi et sanitisé, une carte Leaflet interactive (marqueur en sage-500, zoom, tuiles CARTO Voyager — src/components/doctor/LocationMap.tsx) affichée à partir des coordonnées du cabinet si le praticien en est membre, sinon de ses coordonnées personnelles (même bascule que pour l'adresse affichée juste au-dessus), la liste des avis avec un formulaire de dépôt d'avis (réservé aux patients, sans limite de nombre ni lien obligatoire avec un rendez-vous), et un encart de réservation latéral affichant le tarif et un bouton d'action (redirection vers connexion/inscription si le visiteur n'est pas connecté). Depuis le 21 juillet 2026, un praticien non vérifié affiche « Ce profil n'est pas encore disponible » à tout visiteur autre que le praticien lui-même (cohérent avec son absence des résultats de recherche, voir section 6.15) — sans cette garde, un lien direct aurait pu contourner le filtre de recherche.</w:t>
      </w:r>
    </w:p>
    <w:p>
      <w:pPr>
        <w:pStyle w:val="Heading2"/>
        <w:spacing w:after="150" w:before="300"/>
      </w:pPr>
      <w:r>
        <w:t xml:space="preserve">6.6 Fiche cabinet publique (/cabinet/:id)</w:t>
      </w:r>
    </w:p>
    <w:p>
      <w:pPr>
        <w:spacing w:after="160" w:line="300"/>
      </w:pPr>
      <w:r>
        <w:t xml:space="preserve">Présente l'en-tête du cabinet (logo, nom, adresse, téléphone) puis la liste de l'équipe, chaque membre étant affiché avec ses jours de disponibilité hebdomadaire abrégés et un lien vers sa fiche individuelle.</w:t>
      </w:r>
    </w:p>
    <w:p>
      <w:pPr>
        <w:pStyle w:val="Heading2"/>
        <w:spacing w:after="150" w:before="300"/>
      </w:pPr>
      <w:r>
        <w:t xml:space="preserve">6.7 Liste fermée des métiers praticien</w:t>
      </w:r>
    </w:p>
    <w:p>
      <w:pPr>
        <w:spacing w:after="160" w:line="300"/>
      </w:pPr>
      <w:r>
        <w:t xml:space="preserve">La liste des professions est volontairement fermée (aucun champ de saisie libre) et centralisée dans src/lib/practitionerTypes.ts, utilisée à la fois à l'inscription et dans l'édition du profil praticien (tableau de bord). Chaque métier définit également un jeu de tarifs par défaut (nom de prestation + durée indicative) pré-remplissant l'onglet Tarifs du praticien à la création de son compte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6220"/>
      </w:tblGrid>
      <w:tr>
        <w:trPr>
          <w:tblHeader/>
        </w:trPr>
        <w:tc>
          <w:tcPr>
            <w:tcW w:type="dxa" w:w="2800"/>
            <w:shd w:fill="F2820F" w:val="clear"/>
            <w:tcMar>
              <w:top w:type="dxa" w:w="80"/>
              <w:left w:type="dxa" w:w="100"/>
              <w:bottom w:type="dxa" w:w="80"/>
              <w:right w:type="dxa" w:w="100"/>
            </w:tcMar>
          </w:tcPr>
          <w:p>
            <w:r>
              <w:rPr>
                <w:b/>
                <w:bCs/>
                <w:color w:val="FFFFFF"/>
                <w:sz w:val="19"/>
                <w:szCs w:val="19"/>
              </w:rPr>
              <w:t xml:space="preserve">Catégorie</w:t>
            </w:r>
          </w:p>
        </w:tc>
        <w:tc>
          <w:tcPr>
            <w:tcW w:type="dxa" w:w="6220"/>
            <w:shd w:fill="F2820F" w:val="clear"/>
            <w:tcMar>
              <w:top w:type="dxa" w:w="80"/>
              <w:left w:type="dxa" w:w="100"/>
              <w:bottom w:type="dxa" w:w="80"/>
              <w:right w:type="dxa" w:w="100"/>
            </w:tcMar>
          </w:tcPr>
          <w:p>
            <w:r>
              <w:rPr>
                <w:b/>
                <w:bCs/>
                <w:color w:val="FFFFFF"/>
                <w:sz w:val="19"/>
                <w:szCs w:val="19"/>
              </w:rPr>
              <w:t xml:space="preserve">Métiers</w:t>
            </w:r>
          </w:p>
        </w:tc>
      </w:tr>
      <w:tr>
        <w:tc>
          <w:tcPr>
            <w:tcW w:type="dxa" w:w="2800"/>
            <w:tcMar>
              <w:top w:type="dxa" w:w="60"/>
              <w:left w:type="dxa" w:w="100"/>
              <w:bottom w:type="dxa" w:w="60"/>
              <w:right w:type="dxa" w:w="100"/>
            </w:tcMar>
          </w:tcPr>
          <w:p>
            <w:r>
              <w:rPr>
                <w:sz w:val="19"/>
                <w:szCs w:val="19"/>
              </w:rPr>
              <w:t xml:space="preserve">Soins vétérinaires et médicaux</w:t>
            </w:r>
          </w:p>
        </w:tc>
        <w:tc>
          <w:tcPr>
            <w:tcW w:type="dxa" w:w="6220"/>
            <w:tcMar>
              <w:top w:type="dxa" w:w="60"/>
              <w:left w:type="dxa" w:w="100"/>
              <w:bottom w:type="dxa" w:w="60"/>
              <w:right w:type="dxa" w:w="100"/>
            </w:tcMar>
          </w:tcPr>
          <w:p>
            <w:r>
              <w:rPr>
                <w:sz w:val="19"/>
                <w:szCs w:val="19"/>
              </w:rPr>
              <w:t xml:space="preserve">Vétérinaire, Auxiliaire spécialisé vétérinaire (ASV), Ostéopathe animalier, Kinésithérapeute animalier, Hydrothérapeute animalier, Dentiste équin, Nutritionniste animalier, Naturopathe animalier</w:t>
            </w:r>
          </w:p>
        </w:tc>
      </w:tr>
      <w:tr>
        <w:tc>
          <w:tcPr>
            <w:tcW w:type="dxa" w:w="2800"/>
            <w:tcMar>
              <w:top w:type="dxa" w:w="60"/>
              <w:left w:type="dxa" w:w="100"/>
              <w:bottom w:type="dxa" w:w="60"/>
              <w:right w:type="dxa" w:w="100"/>
            </w:tcMar>
          </w:tcPr>
          <w:p>
            <w:r>
              <w:rPr>
                <w:sz w:val="19"/>
                <w:szCs w:val="19"/>
              </w:rPr>
              <w:t xml:space="preserve">Comportement et éducation</w:t>
            </w:r>
          </w:p>
        </w:tc>
        <w:tc>
          <w:tcPr>
            <w:tcW w:type="dxa" w:w="6220"/>
            <w:tcMar>
              <w:top w:type="dxa" w:w="60"/>
              <w:left w:type="dxa" w:w="100"/>
              <w:bottom w:type="dxa" w:w="60"/>
              <w:right w:type="dxa" w:w="100"/>
            </w:tcMar>
          </w:tcPr>
          <w:p>
            <w:r>
              <w:rPr>
                <w:sz w:val="19"/>
                <w:szCs w:val="19"/>
              </w:rPr>
              <w:t xml:space="preserve">Comportementaliste animalier, Éducateur canin, Dresseur animalier, Maître-chien</w:t>
            </w:r>
          </w:p>
        </w:tc>
      </w:tr>
      <w:tr>
        <w:tc>
          <w:tcPr>
            <w:tcW w:type="dxa" w:w="2800"/>
            <w:tcMar>
              <w:top w:type="dxa" w:w="60"/>
              <w:left w:type="dxa" w:w="100"/>
              <w:bottom w:type="dxa" w:w="60"/>
              <w:right w:type="dxa" w:w="100"/>
            </w:tcMar>
          </w:tcPr>
          <w:p>
            <w:r>
              <w:rPr>
                <w:sz w:val="19"/>
                <w:szCs w:val="19"/>
              </w:rPr>
              <w:t xml:space="preserve">Bien-être et esthétique</w:t>
            </w:r>
          </w:p>
        </w:tc>
        <w:tc>
          <w:tcPr>
            <w:tcW w:type="dxa" w:w="6220"/>
            <w:tcMar>
              <w:top w:type="dxa" w:w="60"/>
              <w:left w:type="dxa" w:w="100"/>
              <w:bottom w:type="dxa" w:w="60"/>
              <w:right w:type="dxa" w:w="100"/>
            </w:tcMar>
          </w:tcPr>
          <w:p>
            <w:r>
              <w:rPr>
                <w:sz w:val="19"/>
                <w:szCs w:val="19"/>
              </w:rPr>
              <w:t xml:space="preserve">Toiletteur, Masseur canin</w:t>
            </w:r>
          </w:p>
        </w:tc>
      </w:tr>
      <w:tr>
        <w:tc>
          <w:tcPr>
            <w:tcW w:type="dxa" w:w="2800"/>
            <w:tcMar>
              <w:top w:type="dxa" w:w="60"/>
              <w:left w:type="dxa" w:w="100"/>
              <w:bottom w:type="dxa" w:w="60"/>
              <w:right w:type="dxa" w:w="100"/>
            </w:tcMar>
          </w:tcPr>
          <w:p>
            <w:r>
              <w:rPr>
                <w:sz w:val="19"/>
                <w:szCs w:val="19"/>
              </w:rPr>
              <w:t xml:space="preserve">Élevage et garde</w:t>
            </w:r>
          </w:p>
        </w:tc>
        <w:tc>
          <w:tcPr>
            <w:tcW w:type="dxa" w:w="6220"/>
            <w:tcMar>
              <w:top w:type="dxa" w:w="60"/>
              <w:left w:type="dxa" w:w="100"/>
              <w:bottom w:type="dxa" w:w="60"/>
              <w:right w:type="dxa" w:w="100"/>
            </w:tcMar>
          </w:tcPr>
          <w:p>
            <w:r>
              <w:rPr>
                <w:sz w:val="19"/>
                <w:szCs w:val="19"/>
              </w:rPr>
              <w:t xml:space="preserve">Palefrenier, Soigneur animalier, Pet-sitter</w:t>
            </w:r>
          </w:p>
        </w:tc>
      </w:tr>
      <w:tr>
        <w:tc>
          <w:tcPr>
            <w:tcW w:type="dxa" w:w="2800"/>
            <w:tcMar>
              <w:top w:type="dxa" w:w="60"/>
              <w:left w:type="dxa" w:w="100"/>
              <w:bottom w:type="dxa" w:w="60"/>
              <w:right w:type="dxa" w:w="100"/>
            </w:tcMar>
          </w:tcPr>
          <w:p>
            <w:r>
              <w:rPr>
                <w:sz w:val="19"/>
                <w:szCs w:val="19"/>
              </w:rPr>
              <w:t xml:space="preserve">Autre</w:t>
            </w:r>
          </w:p>
        </w:tc>
        <w:tc>
          <w:tcPr>
            <w:tcW w:type="dxa" w:w="6220"/>
            <w:tcMar>
              <w:top w:type="dxa" w:w="60"/>
              <w:left w:type="dxa" w:w="100"/>
              <w:bottom w:type="dxa" w:w="60"/>
              <w:right w:type="dxa" w:w="100"/>
            </w:tcMar>
          </w:tcPr>
          <w:p>
            <w:r>
              <w:rPr>
                <w:sz w:val="19"/>
                <w:szCs w:val="19"/>
              </w:rPr>
              <w:t xml:space="preserve">« Autre » — fourre-tout pour tout métier non listé, toujours en dernière position</w:t>
            </w:r>
          </w:p>
        </w:tc>
      </w:tr>
    </w:tbl>
    <w:p>
      <w:pPr>
        <w:pBdr>
          <w:left w:val="single" w:color="F2820F" w:sz="18"/>
        </w:pBdr>
        <w:shd w:fill="FFF6E6" w:val="clear"/>
        <w:spacing w:after="200" w:before="100"/>
        <w:ind w:left="200"/>
      </w:pPr>
      <w:r>
        <w:rPr>
          <w:i/>
          <w:iCs/>
          <w:color w:val="6B5B3D"/>
          <w:sz w:val="20"/>
          <w:szCs w:val="20"/>
        </w:rPr>
        <w:t xml:space="preserve">Musher, Éleveur et Éthologue ont figuré temporairement dans cette liste avant d'en être retirés à la demande. La catégorie « vente et conseil » (ex. vendeur en animalerie) est volontairement exclue, hors périmètre d'une application de prise de rendez-vous.</w:t>
      </w:r>
    </w:p>
    <w:p>
      <w:pPr>
        <w:spacing w:after="160" w:line="300"/>
      </w:pPr>
      <w:r>
        <w:t>Mise à jour du 23–24/09/2026 : un praticien peut cumuler plusieurs métiers (exemple : éducatrice canine et naturopathe). Le champ unique est remplacé par doctors.specialties (tableau, migration 102) ; un sélecteur multiple (PractitionerTypePicker) est présent à l'inscription et dans les deux pages de profil praticien, tous les métiers s'affichent sur la fiche publique, la recherche filtre sur n'importe lequel d'entre eux (matchesAnySpecialty), et le préfixe « Dr » n'est appliqué que si « Vétérinaire » fait partie des métiers (formatDoctorName). Basculement terminé le 24/09 (migration 107) : les six dernières fonctions SQL (recherche de cabinet et cinq vues admin) lisent specialties et la colonne doctors.specialty a été supprimée.</w:t>
      </w:r>
    </w:p>
    <w:p>
      <w:pPr>
        <w:pStyle w:val="Heading2"/>
        <w:spacing w:after="150" w:before="300"/>
      </w:pPr>
      <w:r>
        <w:t xml:space="preserve">6.8 Réservation d'un rendez-vous (/book/:doctorId)</w:t>
      </w:r>
    </w:p>
    <w:p>
      <w:pPr>
        <w:spacing w:after="160" w:line="300"/>
      </w:pPr>
      <w:r>
        <w:t xml:space="preserve">Réservée aux patients connectés. Parcours en trois étapes : (1) choix du créneau via un calendrier navigable semaine par semaine, plafonné à 8 semaines dans le futur (composant AvailabilityCalendar) ; (2) sélection du motif parmi six motifs prédéfinis ou saisie libre, sélection obligatoire d'un ou plusieurs animaux du patient concernés par le rendez-vous — si le patient n'a aucun animal enregistré, un message bloquant l'invite à en ajouter un avant de poursuivre —, et dépôt optionnel de documents ou photos, uploadés immédiatement vers le Storage Supabase dès leur sélection ; (3) récapitulatif de confirmation puis soumission. La création du rendez-vous (useCreateAppointment) insère la ligne appointments, crée les liens dans appointment_animals, enregistre les appointment_documents, puis appelle en best-effort (sans bloquer la réservation en cas d'échec) l'Edge Function send-appointment-confirmation.</w:t>
      </w:r>
    </w:p>
    <w:p>
      <w:pPr>
        <w:spacing w:after="160" w:line="300"/>
      </w:pPr>
      <w:r>
        <w:t>Mise à jour du 23 juillet 2026 : sous le calendrier de l'étape 1, un lien « Aucun créneau qui vous convient ? Me prévenir si un créneau se libère » permet de s'inscrire à la liste d'attente du praticien (table waitlist_entries, migration 065). Dès qu'un rendez-vous confirmé chez ce praticien passe au statut annulé, un trigger SQL (notify_waitlist_on_cancellation) envoie une notification in-app à chaque patient inscrit puis supprime son entrée — alerte à usage unique, pas un abonnement permanent aux annulations ; le patient peut se réinscrire librement ensuite.</w:t>
      </w:r>
    </w:p>
    <w:p>
      <w:pPr>
        <w:pStyle w:val="Heading2"/>
        <w:spacing w:after="150" w:before="300"/>
      </w:pPr>
      <w:r>
        <w:t xml:space="preserve">6.9 Tableau de bord patient (/dashboard/patient)</w:t>
      </w:r>
    </w:p>
    <w:p>
      <w:pPr>
        <w:spacing w:after="160" w:line="300"/>
      </w:pPr>
      <w:r>
        <w:t xml:space="preserve">Présente la liste des animaux du patient avec un formulaire de création (photo, espèce — avec placeholder de race adapté à l'espèce choisie et champ libre si « Autre » —, nom, race, date de naissance, poids), une grille de raccourcis (Nouveau RDV, Rappels, Documents), et deux onglets de rendez-vous (à venir / passés).</w:t>
      </w:r>
    </w:p>
    <w:p>
      <w:pPr>
        <w:spacing w:after="160" w:line="300"/>
      </w:pPr>
      <w:r>
        <w:t xml:space="preserve">Mise à jour du 07/08/2026 : ajout d'une interface mobile dédiée à l'espace patient (« coquille Wow / Aurora »), volontairement distincte du responsive desktop plutôt qu'une simple adaptation de la même mise en page — validée sur aperçu avant développement. Chaque page concernée (accueil, animaux, rendez-vous, messages, profil, recherche, page d'accueil publique) porte deux arborescences JSX parallèles dans le même composant : hidden md:block (desktop, strictement inchangé) et md:hidden (mobile), la bascule se faisant uniquement en CSS, sans démontage conditionnel. Composants partagés : SplashScreen (écran de démarrage affiché le temps de la vérification de session, redirection directe vers le tableau de bord si déjà connecté), MobileHeader (cloche de notifications + accès messagerie), MobileTabBar (Accueil / Animaux / bouton central flottant Réserver / RDV / Profil). Deux nouvelles routes réservées au rôle patient : /animaux (AnimalsPage, liste des animaux avec carte illustrée en bannière photo pleine largeur, genre et âge calculé depuis la date de naissance) et /rendez-vous (RendezVousPage). Sur l'accueil mobile, la recherche est passée d'une barre unique à un formulaire à deux champs (spécialité ou nom du praticien, lieu), la grille de raccourcis inclut désormais Mes documents à côté de Mes RDV et Rappels, et la bande « Mes compagnons » a été retirée. Sur l'onglet Profil mobile, le bouton de déconnexion (auparavant uniquement dans la Navbar desktop masquée sur mobile) est désormais un bouton dédié et visible ; l'icône Messages a pris la place de l'avatar profil dans l'en-tête, Profil étant accessible depuis la barre d'onglets du bas.</w:t>
      </w:r>
    </w:p>
    <w:p>
      <w:pPr>
        <w:spacing w:after="160" w:line="300"/>
      </w:pPr>
      <w:r>
        <w:t xml:space="preserve">Mise à jour du 09/08/2026 : ajout des favoris praticiens (icône étoile sur la fiche praticien, table favorites en RLS « propriétaire seul » — migration 073), affichés en tête de l'accueil mobile patient dans une section « ⭐ Mes favoris » au-dessus de « Derniers praticiens consultés » (les deux réutilisent désormais le même composant DoctorMiniRow). Le praticien peut désormais annuler un rendez-vous confirmé (bouton « Annuler » avec confirmation sur AppointmentCard) ; le patient en est averti sur trois canaux : notification in-app (trigger SQL sur appointments, migration 074, ne se déclenche que si l'annulation vient bien du praticien et pas d'une auto-annulation du patient), email et SMS (nouvelle fonction Edge send-appointment-cancellation, déclenchée par un second trigger pg_net/Vault sur l'insertion de la notification, migration 075 — même mécanisme que le trigger email de la liste d'attente). Correctif : un lien vers une page protégée par ProtectedRoute (ex. « Voir mes rendez-vous » dans un email) ouvert sans session active perdait sa destination après connexion et renvoyait systématiquement vers le tableau de bord par défaut du rôle ; ProtectedRoute transmet désormais la page d'origine via /login?redirect=..., et LoginPage y renvoie après connexion réussie. Le logo Animéaux (https://monanimeaux.fr/pwa-192.png) a été ajouté en en-tête du corps de tous les emails envoyés par l'application (confirmation et annulation de RDV, rappel de RDV, rappel de vaccin, rappel d'avis, liste d'attente, invitation secrétariat), qui n'affichaient auparavant qu'un titre texte.</w:t>
      </w:r>
    </w:p>
    <w:p>
      <w:pPr>
        <w:spacing w:after="160" w:line="300"/>
      </w:pPr>
      <w:r>
        <w:t xml:space="preserve">Complément du 09/08/2026 (soir) : deux nouvelles fonctionnalités côté rendez-vous. Une bannière discrète et fermable invite désormais à activer les notifications push (réglage qui existait déjà dans Profil / Mon espace mais que personne n'activait spontanément) sur l'accueil patient et praticien — se cache dès que l'utilisateur est abonné, a refusé la permission navigateur, ou a cliqué « Plus tard » (mémorisé en local). Le praticien peut désormais reporter un rendez-vous confirmé vers un nouveau créneau (bouton « Reporter » sur AppointmentCard, réutilise le composant AvailabilityCalendar de la réservation patient) plutôt que de devoir l'annuler purement et simplement ; le nouveau créneau est appliqué directement, sans étape de validation par le patient, qui est simplement notifié du changement sur les trois mêmes canaux que l'annulation (in-app, email, SMS — nouvelle fonction Edge send-appointment-reschedule, migrations 076/077).</w:t>
      </w:r>
    </w:p>
    <w:p>
      <w:pPr>
        <w:pStyle w:val="Heading2"/>
        <w:spacing w:after="150" w:before="300"/>
      </w:pPr>
      <w:r>
        <w:t xml:space="preserve">6.10 Dossier de santé d'un animal (/animal/:id)</w:t>
      </w:r>
    </w:p>
    <w:p>
      <w:pPr>
        <w:spacing w:after="160" w:line="300"/>
      </w:pPr>
      <w:r>
        <w:t xml:space="preserve">Accessible aux patients (propriétaire) et aux praticiens ayant un rendez-vous confirmé ou terminé avec cet animal. Cinq onglets : Vue d'ensemble (trois cartes de statistiques), Vaccins (création, modification, suppression, avec rappel calculé sur next_due_date), Poids (CRUD complet et courbe Recharts, dont l'axe Y est plafonné par le poids maximal théorique de l'espèce de l'animal — table SPECIES_MAX_WEIGHT), Dossiers médicaux (CRUD, 7 types fixes listés en 4.3), Documents (CRUD, sélecteur de type de document, affichage du nom du déposant et de l'horodatage, suppression réservée à l'auteur du document). La vue praticien est « lecture majoritaire » : pas d'upload de photo ni d'édition/suppression de l'animal, mais possibilité d'ajouter vaccins, dossiers et documents, avec son propre nom pré-rempli dans les champs administered_by / professional_name.</w:t>
      </w:r>
    </w:p>
    <w:p>
      <w:pPr>
        <w:spacing w:after="160" w:line="300"/>
      </w:pPr>
      <w:r>
        <w:t>Mise à jour du 23–24/09/2026 : l'onglet Vaccins devient « Suivis » et gère quatre types (vaccin, vermifuge, bilan annuel, autre) via un sélecteur de type (src/lib/careTypes.ts). Les rappels /rappels, l'export du dossier et les notifications acceptent les deux types de notification (vaccine_reminder pour l'historique, care_reminder pour la suite). La page « Mes animaux » charge désormais le poids et les suivis de tous les animaux en deux requêtes groupées au lieu de deux requêtes par animal, et le statut de chaque animal est calculé une seule fois au niveau de la page. Les photos d'animaux déjà présentes dans le stockage ont été recompressées le 25/09 (9 fichiers, 31,6 Mo ramenés à 0,93 Mo) avec les mêmes réglages que la compression côté client (900 px de large, JPEG qualité 82), sans changer leur adresse.</w:t>
      </w:r>
    </w:p>
    <w:p>
      <w:pPr>
        <w:pStyle w:val="Heading2"/>
        <w:spacing w:after="150" w:before="300"/>
      </w:pPr>
      <w:r>
        <w:t xml:space="preserve">6.11 Documents (/documents, patient uniquement)</w:t>
      </w:r>
    </w:p>
    <w:p>
      <w:pPr>
        <w:spacing w:after="160" w:line="300"/>
      </w:pPr>
      <w:r>
        <w:t xml:space="preserve">Vue agrégée de tous les documents déposés par un praticien dans le dossier de l'un des animaux du patient (fusion de animal_documents filtrés aux dépôts de praticiens et de la totalité des appointment_documents, via le hook usePatientDoctorDocuments) — distincte des documents que le patient a lui-même envoyés, déjà visibles dans l'onglet Documents de chaque animal.</w:t>
      </w:r>
    </w:p>
    <w:p>
      <w:pPr>
        <w:pStyle w:val="Heading2"/>
        <w:spacing w:after="150" w:before="300"/>
      </w:pPr>
      <w:r>
        <w:t xml:space="preserve">6.12 Rappels (/rappels, patient uniquement)</w:t>
      </w:r>
    </w:p>
    <w:p>
      <w:pPr>
        <w:spacing w:after="160" w:line="300"/>
      </w:pPr>
      <w:r>
        <w:t xml:space="preserve">Regroupe en une seule vue les prochains rendez-vous planifiés et les rappels de vaccination à venir ou en retard, tous animaux confondus (hook usePatientReminders).</w:t>
      </w:r>
    </w:p>
    <w:p>
      <w:pPr>
        <w:spacing w:after="160" w:line="300"/>
      </w:pPr>
      <w:r>
        <w:t>Mise à jour du 23 juillet 2026 : ce rappel de vaccin, jusqu'ici purement passif (visible seulement si le patient consultait cette page), déclenche désormais aussi un envoi proactif (email + SMS + notification in-app) dans les 7 jours précédant l'échéance — voir section 9.2.</w:t>
      </w:r>
    </w:p>
    <w:p>
      <w:pPr>
        <w:pStyle w:val="Heading2"/>
        <w:spacing w:after="150" w:before="300"/>
      </w:pPr>
      <w:r>
        <w:t xml:space="preserve">6.13 Profil (/profil)</w:t>
      </w:r>
    </w:p>
    <w:p>
      <w:pPr>
        <w:spacing w:after="160" w:line="300"/>
      </w:pPr>
      <w:r>
        <w:t xml:space="preserve">Page générique de profil, commune aux patients et aux praticiens : informations personnelles, section contact d'urgence, et pour les praticiens un bloc d'informations professionnelles reprenant les mêmes champs et le même composant que l'onglet Profil du tableau de bord praticien (spécialité en liste déroulante fermée, espèces acceptées, déplacement à domicile — harmonisé le 21 juillet 2026, voir section 7.5 et section 13). Une zone « zone dangereuse » permet la suppression définitive du compte : le clic ouvre désormais un écran de confirmation dédié qui liste précisément les données qui seront effacées et n'active le bouton de suppression définitive qu'une fois le mot SUPPRIMER saisi dans un champ dédié, en plus de la simple confirmation initiale.</w:t>
      </w:r>
    </w:p>
    <w:p>
      <w:pPr>
        <w:pStyle w:val="Heading2"/>
        <w:spacing w:after="150" w:before="300"/>
      </w:pPr>
      <w:r>
        <w:t xml:space="preserve">6.14 Pages légales (/cgu, /confidentialite)</w:t>
      </w:r>
    </w:p>
    <w:p>
      <w:pPr>
        <w:spacing w:after="160" w:line="300"/>
      </w:pPr>
      <w:r>
        <w:t xml:space="preserve">Deux pages publiques et accessibles sans connexion, servies par un unique composant (LegalPage.tsx), affichent les Conditions Générales d'Utilisation et la Politique de confidentialité, avec une navigation par ancre (#cgu, #confidentialite) plutôt que par appel réseau. Un bandeau signale que le contenu est un premier jet, établi à partir de la checklist CNIL, en attente de relecture par un professionnel du droit avant publication définitive ; les champs d'identité légale (raison sociale, SIRET, adresse, email de contact) sont encore des espaces réservés. L'acceptation des deux documents est obligatoire à l'inscription (section 6.2) et les liens restent accessibles en permanence depuis le pied de page de la page d'accueil (section 6.1).</w:t>
      </w:r>
    </w:p>
    <w:p>
      <w:pPr>
        <w:pStyle w:val="Heading2"/>
        <w:spacing w:after="150" w:before="300"/>
      </w:pPr>
      <w:r>
        <w:t xml:space="preserve">6.15 Vérification des praticiens par documents justificatifs</w:t>
      </w:r>
    </w:p>
    <w:p>
      <w:pPr>
        <w:spacing w:after="160" w:line="300"/>
      </w:pPr>
      <w:r>
        <w:t xml:space="preserve">Ajoutée le 21 juillet 2026. Un praticien peut utiliser son tableau de bord immédiatement après l'inscription (aucune attente bloquante), mais reste invisible du public — absent des résultats de recherche (section 6.4) et de sa fiche publique directe (section 6.5) — tant que son dossier n'est pas validé par un administrateur. doctors.verification_status vaut 'pending' (défaut), 'verified' ou 'rejected'. Depuis l'onglet Profil du tableau de bord (section 7.5), le praticien dépose un ou plusieurs documents (diplôme, carte professionnelle / numéro d'ordre, pièce d'identité) dans doctor_verification_documents, stockés dans le bucket privé verification-documents (URL signée valable 1 an à l'upload, jamais d'URL publique — contrairement aux buckets avatars/documents). Un trigger before update sur doctors (prevent_self_verification) annule silencieusement toute tentative de modifier verification_status ou verification_rejected_reason par une requête autre qu'émise par un administrateur (is_admin()), empêchant un praticien de s'auto-valider même via un appel API direct.</w:t>
      </w:r>
    </w:p>
    <w:p>
      <w:pPr>
        <w:pStyle w:val="Heading2"/>
        <w:spacing w:after="150" w:before="300"/>
      </w:pPr>
      <w:r>
        <w:t>6.16 Visite guidée de première connexion</w:t>
      </w:r>
    </w:p>
    <w:p>
      <w:pPr>
        <w:spacing w:after="160" w:line="300"/>
      </w:pPr>
      <w:r>
        <w:t>Ajoutée le 25 septembre 2026. À sa toute première connexion, un propriétaire d'animal ou un praticien voit une visite guidée sur l'interface réelle : le bouton concerné est cerclé « au crayon », une flèche courbe le relie à une bulle qui l'explique (titre en Lora italique, points de progression, boutons Précédent / Suivant, croix de fermeture). Parcours patient : notifications, messages, Mes animaux, Réserver, Mes rendez-vous, Documents (bureau), Profil. Parcours praticien : Mon espace, Mes patients, RDV, Tarifs, Avis, Statistiques, Mon cabinet (seulement si le praticien est en cabinet), notifications, messages, profil. Les étapes dont le bouton n'est pas visible (barre mobile ou bureau) sont sautées automatiquement.</w:t>
      </w:r>
    </w:p>
    <w:p>
      <w:pPr>
        <w:spacing w:after="160" w:line="300"/>
      </w:pPr>
      <w:r>
        <w:t>Affichage unique par compte : la colonne profiles.onboarding_completed_at (migration 110) est renseignée à la fin de la visite ou à sa fermeture ; elle est nulle pour un nouveau compte et remplie d'office pour tous les comptes existants (seuls les nouveaux comptes voient donc la visite). Pas de bouton « revoir » (choix produit). Un praticien encore bloqué sur l'écran de dépôt de document ne déclenche pas la visite, qui démarre à sa première arrivée sur le vrai tableau de bord. Admins et secrétariat ne sont pas concernés. Code : src/lib/onboardingTour.ts (logique pure testée), src/components/onboarding/OnboardingTour.tsx (monté dans App.tsx), repères data-tour sur Navbar, MobileHeader, MobileTabBar et DoctorMobileTabBar.</w:t>
      </w:r>
    </w:p>
    <w:p>
      <w:pPr>
        <w:pStyle w:val="Heading1"/>
        <w:spacing w:after="200" w:before="400"/>
      </w:pPr>
      <w:r>
        <w:t xml:space="preserve">7. Fonctionnalités — Tableau de bord praticien (/dashboard/doctor)</w:t>
      </w:r>
    </w:p>
    <w:p>
      <w:pPr>
        <w:spacing w:after="160" w:line="300"/>
      </w:pPr>
      <w:r>
        <w:t>Le tableau de bord praticien est organisé en huit onglets, pilotés par le paramètre d'URL ?tab= et le type DoctorTab (src/lib/doctorDashboardTabs.ts). Six onglets sont visibles directement dans la barre de navigation (Accueil, Mes patients, Tarifs, RDV, Avis, Statistiques) ; les deux autres (Profil, Messages) sont accessibles via les icônes de la barre de navigation plutôt que par un onglet dédié.</w:t>
      </w:r>
    </w:p>
    <w:p>
      <w:pPr>
        <w:pStyle w:val="Heading2"/>
        <w:spacing w:after="150" w:before="300"/>
      </w:pPr>
      <w:r>
        <w:t xml:space="preserve">7.1 Accueil</w:t>
      </w:r>
    </w:p>
    <w:p>
      <w:pPr>
        <w:spacing w:after="160" w:line="300"/>
      </w:pPr>
      <w:r>
        <w:t xml:space="preserve">Aperçu léger : bannière du prochain rendez-vous, quatre cartes d'indicateurs clés (KPI), un encart récapitulant le profil et un bloc d'actions rapides. Le mini calendrier et la liste détaillée des rendez-vous ont déménagé dans l'onglet RDV (7.4) le 14/08/2026, pour ne pas dupliquer le même contenu sur deux onglets.</w:t>
      </w:r>
    </w:p>
    <w:p>
      <w:pPr>
        <w:pStyle w:val="Heading2"/>
        <w:spacing w:after="150" w:before="300"/>
      </w:pPr>
      <w:r>
        <w:t xml:space="preserve">7.2 Mes patients</w:t>
      </w:r>
    </w:p>
    <w:p>
      <w:pPr>
        <w:spacing w:after="160" w:line="300"/>
      </w:pPr>
      <w:r>
        <w:t xml:space="preserve">Répertoire consultable et filtrable par recherche des animaux appartenant aux patients du praticien. Si le praticien appartient à un cabinet, la liste inclut les patients de l'ensemble du cabinet, avec indication du « praticien référent » pour chaque animal.</w:t>
      </w:r>
    </w:p>
    <w:p>
      <w:pPr>
        <w:pStyle w:val="Heading2"/>
        <w:spacing w:after="150" w:before="300"/>
      </w:pPr>
      <w:r>
        <w:t xml:space="preserve">7.3 Tarifs</w:t>
      </w:r>
    </w:p>
    <w:p>
      <w:pPr>
        <w:spacing w:after="160" w:line="300"/>
      </w:pPr>
      <w:r>
        <w:t xml:space="preserve">Liste des prestations du praticien, pré-remplie à la création du compte à partir des tarifs par défaut de sa profession (voir section 6.7). Si le praticien appartient à un cabinet, la vue regroupe les tarifs par praticien membre — chacun gérant les siens (RPC add_clinic_service / delete_clinic_service), l'administrateur du cabinet pouvant en plus tout supprimer.</w:t>
      </w:r>
    </w:p>
    <w:p>
      <w:pPr>
        <w:pStyle w:val="Heading2"/>
        <w:spacing w:after="150" w:before="300"/>
      </w:pPr>
      <w:r>
        <w:t xml:space="preserve">7.4 RDV</w:t>
      </w:r>
    </w:p>
    <w:p>
      <w:pPr>
        <w:spacing w:after="160" w:line="300"/>
      </w:pPr>
      <w:r>
        <w:t xml:space="preserve">Depuis le 14/08/2026, regroupe sur une seule page ce qui vivait auparavant sur deux onglets distincts. En haut : le mini calendrier de la semaine et la liste des rendez-vous filtrable (aujourd'hui / cette semaine / tous / jour sélectionné), identiques à ce qu'affichait l'onglet Accueil avant ce changement. Tout en bas de la même page : la gestion des disponibilités, sur deux volets — les créneaux hebdomadaires personnels et les congés (blocked_slots) du praticien, et un sous-onglet « Partagées » dédié au cabinet (création d'un nouveau cabinet ou adhésion à un cabinet existant via un code d'invitation, puis, une fois membre, un calendrier d'équipe complet — sélecteur de jour + grille horaire, une colonne par praticien membre, cellules de rendez-vous cliquables ouvrant une fenêtre de détail, jours de congé signalés par l'icône 🌴). L'id technique de l'onglet (disponibilites) est resté inchangé pour ne pas casser les liens ?tab=disponibilites déjà en place ailleurs dans le code.</w:t>
      </w:r>
    </w:p>
    <w:p>
      <w:pPr>
        <w:pStyle w:val="Heading2"/>
        <w:spacing w:after="150" w:before="300"/>
      </w:pPr>
      <w:r>
        <w:t xml:space="preserve">7.5 Profil</w:t>
      </w:r>
    </w:p>
    <w:p>
      <w:pPr>
        <w:spacing w:after="160" w:line="300"/>
      </w:pPr>
      <w:r>
        <w:t xml:space="preserve">Trois sections : le profil du cabinet (nom, ville, adresse, téléphone, logo — édition réservée à l'administrateur/créateur du cabinet), le profil personnel (avatar, nom, profession — liste déroulante fermée issue de PRACTITIONER_TYPES, ville/adresse masquées si le praticien appartient à un cabinet, espèces acceptées et déplacement à domicile — alignés sur /profil depuis le 21 juillet 2026, biographie via l'éditeur de texte enrichi, téléphone), un bloc de vérification du profil (dépôt de documents justificatifs, statut en attente/vérifié/rejeté — voir section 6.15) inséré entre le profil personnel et l'export des données, et une zone dangereuse de suppression de compte avec confirmation.</w:t>
      </w:r>
    </w:p>
    <w:p>
      <w:pPr>
        <w:spacing w:after="160" w:line="300"/>
      </w:pPr>
      <w:r>
        <w:t>Mise à jour du 25/09/2026 : (1) un interrupteur « messagerie » par praticien (doctors.messaging_enabled, migration 109), présent dans les deux pages de profil (page /profil et onglet Profil du tableau de bord). Il est appliqué par une policy RLS restrictive sur messages, pas par un simple masquage : un patient qui tente d'écrire reçoit « Ce praticien a désactivé la messagerie pour le moment. ». Les conversations déjà en cours restent lisibles, seuls les nouveaux messages sont bloqués. (2) Sélecteur multi-métiers (voir section 6.7). (3) Sous-section « Dossiers reçus en référence » dans l'onglet Mes patients (voir section 5.2).</w:t>
      </w:r>
    </w:p>
    <w:p>
      <w:pPr>
        <w:pStyle w:val="Heading2"/>
        <w:spacing w:after="150" w:before="300"/>
      </w:pPr>
      <w:r>
        <w:t xml:space="preserve">7.6 Avis</w:t>
      </w:r>
    </w:p>
    <w:p>
      <w:pPr>
        <w:spacing w:after="160" w:line="300"/>
      </w:pPr>
      <w:r>
        <w:t xml:space="preserve">Liste des avis reçus par le praticien.</w:t>
      </w:r>
    </w:p>
    <w:p>
      <w:pPr>
        <w:pStyle w:val="Heading2"/>
        <w:spacing w:after="150" w:before="300"/>
      </w:pPr>
      <w:r>
        <w:t xml:space="preserve">7.7 Messages</w:t>
      </w:r>
    </w:p>
    <w:p>
      <w:pPr>
        <w:spacing w:after="160" w:line="300"/>
      </w:pPr>
      <w:r>
        <w:t xml:space="preserve">Interface de messagerie complète, reprenant l'essentiel de la page Messages patient mais dans le contexte praticien (voir section 8).</w:t>
      </w:r>
    </w:p>
    <w:p>
      <w:pPr>
        <w:pStyle w:val="Heading2"/>
        <w:spacing w:after="150" w:before="300"/>
      </w:pPr>
      <w:r>
        <w:t>7.8 Statistiques</w:t>
      </w:r>
    </w:p>
    <w:p>
      <w:pPr>
        <w:spacing w:after="160" w:line="300"/>
      </w:pPr>
      <w:r>
        <w:t>Ajouté le 23 juillet 2026. Vue d'ensemble de l'activité du praticien, entièrement calculée côté client à partir des données déjà chargées par le tableau de bord (appointments, availabilities, doctor.consultation_price) — aucune requête ni migration dédiée. Quatre indicateurs : revenu total et sur les 30 derniers jours (somme du tarif de consultation sur les RDV au statut terminé), taux de no-show (no_show / (terminé + no_show) parmi les RDV passés), taux d'annulation (annulé / total RDV passés). Une barre de progression indique en complément le taux de remplissage sur les 30 derniers jours : nombre de RDV non annulés sur cette période, rapporté au nombre théorique de créneaux déductible des disponibilités récurrentes (jour de la semaine × amplitude horaire / slot_duration_minutes) — une estimation qui ne tient pas compte des congés posés (blocked_slots), donc légèrement optimiste. Un bandeau d'avertissement apparaît si le praticien a des RDV passés mais aucun encore clôturé (bouton Terminé/Absent sur AppointmentCard) : sans cette clôture manuelle, revenu et taux de no-show restent à zéro sans que la raison soit évidente pour lui.</w:t>
      </w:r>
    </w:p>
    <w:p>
      <w:pPr>
        <w:spacing w:after="160" w:line="300"/>
      </w:pPr>
      <w:r>
        <w:t>Enrichi le 02/10/2026, à la demande d'Anaïs. Toujours calculé côté client, sans nouvelle requête lourde (les champs manquants — created_at, updated_at — ont juste été ajoutés à la sélection déjà faite par useDoctorAppointments) ; une seule exception, voir migration 111 ci-dessous. Nouveau bloc « Ce mois-ci » : RDV terminés, revenu estimé, taux d'absence et taux d'annulation du mois calendaire en cours, chacun comparé au mois précédent (évolution en points si la référence est à 0, pour ne jamais afficher un pourcentage trompeur). Histogramme empilé (terminés/annulés/absences) sur les 6 derniers mois. Jours de la semaine les plus chargés et répartition patients nouveaux/déjà venus sur les 90 derniers jours. Motifs de consultation les plus fréquents (seule la partie choisie dans la liste fermée du motif est comptée, jamais les détails en texte libre ajoutés par le patient). Avis : évolution de la note moyenne mois par mois et taux de réponse du praticien. Espèces des animaux vus. Liste des patients dont le dernier rendez-vous terminé remonte à plus de 6 mois (même seuil que la relance automatique, section 9.2), avec le taux de retour global. Trois indicateurs complémentaires : délai moyen entre réservation et rendez-vous, part des annulations survenues moins de 24h avant le RDV (estimée via updated_at, la table n'a pas de colonne dédiée à la date d'annulation), et part des RDV confirmés par le patient via le rappel à 24h. Heure la plus demandée et la plus calme sur les 90 derniers jours. Logique entièrement dans src/lib/doctorStats.ts (fonctions pures testées, 40 cas), affichage dans le nouveau composant src/components/doctor/DoctorStatsPanel.tsx. Export comptable ajouté le 05/10/2026 : un sélecteur de mois (12 derniers) et un bouton téléchargent un fichier CSV des consultations terminées du mois (date et heure de Paris, patient, animaux, motif, montant, ligne de total) — séparateur « ; », BOM UTF-8 et virgule décimale pour une ouverture directe dans Excel en français, cellules neutralisées contre l'injection de formule (src/lib/accountingExport.ts, testé). Le montant est le tarif de consultation du praticien : une estimation, pas un justificatif comptable.</w:t>
      </w:r>
    </w:p>
    <w:p>
      <w:pPr>
        <w:pStyle w:val="Heading1"/>
        <w:spacing w:after="200" w:before="400"/>
      </w:pPr>
      <w:r>
        <w:t xml:space="preserve">8. Messagerie et notifications</w:t>
      </w:r>
    </w:p>
    <w:p>
      <w:pPr>
        <w:pStyle w:val="Heading2"/>
        <w:spacing w:after="150" w:before="300"/>
      </w:pPr>
      <w:r>
        <w:t xml:space="preserve">8.1 Messagerie (/messages, patient — praticiens redirigés vers leur onglet dédié)</w:t>
      </w:r>
    </w:p>
    <w:p>
      <w:pPr>
        <w:spacing w:after="160" w:line="300"/>
      </w:pPr>
      <w:r>
        <w:t>La messagerie relie un patient à un praticien. La création d'une nouvelle conversation (« Nouveau message ») est restreinte aux praticiens avec lesquels le patient a déjà eu un rendez-vous passé — impossible de contacter un praticien jamais consulté. Les conversations peuvent être masquées individuellement (stockage localStorage par utilisateur, clé animeaux-hidden-conversations-${userId}) : le masquage est purement côté client, aucun message n'est jamais supprimé de la base ; une conversation masquée réapparaît automatiquement dès qu'un nouveau message y est reçu (comparaison de l'horodatage de masquage avec last_message_at). Le rafraîchissement de la conversation active et de la liste des contacts se fait en temps réel (voir mise à jour du 23 juillet 2026 ci-dessous).</w:t>
      </w:r>
    </w:p>
    <w:p>
      <w:pPr>
        <w:spacing w:after="160" w:line="300"/>
      </w:pPr>
      <w:r>
        <w:t>Mise à jour du 23 juillet 2026 : la messagerie fonctionnait jusque-là par polling toutes les 5 secondes (useConversation et useConversationPartners, src/hooks/useData.ts), remplacé par un abonnement Supabase Realtime aux INSERT sur la table messages (migration 064, qui ajoute messages à la publication supabase_realtime — désactivée table par table par défaut). useConversation filtre sur receiver_id=eq.&lt;id de l'utilisateur&gt; côté serveur (le filtre Realtime ne supporte qu'une seule condition de colonne) puis vérifie l'expéditeur côté client avant d'invalider le cache ; useConversationPartners utilise le même filtre pour rafraîchir instantanément dernier message et compteur de non-lus dans la liste des contacts. Les messages qu'on envoie soi-même restent gérés par l'invalidation optimiste existante de useSendMessage, qui corrige au passage une clé de cache obsolète (invalidait 'message-summaries', une clé qui n'a jamais correspondu à aucune query active, au lieu de 'conversation-partners').</w:t>
      </w:r>
    </w:p>
    <w:p>
      <w:pPr>
        <w:pStyle w:val="Heading2"/>
        <w:spacing w:after="150" w:before="300"/>
      </w:pPr>
      <w:r>
        <w:t xml:space="preserve">8.2 Notifications in-app</w:t>
      </w:r>
    </w:p>
    <w:p>
      <w:pPr>
        <w:spacing w:after="160" w:line="300"/>
      </w:pPr>
      <w:r>
        <w:t xml:space="preserve">Un panneau déroulant (cloche, NotificationBell) liste les notifications avec souscription temps réel et bouton « Tout effacer ». Les notifications de type new_message en sont exclues : elles sont gérées séparément par l'icône enveloppe de la barre de navigation, qui affiche un badge du nombre total de messages non lus tous interlocuteurs confondus.</w:t>
      </w:r>
    </w:p>
    <w:p>
      <w:pPr>
        <w:pStyle w:val="Heading1"/>
        <w:spacing w:after="200" w:before="400"/>
      </w:pPr>
      <w:r>
        <w:t xml:space="preserve">9. Emails transactionnels (Edge Functions Supabase)</w:t>
      </w:r>
    </w:p>
    <w:p>
      <w:pPr>
        <w:pStyle w:val="Heading2"/>
        <w:spacing w:after="150" w:before="300"/>
      </w:pPr>
      <w:r>
        <w:t xml:space="preserve">9.1 send-appointment-confirmation</w:t>
      </w:r>
    </w:p>
    <w:p>
      <w:pPr>
        <w:spacing w:after="160" w:line="300"/>
      </w:pPr>
      <w:r>
        <w:t xml:space="preserve">Appelée en best-effort à la création d'un rendez-vous (n'empêche pas la réservation en cas d'échec). Vérifie que l'appelant correspond bien au patient du rendez-vous, crée une notification in-app de type appointment_confirmed, puis envoie un email HTML via Resend si la variable d'environnement RESEND_API_KEY est configurée côté Supabase. Point critique découvert et corrigé le 21 juillet 2026 : cette fonction existait dans le code depuis longtemps mais n'avait jamais été déployée sur le projet Supabase (les Edge Functions ne se déploient pas automatiquement via git push — voir section 13) ; aucun email de confirmation de rendez-vous n'a donc jamais été envoyé en production jusqu'à cette date, l'appel best-effort échouant silencieusement (404) sans jamais bloquer la réservation.</w:t>
      </w:r>
    </w:p>
    <w:p>
      <w:pPr>
        <w:pStyle w:val="Heading2"/>
        <w:spacing w:after="150" w:before="300"/>
      </w:pPr>
      <w:r>
        <w:t xml:space="preserve">9.2 send-reminders</w:t>
      </w:r>
    </w:p>
    <w:p>
      <w:pPr>
        <w:spacing w:after="160" w:line="300"/>
      </w:pPr>
      <w:r>
        <w:t xml:space="preserve">Fonction destinée à être déclenchée toutes les heures par une tâche planifiée (cron) Supabase. Elle recherche les rendez-vous confirmés dont l'horaire tombe entre 24 et 25 heures dans le futur (fenêtre glissante correspondant à la fréquence horaire du cron) et crée pour chacun une notification in-app de type appointment_reminder. L'appel est sécurisé par comparaison de l'en-tête Authorization avec un secret CRON_SECRET défini en variable d'environnement.</w:t>
      </w:r>
    </w:p>
    <w:p>
      <w:pPr>
        <w:spacing w:after="160" w:line="300"/>
      </w:pPr>
      <w:r>
        <w:t xml:space="preserve">Mise à jour du 21 juillet 2026 : l'envoi de l'email de rappel via Resend est désormais implémenté (auparavant seule la notification in-app était créée), et le bug de résolution de user_id évoqué dans une version antérieure de ce document a été corrigé (user_id = patient_id directement, sans passer par profiles). Surtout, la fonction n'était jamais déployée sur le projet Supabase malgré ces corrections présentes dans le code : elle a été déployée manuellement ce même jour, et un job cron (pg_cron + pg_net, table Integrations → Cron) nommé send-reminders-hourly a été créé pour l'appeler chaque heure via un POST HTTP authentifié par le secret CRON_SECRET — aucun cron n'existait avant cette date, donc aucun rappel n'a jamais été envoyé en production.</w:t>
      </w:r>
    </w:p>
    <w:p>
      <w:pPr>
        <w:spacing w:after="160" w:line="300"/>
      </w:pPr>
      <w:r>
        <w:t>Mise à jour du 23 juillet 2026 : un SMS de rappel est désormais envoyé en plus de l'email et de la notification in-app, si le patient a un numéro de téléphone renseigné dans son profil (normalisé automatiquement au format E.164 quelle que soit la forme saisie). Envoyé via l'API SMS OVH (compte "Standard", service sms-ys52270-1) plutôt que Resend (qui ne fait que de l'email) — authentification propre à OVH par signature (sha1 de la clé secrète + Consumer Key + méthode + URL + corps + un timestamp récupéré depuis l'horloge officielle OVH pour éviter tout rejet lié à un décalage d'horloge). Quatre secrets Edge Functions : OVH_APP_KEY, OVH_APP_SECRET, OVH_CONSUMER_KEY, OVH_SMS_SERVICE_NAME. Comme pour Resend, entièrement best-effort : l'absence d'un secret ou d'un numéro de téléphone n'empêche jamais l'envoi de l'email ni la création de la notification in-app, le SMS est simplement omis silencieusement.</w:t>
      </w:r>
    </w:p>
    <w:p>
      <w:pPr>
        <w:spacing w:after="160" w:line="300"/>
      </w:pPr>
      <w:r>
        <w:t>Complément du 23 juillet 2026 : la même fonction envoie désormais aussi un rappel de vaccin (email + SMS + notification in-app) dans les 7 jours précédant vaccines.next_due_date, saisi par le praticien sur le dossier de santé de l'animal (section 6.10) — jusqu'ici affiché seulement passivement sur /rappels (section 6.12). Un seul envoi par vaccin (colonne reminder_sent_at, migration 066) : la fenêtre de 7 jours ne redéclenche pas l'alerte à chaque exécution horaire du cron.</w:t>
      </w:r>
    </w:p>
    <w:p>
      <w:pPr>
        <w:spacing w:after="160" w:line="300"/>
      </w:pPr>
      <w:r>
        <w:t>Complément du 23 et du 25/09/2026 : les rappels de suivi couvrent tous les types de care_items (vaccin, vermifuge, bilan annuel, autre), avec un libellé adapté dans l'email, le SMS et la notification. Nouveau : relance des patients inactifs — un patient dont le dernier rendez-vous terminé remonte à plus de 6 mois reçoit une notification de relance (type reengagement_reminder, qui l'amène vers la recherche), une seule fois (colonne appointments.reengagement_reminder_sent_at, migration 108). Le regroupement « dernier rendez-vous par patient » est fait en mémoire dans la fonction ; le seuil de 6 mois est une seule ligne de send-reminders/index.ts. Cette fonction se redéploie désormais automatiquement (voir section 13, pipeline du 22–23/09/2026).</w:t>
      </w:r>
    </w:p>
    <w:p>
      <w:pPr>
        <w:pStyle w:val="Heading2"/>
        <w:spacing w:after="150" w:before="300"/>
      </w:pPr>
      <w:r>
        <w:t xml:space="preserve">9.3 Domaine d'envoi dédié (monanimeaux.fr)</w:t>
      </w:r>
    </w:p>
    <w:p>
      <w:pPr>
        <w:spacing w:after="160" w:line="300"/>
      </w:pPr>
      <w:r>
        <w:t>Un nom de domaine dédié, monanimeaux.fr (acheté chez OVH le 20 juillet 2026 — animeaux.fr et animeaux.com étant tous deux détenus par des revendeurs tiers à des prix prohibitifs), a été ajouté et configuré sur Resend (DKIM, SPF/MX, DMARC) pour sortir du mode sandbox, qui limitait jusqu'ici l'envoi à la seule adresse du compte Resend. Le domaine est vérifié depuis le 23 juillet 2026 — un premier essai avait échoué (« Invalid DKIM ») car la valeur TXT resend._domainkey configurée chez OVH ne correspondait pas à la clé attendue par Resend (probablement une clé DKIM régénérée entre l'ajout initial du domaine et la configuration DNS), et le champ _dmarc contenait par erreur la clé DKIM au lieu de v=DMARC1; p=none; — les deux corrigés dans la zone DNS OVH. Le secret EMAIL_FROM a été ajouté aux Edge Functions Supabase (contact@monanimeaux.fr) pour remplacer l'expéditeur par défaut onboarding@resend.dev ; les emails transactionnels (confirmation de rendez-vous, rappels, identifiants secrétariat) peuvent désormais atteindre n'importe quel destinataire, plus seulement l'adresse du compte Resend.</w:t>
      </w:r>
    </w:p>
    <w:p>
      <w:pPr>
        <w:spacing w:after="160" w:line="300"/>
      </w:pPr>
      <w:r>
        <w:t>Mise à jour du 23 juillet 2026 : ce même domaine sert désormais aussi à accéder au site lui-même, en plus de son usage pour l'envoi d'emails — https://monanimeaux.fr affiche maintenant l'application (auparavant uniquement accessible via l'URL par défaut anim-aux-a2qn.vercel.app, qui reste également valide). Acheter un nom de domaine ne le connecte pas automatiquement à Vercel : la connexion a nécessité npx vercel domains add monanimeaux.fr, puis l'ajout d'un enregistrement DNS de type A (@ → 76.76.21.21) dans la zone OVH existante. Le choix a été fait de ne pas changer les serveurs de noms (nameservers) vers ceux de Vercel — cela aurait effacé toute la configuration DNS email déjà en place (DKIM, SPF, DMARC, voir ci-dessus) ; ajouter un simple enregistrement A préserve les autres enregistrements existants. Un ancien enregistrement A par défaut d'OVH (@ → 213.186.33.5) entrait en conflit avec le nouveau et a dû être supprimé dans la zone DNS pour que Vercel valide la configuration. Le certificat SSL (Let's Encrypt) a été généré automatiquement par Vercel quelques minutes après la validation DNS.</w:t>
      </w:r>
    </w:p>
    <w:p>
      <w:pPr>
        <w:spacing w:after="160" w:line="300"/>
      </w:pPr>
      <w:r>
        <w:t>Complément du 23 juillet 2026 : après la connexion du domaine, le captcha Cloudflare Turnstile (formulaires de connexion/inscription, composant src/components/ui/Turnstile.tsx) restait bloqué spécifiquement sur monanimeaux.fr, alors que le DNS et le certificat SSL fonctionnaient correctement (vérifié : dig depuis 4 résolveurs différents ne renvoyait qu'un seul enregistrement A, et curl confirmait un HTTP 200 systématique). Cause : Turnstile restreint chaque clé de site à une liste de noms d'hôte autorisés, configurée dans le dashboard Cloudflare (Application security &gt; Turnstile) — le widget "Animéaux" n'avait que localhost et anim-aux-a2qn.vercel.app dans sa liste, jamais mise à jour lors de l'ajout du domaine personnalisé. Corrigé en ajoutant monanimeaux.fr à la liste des hostnames autorisés du widget (aucun redéploiement nécessaire, la vérification se fait côté Cloudflare à chaque chargement).</w:t>
      </w:r>
    </w:p>
    <w:p>
      <w:pPr>
        <w:spacing w:after="160" w:line="300"/>
      </w:pPr>
      <w:r>
        <w:t>Complément du 23 juillet 2026 (suite) : deux autres réglages dépendant du domaine ont dû être mis à jour manuellement après la connexion de monanimeaux.fr, même catégorie de problème que le captcha Turnstile ci-dessus (une liste d'autorisation externe qui ne connaissait que l'ancien domaine .vercel.app). D'une part, la liste des Redirect URLs de Supabase Auth (Authentication &gt; URL Configuration) ne contenait pas monanimeaux.fr : sans cet ajout (https://monanimeaux.fr/**), le lien de réinitialisation de mot de passe (ForgotPassword.tsx, qui construit pourtant son URL dynamiquement via window.location.origin) aurait pu être rejeté silencieusement par Supabase pour quiconque utilise ce domaine. D'autre part, la fonction Edge invite-clinic-secretary construit le lien de connexion envoyé à un nouveau compte secrétariat à partir d'un secret APP_URL, avec un repli codé en dur sur https://anim-aux-a2qn.vercel.app si ce secret n'est pas défini — mis à jour vers https://monanimeaux.fr pour que ces emails pointent vers le bon domaine (secret ajouté dans Edge Functions &gt; Secrets, aucun redéploiement de la fonction nécessaire, les secrets sont lus à chaque exécution).</w:t>
      </w:r>
    </w:p>
    <w:p>
      <w:pPr>
        <w:pStyle w:val="Heading1"/>
        <w:spacing w:after="200" w:before="400"/>
      </w:pPr>
      <w:r>
        <w:t xml:space="preserve">10. Tableau de bord administrateur (/dashboard/admin)</w:t>
      </w:r>
    </w:p>
    <w:p>
      <w:pPr>
        <w:spacing w:after="160" w:line="300"/>
      </w:pPr>
      <w:r>
        <w:t>Depuis le 22 juillet 2026, le tableau de bord admin est complet. Vue d'ensemble : une rangée de cartes de statistiques générales (propriétaires, praticiens par statut de vérification, secrétariats, cabinets, rendez-vous, avis), puis trois graphiques Recharts — évolution des inscriptions praticiens/propriétaires sur 8 semaines, répartition des praticiens par statut de vérification (donut), rendez-vous par statut (barres) — alimentés par admin_platform_stats(). Trois onglets Praticiens (En attente / Validés / Rejetés) listent chaque praticien via admin_list_doctors_by_status(p_status) (profil résumé + documents, quel que soit le statut, contrairement à admin_list_pending_doctors() qui reste restreinte aux dossiers en attente et alimente toujours l'onglet En attente). Une recherche par nom, email ou spécialité est disponible sur les onglets Validés et Rejetés. Cliquer sur un praticien ouvre sa fiche complète (/dashboard/admin?doctor=&lt;id&gt;, RPC admin_doctor_detail) : coordonnées (email, téléphone, adresse), cabinet d'appartenance, n° RPPS, tarif de consultation, espèces acceptées, déplacement à domicile, biographie, statistiques de rendez-vous détaillées (total, à venir, terminés, annulés, note moyenne), documents justificatifs, et actions Valider/Rejeter/Contacter (lien mailto) — disponibles depuis n'importe quel statut, ce qui permet de corriger une décision a posteriori. Modération et reporting avancé : voir mise à jour du 23 juillet 2026 ci-dessous. La carte « Avis publiés » de la vue d'ensemble est cliquable (/dashboard/admin?view=reviews, RPC admin_list_reviews) : liste de tous les avis de la plateforme avec le praticien et le propriétaire associés, filtre rapide « Négatifs (≤2★) », filtre par note, tri (date, note), recherche libre, et mise en évidence visuelle des avis à 1-2 étoiles. La carte « Propriétaires » est elle aussi cliquable (/dashboard/admin?view=patients, RPC admin_list_patients) : liste recherchable de tous les comptes patient, chacun ouvrant une fiche détaillée (/dashboard/admin?patient=&lt;id&gt;, RPC admin_patient_detail — coordonnées, animaux, statistiques de rendez-vous, avis rédigés, contact). Profils patients et praticiens sont ainsi tous deux consultables depuis l'espace admin. Enfin, la carte « Cabinets » est cliquable elle aussi (/dashboard/admin?view=clinics, RPC admin_list_clinics) : liste recherchable de tous les cabinets, chacun ouvrant une fiche détaillée (/dashboard/admin?clinic=&lt;id&gt;, RPC admin_clinic_detail — coordonnées, propriétaire, praticiens membres avec leur statut de vérification et un lien direct vers leur propre dossier, comptes secrétariat rattachés, nombre de rendez-vous). Les trois types de profils de la plateforme — praticiens, propriétaires d'animaux, cabinets — sont ainsi tous consultables depuis l'espace admin. Les deux dernières cartes sont désormais cliquables elles aussi : « Secrétariats » (RPC admin_list_secretaries) liste tous les comptes secrétariat, chacun renvoyant vers la fiche de son cabinet ; « RDV à venir » et « RDV au total » (RPC admin_list_appointments, plafonnée aux 500 rendez-vous les plus récents) ouvrent une liste filtrable par statut avec recherche par praticien ou propriétaire. Toutes les cartes de la vue d'ensemble mènent donc désormais à un dossier ou une liste détaillée. Les cartes « Praticiens vérifiés / en attente / rejetés » de la vue d'ensemble sont elles aussi cliquables : chacune fait défiler la page vers la section des dossiers praticiens en sélectionnant l'onglet correspondant. Toutes les RPC sont SECURITY DEFINER et vérifient is_admin() côté serveur, indépendamment de ce qu'envoie le client. Accès réservé de fait : is_admin ne peut être activé que manuellement en base (UPDATE direct sur users.is_admin, voir section 2.3) ; il n'a plus de lien avec le role du compte depuis la migration 055, un compte is_admin étant en pratique dédié à l'administration (LoginPage redirige directement vers /dashboard/admin, la navbar masque le lien vers un dashboard propriétaire d'animal — voir section 3.5). Point d'attention historique : l'introduction du statut de vérification le 21 juillet 2026 a rendu 'pending' par défaut tous les praticiens déjà inscrits avant cette date (aucun n'avait de statut de vérification formel auparavant) — ils ont donc temporairement disparu des résultats de recherche jusqu'à validation manuelle a posteriori par un administrateur.</w:t>
      </w:r>
    </w:p>
    <w:p>
      <w:pPr>
        <w:spacing w:after="160" w:line="300"/>
      </w:pPr>
      <w:r>
        <w:t>Mise à jour du 23 juillet 2026 : modération avancée ajoutée (migration 063). Tout utilisateur connecté peut signaler un avis (lien discret sous chaque avis) ou un praticien (lien en bas de la sidebar de prise de RDV) via create_report(), en indiquant un motif libre. Une nouvelle carte « Signalements en attente » sur la vue d'ensemble (mise en évidence en rouge si non nulle) ouvre /dashboard/admin?view=reports (RPC admin_list_reports) : liste triée signalements en attente d'abord, avec aperçu de la cible (note et commentaire pour un avis, nom et spécialité pour un praticien), nom du signalant, et actions « Traité » / « Rejeter le signalement » (RPC admin_resolve_report, avec note admin optionnelle non visible des utilisateurs). Depuis la vue « Avis publiés », chaque avis peut désormais être supprimé définitivement (RPC admin_delete_review) — la moyenne et le nombre d'avis du praticien sont recalculés manuellement dans la fonction, le trigger trg_update_rating existant ne couvrant que insert/update, jamais delete. Les fiches praticien et propriétaire ont chacune un bouton Suspendre/Réactiver le compte (RPC admin_suspend_user / admin_unsuspend_user, avec motif optionnel) : un compte suspendu (users.is_suspended) est déconnecté de force dès la prochaine vérification de session (App.tsx à l'hydratation, ou immédiatement si la suspension survient pendant la tentative de connexion elle-même dans LoginPage.tsx) et redirigé vers /login avec le motif affiché ; impossible de suspendre son propre compte admin. Enfin, un journal d'actions admin (table admin_actions_log, lien discret « Journal d'actions admin » sous les cartes de la vue d'ensemble, RPC admin_list_actions_log plafonnée aux 300 entrées les plus récentes) trace qui a supprimé un avis, suspendu/réactivé un compte, ou traité un signalement, et quand — utile si plusieurs personnes obtiennent un jour un accès admin. Les tables reports et admin_actions_log ont RLS activé sans aucune policy cliente : tout accès passe exclusivement par des RPC SECURITY DEFINER vérifiant is_admin(), même principe que le reste de l'espace admin.</w:t>
      </w:r>
    </w:p>
    <w:p>
      <w:pPr>
        <w:pStyle w:val="Heading1"/>
        <w:spacing w:after="200" w:before="400"/>
      </w:pPr>
      <w:r>
        <w:t xml:space="preserve">11. Charte graphique et design system</w:t>
      </w:r>
    </w:p>
    <w:p>
      <w:pPr>
        <w:pStyle w:val="Heading2"/>
        <w:spacing w:after="150" w:before="300"/>
      </w:pPr>
      <w:r>
        <w:t xml:space="preserve">11.1 Couleurs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820"/>
      </w:tblGrid>
      <w:tr>
        <w:trPr>
          <w:tblHeader/>
        </w:trPr>
        <w:tc>
          <w:tcPr>
            <w:tcW w:type="dxa" w:w="2400"/>
            <w:shd w:fill="F2820F" w:val="clear"/>
            <w:tcMar>
              <w:top w:type="dxa" w:w="80"/>
              <w:left w:type="dxa" w:w="100"/>
              <w:bottom w:type="dxa" w:w="80"/>
              <w:right w:type="dxa" w:w="100"/>
            </w:tcMar>
          </w:tcPr>
          <w:p>
            <w:r>
              <w:rPr>
                <w:b/>
                <w:bCs/>
                <w:color w:val="FFFFFF"/>
                <w:sz w:val="19"/>
                <w:szCs w:val="19"/>
              </w:rPr>
              <w:t xml:space="preserve">Nom du token</w:t>
            </w:r>
          </w:p>
        </w:tc>
        <w:tc>
          <w:tcPr>
            <w:tcW w:type="dxa" w:w="4800"/>
            <w:shd w:fill="F2820F" w:val="clear"/>
            <w:tcMar>
              <w:top w:type="dxa" w:w="80"/>
              <w:left w:type="dxa" w:w="100"/>
              <w:bottom w:type="dxa" w:w="80"/>
              <w:right w:type="dxa" w:w="100"/>
            </w:tcMar>
          </w:tcPr>
          <w:p>
            <w:r>
              <w:rPr>
                <w:b/>
                <w:bCs/>
                <w:color w:val="FFFFFF"/>
                <w:sz w:val="19"/>
                <w:szCs w:val="19"/>
              </w:rPr>
              <w:t xml:space="preserve">Usage</w:t>
            </w:r>
          </w:p>
        </w:tc>
        <w:tc>
          <w:tcPr>
            <w:tcW w:type="dxa" w:w="1820"/>
            <w:shd w:fill="F2820F" w:val="clear"/>
            <w:tcMar>
              <w:top w:type="dxa" w:w="80"/>
              <w:left w:type="dxa" w:w="100"/>
              <w:bottom w:type="dxa" w:w="80"/>
              <w:right w:type="dxa" w:w="100"/>
            </w:tcMar>
          </w:tcPr>
          <w:p>
            <w:r>
              <w:rPr>
                <w:b/>
                <w:bCs/>
                <w:color w:val="FFFFFF"/>
                <w:sz w:val="19"/>
                <w:szCs w:val="19"/>
              </w:rPr>
              <w:t xml:space="preserve">Couleur principale</w:t>
            </w:r>
          </w:p>
        </w:tc>
      </w:tr>
      <w:tr>
        <w:tc>
          <w:tcPr>
            <w:tcW w:type="dxa" w:w="2400"/>
            <w:tcMar>
              <w:top w:type="dxa" w:w="60"/>
              <w:left w:type="dxa" w:w="100"/>
              <w:bottom w:type="dxa" w:w="60"/>
              <w:right w:type="dxa" w:w="100"/>
            </w:tcMar>
          </w:tcPr>
          <w:p>
            <w:r>
              <w:rPr>
                <w:sz w:val="19"/>
                <w:szCs w:val="19"/>
              </w:rPr>
              <w:t xml:space="preserve">sage</w:t>
            </w:r>
          </w:p>
        </w:tc>
        <w:tc>
          <w:tcPr>
            <w:tcW w:type="dxa" w:w="4800"/>
            <w:tcMar>
              <w:top w:type="dxa" w:w="60"/>
              <w:left w:type="dxa" w:w="100"/>
              <w:bottom w:type="dxa" w:w="60"/>
              <w:right w:type="dxa" w:w="100"/>
            </w:tcMar>
          </w:tcPr>
          <w:p>
            <w:r>
              <w:rPr>
                <w:sz w:val="19"/>
                <w:szCs w:val="19"/>
              </w:rPr>
              <w:t xml:space="preserve">Couleur de marque principale (malgré son nom, une palette orange — nom conservé pour des raisons historiques)</w:t>
            </w:r>
          </w:p>
        </w:tc>
        <w:tc>
          <w:tcPr>
            <w:tcW w:type="dxa" w:w="1820"/>
            <w:tcMar>
              <w:top w:type="dxa" w:w="60"/>
              <w:left w:type="dxa" w:w="100"/>
              <w:bottom w:type="dxa" w:w="60"/>
              <w:right w:type="dxa" w:w="100"/>
            </w:tcMar>
          </w:tcPr>
          <w:p>
            <w:r>
              <w:rPr>
                <w:sz w:val="19"/>
                <w:szCs w:val="19"/>
              </w:rPr>
              <w:t xml:space="preserve">#F2820F (sage-500)</w:t>
            </w:r>
          </w:p>
        </w:tc>
      </w:tr>
      <w:tr>
        <w:tc>
          <w:tcPr>
            <w:tcW w:type="dxa" w:w="2400"/>
            <w:tcMar>
              <w:top w:type="dxa" w:w="60"/>
              <w:left w:type="dxa" w:w="100"/>
              <w:bottom w:type="dxa" w:w="60"/>
              <w:right w:type="dxa" w:w="100"/>
            </w:tcMar>
          </w:tcPr>
          <w:p>
            <w:r>
              <w:rPr>
                <w:sz w:val="19"/>
                <w:szCs w:val="19"/>
              </w:rPr>
              <w:t xml:space="preserve">moss</w:t>
            </w:r>
          </w:p>
        </w:tc>
        <w:tc>
          <w:tcPr>
            <w:tcW w:type="dxa" w:w="4800"/>
            <w:tcMar>
              <w:top w:type="dxa" w:w="60"/>
              <w:left w:type="dxa" w:w="100"/>
              <w:bottom w:type="dxa" w:w="60"/>
              <w:right w:type="dxa" w:w="100"/>
            </w:tcMar>
          </w:tcPr>
          <w:p>
            <w:r>
              <w:rPr>
                <w:sz w:val="19"/>
                <w:szCs w:val="19"/>
              </w:rPr>
              <w:t xml:space="preserve">Couleur secondaire, utilisée pour les données/étiquettes de statut</w:t>
            </w:r>
          </w:p>
        </w:tc>
        <w:tc>
          <w:tcPr>
            <w:tcW w:type="dxa" w:w="1820"/>
            <w:tcMar>
              <w:top w:type="dxa" w:w="60"/>
              <w:left w:type="dxa" w:w="100"/>
              <w:bottom w:type="dxa" w:w="60"/>
              <w:right w:type="dxa" w:w="100"/>
            </w:tcMar>
          </w:tcPr>
          <w:p>
            <w:r>
              <w:rPr>
                <w:sz w:val="19"/>
                <w:szCs w:val="19"/>
              </w:rPr>
              <w:t xml:space="preserve">vert, ex. moss-100 / moss-700</w:t>
            </w:r>
          </w:p>
        </w:tc>
      </w:tr>
      <w:tr>
        <w:tc>
          <w:tcPr>
            <w:tcW w:type="dxa" w:w="2400"/>
            <w:tcMar>
              <w:top w:type="dxa" w:w="60"/>
              <w:left w:type="dxa" w:w="100"/>
              <w:bottom w:type="dxa" w:w="60"/>
              <w:right w:type="dxa" w:w="100"/>
            </w:tcMar>
          </w:tcPr>
          <w:p>
            <w:r>
              <w:rPr>
                <w:sz w:val="19"/>
                <w:szCs w:val="19"/>
              </w:rPr>
              <w:t xml:space="preserve">primary</w:t>
            </w:r>
          </w:p>
        </w:tc>
        <w:tc>
          <w:tcPr>
            <w:tcW w:type="dxa" w:w="4800"/>
            <w:tcMar>
              <w:top w:type="dxa" w:w="60"/>
              <w:left w:type="dxa" w:w="100"/>
              <w:bottom w:type="dxa" w:w="60"/>
              <w:right w:type="dxa" w:w="100"/>
            </w:tcMar>
          </w:tcPr>
          <w:p>
            <w:r>
              <w:rPr>
                <w:sz w:val="19"/>
                <w:szCs w:val="19"/>
              </w:rPr>
              <w:t xml:space="preserve">Token vert hérité, non utilisé dans l'interface actuelle</w:t>
            </w:r>
          </w:p>
        </w:tc>
        <w:tc>
          <w:tcPr>
            <w:tcW w:type="dxa" w:w="1820"/>
            <w:tcMar>
              <w:top w:type="dxa" w:w="60"/>
              <w:left w:type="dxa" w:w="100"/>
              <w:bottom w:type="dxa" w:w="60"/>
              <w:right w:type="dxa" w:w="100"/>
            </w:tcMar>
          </w:tcPr>
          <w:p>
            <w:r>
              <w:rPr>
                <w:sz w:val="19"/>
                <w:szCs w:val="19"/>
              </w:rPr>
              <w:t xml:space="preserve">—</w:t>
            </w:r>
          </w:p>
        </w:tc>
      </w:tr>
    </w:tbl>
    <w:p>
      <w:pPr>
        <w:spacing w:after="160" w:line="300"/>
      </w:pPr>
      <w:r>
        <w:t xml:space="preserve">Police : Inter. Rayons de bordure étendus (2xl, 3xl) pour l'aspect arrondi caractéristique des cartes et boutons. Fond de page dominant : #FFFAF0 (blanc cassé chaleureux).</w:t>
      </w:r>
    </w:p>
    <w:p>
      <w:pPr>
        <w:pStyle w:val="Heading2"/>
        <w:spacing w:after="150" w:before="300"/>
      </w:pPr>
      <w:r>
        <w:t xml:space="preserve">11.2 Composants réutilisables (src/index.css)</w:t>
      </w:r>
    </w:p>
    <w:p>
      <w:pPr>
        <w:pStyle w:val="ListParagraph"/>
        <w:numPr>
          <w:ilvl w:val="0"/>
          <w:numId w:val="2"/>
        </w:numPr>
        <w:spacing w:after="100"/>
      </w:pPr>
      <w:r>
        <w:t xml:space="preserve">.btn-primary, .btn-secondary, .btn-danger — boutons</w:t>
      </w:r>
    </w:p>
    <w:p>
      <w:pPr>
        <w:pStyle w:val="ListParagraph"/>
        <w:numPr>
          <w:ilvl w:val="0"/>
          <w:numId w:val="2"/>
        </w:numPr>
        <w:spacing w:after="100"/>
      </w:pPr>
      <w:r>
        <w:t xml:space="preserve">.input — champs de formulaire</w:t>
      </w:r>
    </w:p>
    <w:p>
      <w:pPr>
        <w:pStyle w:val="ListParagraph"/>
        <w:numPr>
          <w:ilvl w:val="0"/>
          <w:numId w:val="2"/>
        </w:numPr>
        <w:spacing w:after="100"/>
      </w:pPr>
      <w:r>
        <w:t xml:space="preserve">.card — conteneur de carte</w:t>
      </w:r>
    </w:p>
    <w:p>
      <w:pPr>
        <w:pStyle w:val="ListParagraph"/>
        <w:numPr>
          <w:ilvl w:val="0"/>
          <w:numId w:val="2"/>
        </w:numPr>
        <w:spacing w:after="100"/>
      </w:pPr>
      <w:r>
        <w:t xml:space="preserve">.badge et ses 5 variantes de couleur — étiquettes de statut</w:t>
      </w:r>
    </w:p>
    <w:p>
      <w:pPr>
        <w:pStyle w:val="Heading1"/>
        <w:spacing w:after="200" w:before="400"/>
      </w:pPr>
      <w:r>
        <w:t xml:space="preserve">12. Table des routes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0"/>
      </w:tblGrid>
      <w:tr>
        <w:trPr>
          <w:tblHeader/>
        </w:trPr>
        <w:tc>
          <w:tcPr>
            <w:tcW w:type="dxa" w:w="2600"/>
            <w:shd w:fill="F2820F" w:val="clear"/>
            <w:tcMar>
              <w:top w:type="dxa" w:w="80"/>
              <w:left w:type="dxa" w:w="100"/>
              <w:bottom w:type="dxa" w:w="80"/>
              <w:right w:type="dxa" w:w="100"/>
            </w:tcMar>
          </w:tcPr>
          <w:p>
            <w:r>
              <w:rPr>
                <w:b/>
                <w:bCs/>
                <w:color w:val="FFFFFF"/>
                <w:sz w:val="19"/>
                <w:szCs w:val="19"/>
              </w:rPr>
              <w:t xml:space="preserve">Route</w:t>
            </w:r>
          </w:p>
        </w:tc>
        <w:tc>
          <w:tcPr>
            <w:tcW w:type="dxa" w:w="2600"/>
            <w:shd w:fill="F2820F" w:val="clear"/>
            <w:tcMar>
              <w:top w:type="dxa" w:w="80"/>
              <w:left w:type="dxa" w:w="100"/>
              <w:bottom w:type="dxa" w:w="80"/>
              <w:right w:type="dxa" w:w="100"/>
            </w:tcMar>
          </w:tcPr>
          <w:p>
            <w:r>
              <w:rPr>
                <w:b/>
                <w:bCs/>
                <w:color w:val="FFFFFF"/>
                <w:sz w:val="19"/>
                <w:szCs w:val="19"/>
              </w:rPr>
              <w:t xml:space="preserve">Accès</w:t>
            </w:r>
          </w:p>
        </w:tc>
        <w:tc>
          <w:tcPr>
            <w:tcW w:type="dxa" w:w="3820"/>
            <w:shd w:fill="F2820F" w:val="clear"/>
            <w:tcMar>
              <w:top w:type="dxa" w:w="80"/>
              <w:left w:type="dxa" w:w="100"/>
              <w:bottom w:type="dxa" w:w="80"/>
              <w:right w:type="dxa" w:w="100"/>
            </w:tcMar>
          </w:tcPr>
          <w:p>
            <w:r>
              <w:rPr>
                <w:b/>
                <w:bCs/>
                <w:color w:val="FFFFFF"/>
                <w:sz w:val="19"/>
                <w:szCs w:val="19"/>
              </w:rPr>
              <w:t xml:space="preserve">Page</w:t>
            </w:r>
          </w:p>
        </w:tc>
      </w:tr>
      <w:tr>
        <w:tc>
          <w:tcPr>
            <w:tcW w:type="dxa" w:w="2600"/>
            <w:tcMar>
              <w:top w:type="dxa" w:w="60"/>
              <w:left w:type="dxa" w:w="100"/>
              <w:bottom w:type="dxa" w:w="60"/>
              <w:right w:type="dxa" w:w="100"/>
            </w:tcMar>
          </w:tcPr>
          <w:p>
            <w:r>
              <w:rPr>
                <w:sz w:val="19"/>
                <w:szCs w:val="19"/>
              </w:rPr>
              <w:t xml:space="preserve">/</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LandingPage</w:t>
            </w:r>
          </w:p>
        </w:tc>
      </w:tr>
      <w:tr>
        <w:tc>
          <w:tcPr>
            <w:tcW w:type="dxa" w:w="2600"/>
            <w:tcMar>
              <w:top w:type="dxa" w:w="60"/>
              <w:left w:type="dxa" w:w="100"/>
              <w:bottom w:type="dxa" w:w="60"/>
              <w:right w:type="dxa" w:w="100"/>
            </w:tcMar>
          </w:tcPr>
          <w:p>
            <w:r>
              <w:rPr>
                <w:sz w:val="19"/>
                <w:szCs w:val="19"/>
              </w:rPr>
              <w:t xml:space="preserve">/search</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SearchPage</w:t>
            </w:r>
          </w:p>
        </w:tc>
      </w:tr>
      <w:tr>
        <w:tc>
          <w:tcPr>
            <w:tcW w:type="dxa" w:w="2600"/>
            <w:tcMar>
              <w:top w:type="dxa" w:w="60"/>
              <w:left w:type="dxa" w:w="100"/>
              <w:bottom w:type="dxa" w:w="60"/>
              <w:right w:type="dxa" w:w="100"/>
            </w:tcMar>
          </w:tcPr>
          <w:p>
            <w:r>
              <w:rPr>
                <w:sz w:val="19"/>
                <w:szCs w:val="19"/>
              </w:rPr>
              <w:t xml:space="preserve">/doctor/:id</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DoctorPage</w:t>
            </w:r>
          </w:p>
        </w:tc>
      </w:tr>
      <w:tr>
        <w:tc>
          <w:tcPr>
            <w:tcW w:type="dxa" w:w="2600"/>
            <w:tcMar>
              <w:top w:type="dxa" w:w="60"/>
              <w:left w:type="dxa" w:w="100"/>
              <w:bottom w:type="dxa" w:w="60"/>
              <w:right w:type="dxa" w:w="100"/>
            </w:tcMar>
          </w:tcPr>
          <w:p>
            <w:r>
              <w:rPr>
                <w:sz w:val="19"/>
                <w:szCs w:val="19"/>
              </w:rPr>
              <w:t xml:space="preserve">/cabinet/:id</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ClinicPage</w:t>
            </w:r>
          </w:p>
        </w:tc>
      </w:tr>
      <w:tr>
        <w:tc>
          <w:tcPr>
            <w:tcW w:type="dxa" w:w="2600"/>
            <w:tcMar>
              <w:top w:type="dxa" w:w="60"/>
              <w:left w:type="dxa" w:w="100"/>
              <w:bottom w:type="dxa" w:w="60"/>
              <w:right w:type="dxa" w:w="100"/>
            </w:tcMar>
          </w:tcPr>
          <w:p>
            <w:r>
              <w:rPr>
                <w:sz w:val="19"/>
                <w:szCs w:val="19"/>
              </w:rPr>
              <w:t xml:space="preserve">/login</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LoginPage</w:t>
            </w:r>
          </w:p>
        </w:tc>
      </w:tr>
      <w:tr>
        <w:tc>
          <w:tcPr>
            <w:tcW w:type="dxa" w:w="2600"/>
            <w:tcMar>
              <w:top w:type="dxa" w:w="60"/>
              <w:left w:type="dxa" w:w="100"/>
              <w:bottom w:type="dxa" w:w="60"/>
              <w:right w:type="dxa" w:w="100"/>
            </w:tcMar>
          </w:tcPr>
          <w:p>
            <w:r>
              <w:rPr>
                <w:sz w:val="19"/>
                <w:szCs w:val="19"/>
              </w:rPr>
              <w:t xml:space="preserve">/register</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RegisterPage</w:t>
            </w:r>
          </w:p>
        </w:tc>
      </w:tr>
      <w:tr>
        <w:tc>
          <w:tcPr>
            <w:tcW w:type="dxa" w:w="2600"/>
            <w:tcMar>
              <w:top w:type="dxa" w:w="60"/>
              <w:left w:type="dxa" w:w="100"/>
              <w:bottom w:type="dxa" w:w="60"/>
              <w:right w:type="dxa" w:w="100"/>
            </w:tcMar>
          </w:tcPr>
          <w:p>
            <w:r>
              <w:rPr>
                <w:sz w:val="19"/>
                <w:szCs w:val="19"/>
              </w:rPr>
              <w:t xml:space="preserve">/forgot-password</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ForgotPassword</w:t>
            </w:r>
          </w:p>
        </w:tc>
      </w:tr>
      <w:tr>
        <w:tc>
          <w:tcPr>
            <w:tcW w:type="dxa" w:w="2600"/>
            <w:tcMar>
              <w:top w:type="dxa" w:w="60"/>
              <w:left w:type="dxa" w:w="100"/>
              <w:bottom w:type="dxa" w:w="60"/>
              <w:right w:type="dxa" w:w="100"/>
            </w:tcMar>
          </w:tcPr>
          <w:p>
            <w:r>
              <w:rPr>
                <w:sz w:val="19"/>
                <w:szCs w:val="19"/>
              </w:rPr>
              <w:t xml:space="preserve">/reset-password</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ResetPassword</w:t>
            </w:r>
          </w:p>
        </w:tc>
      </w:tr>
      <w:tr>
        <w:tc>
          <w:tcPr>
            <w:tcW w:type="dxa" w:w="2600"/>
            <w:tcMar>
              <w:top w:type="dxa" w:w="60"/>
              <w:left w:type="dxa" w:w="100"/>
              <w:bottom w:type="dxa" w:w="60"/>
              <w:right w:type="dxa" w:w="100"/>
            </w:tcMar>
          </w:tcPr>
          <w:p>
            <w:r>
              <w:rPr>
                <w:sz w:val="19"/>
                <w:szCs w:val="19"/>
              </w:rPr>
              <w:t xml:space="preserve">/book/:doctorId</w:t>
            </w:r>
          </w:p>
        </w:tc>
        <w:tc>
          <w:tcPr>
            <w:tcW w:type="dxa" w:w="2600"/>
            <w:tcMar>
              <w:top w:type="dxa" w:w="60"/>
              <w:left w:type="dxa" w:w="100"/>
              <w:bottom w:type="dxa" w:w="60"/>
              <w:right w:type="dxa" w:w="100"/>
            </w:tcMar>
          </w:tcPr>
          <w:p>
            <w:r>
              <w:rPr>
                <w:sz w:val="19"/>
                <w:szCs w:val="19"/>
              </w:rPr>
              <w:t xml:space="preserve">Patient</w:t>
            </w:r>
          </w:p>
        </w:tc>
        <w:tc>
          <w:tcPr>
            <w:tcW w:type="dxa" w:w="3820"/>
            <w:tcMar>
              <w:top w:type="dxa" w:w="60"/>
              <w:left w:type="dxa" w:w="100"/>
              <w:bottom w:type="dxa" w:w="60"/>
              <w:right w:type="dxa" w:w="100"/>
            </w:tcMar>
          </w:tcPr>
          <w:p>
            <w:r>
              <w:rPr>
                <w:sz w:val="19"/>
                <w:szCs w:val="19"/>
              </w:rPr>
              <w:t xml:space="preserve">BookPage</w:t>
            </w:r>
          </w:p>
        </w:tc>
      </w:tr>
      <w:tr>
        <w:tc>
          <w:tcPr>
            <w:tcW w:type="dxa" w:w="2600"/>
            <w:tcMar>
              <w:top w:type="dxa" w:w="60"/>
              <w:left w:type="dxa" w:w="100"/>
              <w:bottom w:type="dxa" w:w="60"/>
              <w:right w:type="dxa" w:w="100"/>
            </w:tcMar>
          </w:tcPr>
          <w:p>
            <w:r>
              <w:rPr>
                <w:sz w:val="19"/>
                <w:szCs w:val="19"/>
              </w:rPr>
              <w:t xml:space="preserve">/dashboard/patient</w:t>
            </w:r>
          </w:p>
        </w:tc>
        <w:tc>
          <w:tcPr>
            <w:tcW w:type="dxa" w:w="2600"/>
            <w:tcMar>
              <w:top w:type="dxa" w:w="60"/>
              <w:left w:type="dxa" w:w="100"/>
              <w:bottom w:type="dxa" w:w="60"/>
              <w:right w:type="dxa" w:w="100"/>
            </w:tcMar>
          </w:tcPr>
          <w:p>
            <w:r>
              <w:rPr>
                <w:sz w:val="19"/>
                <w:szCs w:val="19"/>
              </w:rPr>
              <w:t xml:space="preserve">Patient</w:t>
            </w:r>
          </w:p>
        </w:tc>
        <w:tc>
          <w:tcPr>
            <w:tcW w:type="dxa" w:w="3820"/>
            <w:tcMar>
              <w:top w:type="dxa" w:w="60"/>
              <w:left w:type="dxa" w:w="100"/>
              <w:bottom w:type="dxa" w:w="60"/>
              <w:right w:type="dxa" w:w="100"/>
            </w:tcMar>
          </w:tcPr>
          <w:p>
            <w:r>
              <w:rPr>
                <w:sz w:val="19"/>
                <w:szCs w:val="19"/>
              </w:rPr>
              <w:t xml:space="preserve">PatientDashboard</w:t>
            </w:r>
          </w:p>
        </w:tc>
      </w:tr>
      <w:tr>
        <w:tc>
          <w:tcPr>
            <w:tcW w:type="dxa" w:w="2600"/>
            <w:tcMar>
              <w:top w:type="dxa" w:w="60"/>
              <w:left w:type="dxa" w:w="100"/>
              <w:bottom w:type="dxa" w:w="60"/>
              <w:right w:type="dxa" w:w="100"/>
            </w:tcMar>
          </w:tcPr>
          <w:p>
            <w:r>
              <w:rPr>
                <w:sz w:val="19"/>
                <w:szCs w:val="19"/>
              </w:rPr>
              <w:t xml:space="preserve">/animaux</w:t>
            </w:r>
          </w:p>
        </w:tc>
        <w:tc>
          <w:tcPr>
            <w:tcW w:type="dxa" w:w="2600"/>
            <w:tcMar>
              <w:top w:type="dxa" w:w="60"/>
              <w:left w:type="dxa" w:w="100"/>
              <w:bottom w:type="dxa" w:w="60"/>
              <w:right w:type="dxa" w:w="100"/>
            </w:tcMar>
          </w:tcPr>
          <w:p>
            <w:r>
              <w:rPr>
                <w:sz w:val="19"/>
                <w:szCs w:val="19"/>
              </w:rPr>
              <w:t xml:space="preserve">Patient</w:t>
            </w:r>
          </w:p>
        </w:tc>
        <w:tc>
          <w:tcPr>
            <w:tcW w:type="dxa" w:w="3820"/>
            <w:tcMar>
              <w:top w:type="dxa" w:w="60"/>
              <w:left w:type="dxa" w:w="100"/>
              <w:bottom w:type="dxa" w:w="60"/>
              <w:right w:type="dxa" w:w="100"/>
            </w:tcMar>
          </w:tcPr>
          <w:p>
            <w:r>
              <w:rPr>
                <w:sz w:val="19"/>
                <w:szCs w:val="19"/>
              </w:rPr>
              <w:t xml:space="preserve">AnimalsPage</w:t>
            </w:r>
          </w:p>
        </w:tc>
      </w:tr>
      <w:tr>
        <w:tc>
          <w:tcPr>
            <w:tcW w:type="dxa" w:w="2600"/>
            <w:tcMar>
              <w:top w:type="dxa" w:w="60"/>
              <w:left w:type="dxa" w:w="100"/>
              <w:bottom w:type="dxa" w:w="60"/>
              <w:right w:type="dxa" w:w="100"/>
            </w:tcMar>
          </w:tcPr>
          <w:p>
            <w:r>
              <w:rPr>
                <w:sz w:val="19"/>
                <w:szCs w:val="19"/>
              </w:rPr>
              <w:t xml:space="preserve">/rendez-vous</w:t>
            </w:r>
          </w:p>
        </w:tc>
        <w:tc>
          <w:tcPr>
            <w:tcW w:type="dxa" w:w="2600"/>
            <w:tcMar>
              <w:top w:type="dxa" w:w="60"/>
              <w:left w:type="dxa" w:w="100"/>
              <w:bottom w:type="dxa" w:w="60"/>
              <w:right w:type="dxa" w:w="100"/>
            </w:tcMar>
          </w:tcPr>
          <w:p>
            <w:r>
              <w:rPr>
                <w:sz w:val="19"/>
                <w:szCs w:val="19"/>
              </w:rPr>
              <w:t xml:space="preserve">Patient</w:t>
            </w:r>
          </w:p>
        </w:tc>
        <w:tc>
          <w:tcPr>
            <w:tcW w:type="dxa" w:w="3820"/>
            <w:tcMar>
              <w:top w:type="dxa" w:w="60"/>
              <w:left w:type="dxa" w:w="100"/>
              <w:bottom w:type="dxa" w:w="60"/>
              <w:right w:type="dxa" w:w="100"/>
            </w:tcMar>
          </w:tcPr>
          <w:p>
            <w:r>
              <w:rPr>
                <w:sz w:val="19"/>
                <w:szCs w:val="19"/>
              </w:rPr>
              <w:t xml:space="preserve">RendezVousPage</w:t>
            </w:r>
          </w:p>
        </w:tc>
      </w:tr>
      <w:tr>
        <w:tc>
          <w:tcPr>
            <w:tcW w:type="dxa" w:w="2600"/>
            <w:tcMar>
              <w:top w:type="dxa" w:w="60"/>
              <w:left w:type="dxa" w:w="100"/>
              <w:bottom w:type="dxa" w:w="60"/>
              <w:right w:type="dxa" w:w="100"/>
            </w:tcMar>
          </w:tcPr>
          <w:p>
            <w:r>
              <w:rPr>
                <w:sz w:val="19"/>
                <w:szCs w:val="19"/>
              </w:rPr>
              <w:t xml:space="preserve">/dashboard/doctor</w:t>
            </w:r>
          </w:p>
        </w:tc>
        <w:tc>
          <w:tcPr>
            <w:tcW w:type="dxa" w:w="2600"/>
            <w:tcMar>
              <w:top w:type="dxa" w:w="60"/>
              <w:left w:type="dxa" w:w="100"/>
              <w:bottom w:type="dxa" w:w="60"/>
              <w:right w:type="dxa" w:w="100"/>
            </w:tcMar>
          </w:tcPr>
          <w:p>
            <w:r>
              <w:rPr>
                <w:sz w:val="19"/>
                <w:szCs w:val="19"/>
              </w:rPr>
              <w:t xml:space="preserve">Praticien</w:t>
            </w:r>
          </w:p>
        </w:tc>
        <w:tc>
          <w:tcPr>
            <w:tcW w:type="dxa" w:w="3820"/>
            <w:tcMar>
              <w:top w:type="dxa" w:w="60"/>
              <w:left w:type="dxa" w:w="100"/>
              <w:bottom w:type="dxa" w:w="60"/>
              <w:right w:type="dxa" w:w="100"/>
            </w:tcMar>
          </w:tcPr>
          <w:p>
            <w:r>
              <w:rPr>
                <w:sz w:val="19"/>
                <w:szCs w:val="19"/>
              </w:rPr>
              <w:t xml:space="preserve">DoctorDashboard</w:t>
            </w:r>
          </w:p>
        </w:tc>
      </w:tr>
      <w:tr>
        <w:tc>
          <w:tcPr>
            <w:tcW w:type="dxa" w:w="2600"/>
            <w:tcMar>
              <w:top w:type="dxa" w:w="60"/>
              <w:left w:type="dxa" w:w="100"/>
              <w:bottom w:type="dxa" w:w="60"/>
              <w:right w:type="dxa" w:w="100"/>
            </w:tcMar>
          </w:tcPr>
          <w:p>
            <w:r>
              <w:rPr>
                <w:sz w:val="19"/>
                <w:szCs w:val="19"/>
              </w:rPr>
              <w:t xml:space="preserve">/dashboard/admin</w:t>
            </w:r>
          </w:p>
        </w:tc>
        <w:tc>
          <w:tcPr>
            <w:tcW w:type="dxa" w:w="2600"/>
            <w:tcMar>
              <w:top w:type="dxa" w:w="60"/>
              <w:left w:type="dxa" w:w="100"/>
              <w:bottom w:type="dxa" w:w="60"/>
              <w:right w:type="dxa" w:w="100"/>
            </w:tcMar>
          </w:tcPr>
          <w:p>
            <w:r>
              <w:rPr>
                <w:sz w:val="19"/>
                <w:szCs w:val="19"/>
              </w:rPr>
              <w:t xml:space="preserve">Admin</w:t>
            </w:r>
          </w:p>
        </w:tc>
        <w:tc>
          <w:tcPr>
            <w:tcW w:type="dxa" w:w="3820"/>
            <w:tcMar>
              <w:top w:type="dxa" w:w="60"/>
              <w:left w:type="dxa" w:w="100"/>
              <w:bottom w:type="dxa" w:w="60"/>
              <w:right w:type="dxa" w:w="100"/>
            </w:tcMar>
          </w:tcPr>
          <w:p>
            <w:r>
              <w:rPr>
                <w:sz w:val="19"/>
                <w:szCs w:val="19"/>
              </w:rPr>
              <w:t xml:space="preserve">AdminDashboard</w:t>
            </w:r>
          </w:p>
        </w:tc>
      </w:tr>
      <w:tr>
        <w:tc>
          <w:tcPr>
            <w:tcW w:type="dxa" w:w="2600"/>
            <w:tcMar>
              <w:top w:type="dxa" w:w="60"/>
              <w:left w:type="dxa" w:w="100"/>
              <w:bottom w:type="dxa" w:w="60"/>
              <w:right w:type="dxa" w:w="100"/>
            </w:tcMar>
          </w:tcPr>
          <w:p>
            <w:r>
              <w:rPr>
                <w:sz w:val="19"/>
                <w:szCs w:val="19"/>
              </w:rPr>
              <w:t xml:space="preserve">/messages</w:t>
            </w:r>
          </w:p>
        </w:tc>
        <w:tc>
          <w:tcPr>
            <w:tcW w:type="dxa" w:w="2600"/>
            <w:tcMar>
              <w:top w:type="dxa" w:w="60"/>
              <w:left w:type="dxa" w:w="100"/>
              <w:bottom w:type="dxa" w:w="60"/>
              <w:right w:type="dxa" w:w="100"/>
            </w:tcMar>
          </w:tcPr>
          <w:p>
            <w:r>
              <w:rPr>
                <w:sz w:val="19"/>
                <w:szCs w:val="19"/>
              </w:rPr>
              <w:t xml:space="preserve">Patient</w:t>
            </w:r>
          </w:p>
        </w:tc>
        <w:tc>
          <w:tcPr>
            <w:tcW w:type="dxa" w:w="3820"/>
            <w:tcMar>
              <w:top w:type="dxa" w:w="60"/>
              <w:left w:type="dxa" w:w="100"/>
              <w:bottom w:type="dxa" w:w="60"/>
              <w:right w:type="dxa" w:w="100"/>
            </w:tcMar>
          </w:tcPr>
          <w:p>
            <w:r>
              <w:rPr>
                <w:sz w:val="19"/>
                <w:szCs w:val="19"/>
              </w:rPr>
              <w:t xml:space="preserve">MessagesPage</w:t>
            </w:r>
          </w:p>
        </w:tc>
      </w:tr>
      <w:tr>
        <w:tc>
          <w:tcPr>
            <w:tcW w:type="dxa" w:w="2600"/>
            <w:tcMar>
              <w:top w:type="dxa" w:w="60"/>
              <w:left w:type="dxa" w:w="100"/>
              <w:bottom w:type="dxa" w:w="60"/>
              <w:right w:type="dxa" w:w="100"/>
            </w:tcMar>
          </w:tcPr>
          <w:p>
            <w:r>
              <w:rPr>
                <w:sz w:val="19"/>
                <w:szCs w:val="19"/>
              </w:rPr>
              <w:t xml:space="preserve">/animal/:id</w:t>
            </w:r>
          </w:p>
        </w:tc>
        <w:tc>
          <w:tcPr>
            <w:tcW w:type="dxa" w:w="2600"/>
            <w:tcMar>
              <w:top w:type="dxa" w:w="60"/>
              <w:left w:type="dxa" w:w="100"/>
              <w:bottom w:type="dxa" w:w="60"/>
              <w:right w:type="dxa" w:w="100"/>
            </w:tcMar>
          </w:tcPr>
          <w:p>
            <w:r>
              <w:rPr>
                <w:sz w:val="19"/>
                <w:szCs w:val="19"/>
              </w:rPr>
              <w:t xml:space="preserve">Patient + Praticien</w:t>
            </w:r>
          </w:p>
        </w:tc>
        <w:tc>
          <w:tcPr>
            <w:tcW w:type="dxa" w:w="3820"/>
            <w:tcMar>
              <w:top w:type="dxa" w:w="60"/>
              <w:left w:type="dxa" w:w="100"/>
              <w:bottom w:type="dxa" w:w="60"/>
              <w:right w:type="dxa" w:w="100"/>
            </w:tcMar>
          </w:tcPr>
          <w:p>
            <w:r>
              <w:rPr>
                <w:sz w:val="19"/>
                <w:szCs w:val="19"/>
              </w:rPr>
              <w:t xml:space="preserve">AnimalHealthPage</w:t>
            </w:r>
          </w:p>
        </w:tc>
      </w:tr>
      <w:tr>
        <w:tc>
          <w:tcPr>
            <w:tcW w:type="dxa" w:w="2600"/>
            <w:tcMar>
              <w:top w:type="dxa" w:w="60"/>
              <w:left w:type="dxa" w:w="100"/>
              <w:bottom w:type="dxa" w:w="60"/>
              <w:right w:type="dxa" w:w="100"/>
            </w:tcMar>
          </w:tcPr>
          <w:p>
            <w:r>
              <w:rPr>
                <w:sz w:val="19"/>
                <w:szCs w:val="19"/>
              </w:rPr>
              <w:t xml:space="preserve">/documents</w:t>
            </w:r>
          </w:p>
        </w:tc>
        <w:tc>
          <w:tcPr>
            <w:tcW w:type="dxa" w:w="2600"/>
            <w:tcMar>
              <w:top w:type="dxa" w:w="60"/>
              <w:left w:type="dxa" w:w="100"/>
              <w:bottom w:type="dxa" w:w="60"/>
              <w:right w:type="dxa" w:w="100"/>
            </w:tcMar>
          </w:tcPr>
          <w:p>
            <w:r>
              <w:rPr>
                <w:sz w:val="19"/>
                <w:szCs w:val="19"/>
              </w:rPr>
              <w:t xml:space="preserve">Patient</w:t>
            </w:r>
          </w:p>
        </w:tc>
        <w:tc>
          <w:tcPr>
            <w:tcW w:type="dxa" w:w="3820"/>
            <w:tcMar>
              <w:top w:type="dxa" w:w="60"/>
              <w:left w:type="dxa" w:w="100"/>
              <w:bottom w:type="dxa" w:w="60"/>
              <w:right w:type="dxa" w:w="100"/>
            </w:tcMar>
          </w:tcPr>
          <w:p>
            <w:r>
              <w:rPr>
                <w:sz w:val="19"/>
                <w:szCs w:val="19"/>
              </w:rPr>
              <w:t xml:space="preserve">PatientDocumentsPage</w:t>
            </w:r>
          </w:p>
        </w:tc>
      </w:tr>
      <w:tr>
        <w:tc>
          <w:tcPr>
            <w:tcW w:type="dxa" w:w="2600"/>
            <w:tcMar>
              <w:top w:type="dxa" w:w="60"/>
              <w:left w:type="dxa" w:w="100"/>
              <w:bottom w:type="dxa" w:w="60"/>
              <w:right w:type="dxa" w:w="100"/>
            </w:tcMar>
          </w:tcPr>
          <w:p>
            <w:r>
              <w:rPr>
                <w:sz w:val="19"/>
                <w:szCs w:val="19"/>
              </w:rPr>
              <w:t xml:space="preserve">/rappels</w:t>
            </w:r>
          </w:p>
        </w:tc>
        <w:tc>
          <w:tcPr>
            <w:tcW w:type="dxa" w:w="2600"/>
            <w:tcMar>
              <w:top w:type="dxa" w:w="60"/>
              <w:left w:type="dxa" w:w="100"/>
              <w:bottom w:type="dxa" w:w="60"/>
              <w:right w:type="dxa" w:w="100"/>
            </w:tcMar>
          </w:tcPr>
          <w:p>
            <w:r>
              <w:rPr>
                <w:sz w:val="19"/>
                <w:szCs w:val="19"/>
              </w:rPr>
              <w:t xml:space="preserve">Patient</w:t>
            </w:r>
          </w:p>
        </w:tc>
        <w:tc>
          <w:tcPr>
            <w:tcW w:type="dxa" w:w="3820"/>
            <w:tcMar>
              <w:top w:type="dxa" w:w="60"/>
              <w:left w:type="dxa" w:w="100"/>
              <w:bottom w:type="dxa" w:w="60"/>
              <w:right w:type="dxa" w:w="100"/>
            </w:tcMar>
          </w:tcPr>
          <w:p>
            <w:r>
              <w:rPr>
                <w:sz w:val="19"/>
                <w:szCs w:val="19"/>
              </w:rPr>
              <w:t xml:space="preserve">RemindersPage</w:t>
            </w:r>
          </w:p>
        </w:tc>
      </w:tr>
      <w:tr>
        <w:tc>
          <w:tcPr>
            <w:tcW w:type="dxa" w:w="2600"/>
            <w:tcMar>
              <w:top w:type="dxa" w:w="60"/>
              <w:left w:type="dxa" w:w="100"/>
              <w:bottom w:type="dxa" w:w="60"/>
              <w:right w:type="dxa" w:w="100"/>
            </w:tcMar>
          </w:tcPr>
          <w:p>
            <w:r>
              <w:rPr>
                <w:sz w:val="19"/>
                <w:szCs w:val="19"/>
              </w:rPr>
              <w:t xml:space="preserve">/profil</w:t>
            </w:r>
          </w:p>
        </w:tc>
        <w:tc>
          <w:tcPr>
            <w:tcW w:type="dxa" w:w="2600"/>
            <w:tcMar>
              <w:top w:type="dxa" w:w="60"/>
              <w:left w:type="dxa" w:w="100"/>
              <w:bottom w:type="dxa" w:w="60"/>
              <w:right w:type="dxa" w:w="100"/>
            </w:tcMar>
          </w:tcPr>
          <w:p>
            <w:r>
              <w:rPr>
                <w:sz w:val="19"/>
                <w:szCs w:val="19"/>
              </w:rPr>
              <w:t xml:space="preserve">Connecté (tout rôle)</w:t>
            </w:r>
          </w:p>
        </w:tc>
        <w:tc>
          <w:tcPr>
            <w:tcW w:type="dxa" w:w="3820"/>
            <w:tcMar>
              <w:top w:type="dxa" w:w="60"/>
              <w:left w:type="dxa" w:w="100"/>
              <w:bottom w:type="dxa" w:w="60"/>
              <w:right w:type="dxa" w:w="100"/>
            </w:tcMar>
          </w:tcPr>
          <w:p>
            <w:r>
              <w:rPr>
                <w:sz w:val="19"/>
                <w:szCs w:val="19"/>
              </w:rPr>
              <w:t xml:space="preserve">ProfilPage</w:t>
            </w:r>
          </w:p>
        </w:tc>
      </w:tr>
      <w:tr>
        <w:tc>
          <w:tcPr>
            <w:tcW w:type="dxa" w:w="2600"/>
            <w:tcMar>
              <w:top w:type="dxa" w:w="60"/>
              <w:left w:type="dxa" w:w="100"/>
              <w:bottom w:type="dxa" w:w="60"/>
              <w:right w:type="dxa" w:w="100"/>
            </w:tcMar>
          </w:tcPr>
          <w:p>
            <w:r>
              <w:rPr>
                <w:sz w:val="19"/>
                <w:szCs w:val="19"/>
              </w:rPr>
              <w:t xml:space="preserve">/cgu</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LegalPage</w:t>
            </w:r>
          </w:p>
        </w:tc>
      </w:tr>
      <w:tr>
        <w:tc>
          <w:tcPr>
            <w:tcW w:type="dxa" w:w="2600"/>
            <w:tcMar>
              <w:top w:type="dxa" w:w="60"/>
              <w:left w:type="dxa" w:w="100"/>
              <w:bottom w:type="dxa" w:w="60"/>
              <w:right w:type="dxa" w:w="100"/>
            </w:tcMar>
          </w:tcPr>
          <w:p>
            <w:r>
              <w:rPr>
                <w:sz w:val="19"/>
                <w:szCs w:val="19"/>
              </w:rPr>
              <w:t xml:space="preserve">/confidentialite</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LegalPage</w:t>
            </w:r>
          </w:p>
        </w:tc>
      </w:tr>
      <w:tr>
        <w:tc>
          <w:tcPr>
            <w:tcW w:type="dxa" w:w="2600"/>
            <w:tcMar>
              <w:top w:type="dxa" w:w="60"/>
              <w:left w:type="dxa" w:w="100"/>
              <w:bottom w:type="dxa" w:w="60"/>
              <w:right w:type="dxa" w:w="100"/>
            </w:tcMar>
          </w:tcPr>
          <w:p>
            <w:r>
              <w:rPr>
                <w:sz w:val="19"/>
                <w:szCs w:val="19"/>
              </w:rPr>
              <w:t xml:space="preserve">/logo-preview</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LogoPreview (page technique)</w:t>
            </w:r>
          </w:p>
        </w:tc>
      </w:tr>
      <w:tr>
        <w:tc>
          <w:tcPr>
            <w:tcW w:type="dxa" w:w="2600"/>
            <w:tcMar>
              <w:top w:type="dxa" w:w="60"/>
              <w:left w:type="dxa" w:w="100"/>
              <w:bottom w:type="dxa" w:w="60"/>
              <w:right w:type="dxa" w:w="100"/>
            </w:tcMar>
          </w:tcPr>
          <w:p>
            <w:r>
              <w:rPr>
                <w:sz w:val="19"/>
                <w:szCs w:val="19"/>
              </w:rPr>
              <w:t xml:space="preserve">*</w:t>
            </w:r>
          </w:p>
        </w:tc>
        <w:tc>
          <w:tcPr>
            <w:tcW w:type="dxa" w:w="2600"/>
            <w:tcMar>
              <w:top w:type="dxa" w:w="60"/>
              <w:left w:type="dxa" w:w="100"/>
              <w:bottom w:type="dxa" w:w="60"/>
              <w:right w:type="dxa" w:w="100"/>
            </w:tcMar>
          </w:tcPr>
          <w:p>
            <w:r>
              <w:rPr>
                <w:sz w:val="19"/>
                <w:szCs w:val="19"/>
              </w:rPr>
              <w:t xml:space="preserve">Public</w:t>
            </w:r>
          </w:p>
        </w:tc>
        <w:tc>
          <w:tcPr>
            <w:tcW w:type="dxa" w:w="3820"/>
            <w:tcMar>
              <w:top w:type="dxa" w:w="60"/>
              <w:left w:type="dxa" w:w="100"/>
              <w:bottom w:type="dxa" w:w="60"/>
              <w:right w:type="dxa" w:w="100"/>
            </w:tcMar>
          </w:tcPr>
          <w:p>
            <w:r>
              <w:rPr>
                <w:sz w:val="19"/>
                <w:szCs w:val="19"/>
              </w:rPr>
              <w:t xml:space="preserve">Redirection vers /</w:t>
            </w:r>
          </w:p>
        </w:tc>
      </w:tr>
    </w:tbl>
    <w:p>
      <w:pPr>
        <w:spacing w:after="160" w:line="300"/>
      </w:pPr>
      <w:r>
        <w:t xml:space="preserve">La Navbar est gérée de façon centralisée dans le composant Layout de App.tsx et ne doit jamais être importée directement dans une page individuelle. Elle est masquée sur les routes /, /login, /register et /forgot-password.</w:t>
      </w:r>
    </w:p>
    <w:p>
      <w:pPr>
        <w:pStyle w:val="Heading1"/>
        <w:spacing w:after="200" w:before="400"/>
      </w:pPr>
      <w:r>
        <w:t xml:space="preserve">13. Points d'attention pour un développeur reprenant le projet</w:t>
      </w:r>
    </w:p>
    <w:p>
      <w:pPr>
        <w:pStyle w:val="ListParagraph"/>
        <w:numPr>
          <w:ilvl w:val="0"/>
          <w:numId w:val="2"/>
        </w:numPr>
        <w:spacing w:after="100"/>
      </w:pPr>
      <w:r>
        <w:t xml:space="preserve">Ne jamais interroger directement les tables users ou profiles depuis le client pour un autre utilisateur que soi-même : ces requêtes provoquent des timeouts à cause de politiques RLS récursives. Toujours passer par le RPC get_my_user_data() ou par les RPC dédiées listées en section 5.1.</w:t>
      </w:r>
    </w:p>
    <w:p>
      <w:pPr>
        <w:pStyle w:val="ListParagraph"/>
        <w:numPr>
          <w:ilvl w:val="0"/>
          <w:numId w:val="2"/>
        </w:numPr>
        <w:spacing w:after="100"/>
      </w:pPr>
      <w:r>
        <w:t xml:space="preserve">Sept tables (animals, vaccines, weight_tracking, health_records, clinics, clinic_members, clinic_services) ne sont pas dans les migrations committées : leur schéma doit être exporté depuis le projet Supabase existant ou recréé à partir de la section 4 de ce document.</w:t>
      </w:r>
    </w:p>
    <w:p>
      <w:pPr>
        <w:pStyle w:val="ListParagraph"/>
        <w:numPr>
          <w:ilvl w:val="0"/>
          <w:numId w:val="2"/>
        </w:numPr>
        <w:spacing w:after="100"/>
      </w:pPr>
      <w:r>
        <w:t xml:space="preserve">Les Edge Functions Supabase ne se déploient jamais automatiquement via git push (contrairement au site, déployé sur Vercel à chaque push) : toute nouvelle fonction ou modification doit être déployée manuellement, via la CLI Supabase ou l'éditeur en ligne du dashboard (Edge Functions → Deploy a new function → Via Editor). C'est ce qui explique que send-appointment-confirmation et send-reminders soient restées absentes de la production pendant des semaines malgré un code correct — seule invite-clinic-secretary avait été déployée. Un rappel systématique après toute modification d'une Edge Function : vérifier sa présence dans Edge Functions → Functions sur le dashboard Supabase.</w:t>
      </w:r>
    </w:p>
    <w:p>
      <w:pPr>
        <w:pStyle w:val="ListParagraph"/>
        <w:numPr>
          <w:ilvl w:val="0"/>
          <w:numId w:val="2"/>
        </w:numPr>
        <w:spacing w:after="100"/>
      </w:pPr>
      <w:r>
        <w:t xml:space="preserve">Résolu le 21 juillet 2026 : le champ spécialité (déjà corrigé en amont de cette session, commit dee4020) et les champs espèces acceptées / déplacement à domicile (ajoutés à l'onglet Profil du tableau de bord praticien à cette date) sont désormais cohérents entre /profil et /dashboard/doctor?tab=profil — les deux pages utilisent les mêmes composants et enregistrent les mêmes colonnes via useUpdateDoctor.</w:t>
      </w:r>
    </w:p>
    <w:p>
      <w:pPr>
        <w:pStyle w:val="ListParagraph"/>
        <w:numPr>
          <w:ilvl w:val="0"/>
          <w:numId w:val="2"/>
        </w:numPr>
        <w:spacing w:after="100"/>
      </w:pPr>
      <w:r>
        <w:t>Résolu le 23 juillet 2026 : la fiche praticien affiche désormais une vraie carte Leaflet (src/components/doctor/LocationMap.tsx) au lieu du placeholder texte, avec le correctif habituel pour les icônes de marqueur (chemins d'images par défaut de Leaflet non résolus par le bundler Vite — réassignés vers le CDN unpkg).</w:t>
      </w:r>
    </w:p>
    <w:p>
      <w:pPr>
        <w:pStyle w:val="ListParagraph"/>
        <w:numPr>
          <w:ilvl w:val="0"/>
          <w:numId w:val="2"/>
        </w:numPr>
        <w:spacing w:after="100"/>
      </w:pPr>
      <w:r>
        <w:t xml:space="preserve">Résolu le 23 juillet 2026 : les colonnes clinics.lat/lng (migration 038, censée les ajouter et mettre à jour search_clinics/get_clinic_info en conséquence) n'avaient en réalité jamais été appliquées en production — la migration existait dans le code mais n'avait jamais été exécutée. Conséquences en cascade, découvertes en testant la carte praticien : get_doctor_clinic() ne remontait aucune coordonnée pour un cabinet (la carte restait vide pour tout praticien membre d'un cabinet), et "Autour de moi" ne calculait jamais de distance pour les cabinets. Les trois fonctions ont été redéployées, la colonne ajoutée, puis les cabinets/praticiens déjà créés avant ce correctif ont été géocodés rétroactivement à la main (API Adresse gratuite du gouvernement, la même que celle utilisée par geocodeAddress côté client) : toute nouvelle mise à jour de profil déclenche déjà le géocodage automatiquement, seuls les profils jamais resauvegardés depuis l'ajout de cette fonctionnalité restaient concernés.</w:t>
      </w:r>
    </w:p>
    <w:p>
      <w:pPr>
        <w:pStyle w:val="ListParagraph"/>
        <w:numPr>
          <w:ilvl w:val="0"/>
          <w:numId w:val="2"/>
        </w:numPr>
        <w:spacing w:after="100"/>
      </w:pPr>
      <w:r>
        <w:t xml:space="preserve">Le nom de package npm (« pawcare ») diffère du nom commercial (« Animéaux ») ; purement cosmétique.</w:t>
      </w:r>
    </w:p>
    <w:p>
      <w:pPr>
        <w:pStyle w:val="ListParagraph"/>
        <w:numPr>
          <w:ilvl w:val="0"/>
          <w:numId w:val="2"/>
        </w:numPr>
        <w:spacing w:after="100"/>
      </w:pPr>
      <w:r>
        <w:t xml:space="preserve">Toute modification du modèle de données passe par une nouvelle migration numérotée dans supabase/migrations/, exécutée manuellement dans Supabase → SQL Editor pour les tables citées ci-dessus qui ne sont pas encore committées.</w:t>
      </w:r>
    </w:p>
    <w:p>
      <w:pPr>
        <w:pStyle w:val="ListParagraph"/>
        <w:numPr>
          <w:ilvl w:val="0"/>
          <w:numId w:val="2"/>
        </w:numPr>
        <w:spacing w:after="100"/>
      </w:pPr>
      <w:r>
        <w:t xml:space="preserve">Le contenu des pages légales (/cgu, /confidentialite, section 6.14) est un premier jet non validé juridiquement : il ne doit pas être considéré comme définitif tant qu'il n'a pas été relu par un professionnel du droit, et les champs d'identité légale (SIRET, adresse, email de contact) restent à compléter avant toute mise en production réelle.</w:t>
      </w:r>
    </w:p>
    <w:p>
      <w:pPr>
        <w:pStyle w:val="ListParagraph"/>
        <w:numPr>
          <w:ilvl w:val="0"/>
          <w:numId w:val="2"/>
        </w:numPr>
        <w:spacing w:after="100"/>
      </w:pPr>
      <w:r>
        <w:t xml:space="preserve">Les clés Turnstile et Sentry (section 3.7) sont propres au compte Cloudflare/Sentry de la fondatrice du projet : un développeur reprenant le projet devra créer ses propres comptes (gratuits) et régénérer VITE_TURNSTILE_SITE_KEY, la clé secrète Turnstile côté Supabase, et VITE_SENTRY_DSN.</w:t>
      </w:r>
    </w:p>
    <w:p>
      <w:pPr>
        <w:pStyle w:val="ListParagraph"/>
        <w:numPr>
          <w:ilvl w:val="0"/>
          <w:numId w:val="2"/>
        </w:numPr>
        <w:spacing w:after="100"/>
      </w:pPr>
      <w:r>
        <w:t xml:space="preserve">Si la protection captcha Supabase Auth (Attack Protection) est activée, toute page appelant supabase.auth.signUp, signInWithPassword ou resetPasswordForEmail doit inclure le widget Turnstile et transmettre options.captchaToken — sans quoi la requête échoue avec captcha_failed (voir section 3.7, bug critique corrigé le 21 juillet 2026 sur /login et /forgot-password).</w:t>
      </w:r>
    </w:p>
    <w:p>
      <w:pPr>
        <w:pStyle w:val="ListParagraph"/>
        <w:numPr>
          <w:ilvl w:val="0"/>
          <w:numId w:val="2"/>
        </w:numPr>
        <w:spacing w:after="100"/>
      </w:pPr>
      <w:r>
        <w:t xml:space="preserve">Toute fonction PostgreSQL SECURITY DEFINER doit fixer explicitement search_path (ex. set search_path = public dans sa définition) et qualifier ses types par leur schéma (public.user_role plutôt que user_role). Son omission dans handle_new_user() a cassé toutes les inscriptions (patient et praticien) en production le 21 juillet 2026 pendant plusieurs heures : le rôle technique supabase_auth_admin, qui exécute ce trigger à chaque inscription, n'a pas 'public' dans son search_path par défaut, provoquant l'erreur 'type "user_role" does not exist' et un message générique 'Database error saving new user' côté client — sans lien apparent avec la cause réelle. Diagnostiqué via Logs → Postgres Logs dans le dashboard Supabase (pas via les logs applicatifs).</w:t>
      </w:r>
    </w:p>
    <w:p>
      <w:pPr>
        <w:pStyle w:val="ListParagraph"/>
        <w:numPr>
          <w:ilvl w:val="0"/>
          <w:numId w:val="2"/>
        </w:numPr>
        <w:spacing w:after="100"/>
      </w:pPr>
      <w:r>
        <w:t xml:space="preserve">Le résultat d'un CASE WHEN sur des littéraux texte est résolu en type text par Postgres : l'insérer directement dans une colonne enum (ex. notifications.type) échoue avec 'column is of type X but expression is of type text', contrairement à un littéral direct qui bénéficie d'une coercion implicite. Caster explicitement (...)::mon_enum.</w:t>
      </w:r>
    </w:p>
    <w:p>
      <w:pPr>
        <w:pStyle w:val="ListParagraph"/>
        <w:numPr>
          <w:ilvl w:val="0"/>
          <w:numId w:val="2"/>
        </w:numPr>
        <w:spacing w:after="100"/>
      </w:pPr>
      <w:r>
        <w:t xml:space="preserve">Résolu le 22 juillet 2026 : l'espace secrétariat rattachait un accès «Espace secrétariat» à un compte praticien/patient/admin existant lorsque l'email invité correspondait à un compte déjà créé (simple lien ajouté à la navbar, sans nouveaux identifiants) — perçu comme un onglet du dashboard praticien plutôt qu'un espace réellement séparé. L'Edge Function invite-clinic-secretary refuse désormais tout email déjà utilisé par un autre compte Animéaux et crée systématiquement un compte dédié (role secretary, identifiants propres) ; le raccourci de navbar bolt-on est retiré, useMyClinicStaffInfo et la route /dashboard/secretariat sont restreints au rôle secretary.</w:t>
      </w:r>
    </w:p>
    <w:p>
      <w:pPr>
        <w:pStyle w:val="ListParagraph"/>
        <w:numPr>
          <w:ilvl w:val="0"/>
          <w:numId w:val="2"/>
        </w:numPr>
        <w:spacing w:after="100"/>
      </w:pPr>
      <w:r>
        <w:t xml:space="preserve">Résolu le 22 juillet 2026 : mettre un compte personnel en role = 'admin' pour lui donner accès au tableau de bord admin lui faisait perdre son tableau de bord habituel (role est une valeur unique, incompatible avec 'patient'). is_admin est désormais une colonne booléenne indépendante sur users (migration 055) : is_admin() et get_my_user_data() la lisent directement, ProtectedRoute contourne les vérifications de rôle sur is_admin plutôt que sur role = 'admin'.</w:t>
      </w:r>
    </w:p>
    <w:p>
      <w:pPr>
        <w:pStyle w:val="ListParagraph"/>
        <w:numPr>
          <w:ilvl w:val="0"/>
          <w:numId w:val="2"/>
        </w:numPr>
        <w:spacing w:after="100"/>
      </w:pPr>
      <w:r>
        <w:t xml:space="preserve">Le 23 juillet 2026, l'identifiant de connexion du compte secrétariat est devenu un code généré (ex. CAB4X9QZ) plutôt que l'email tapé par le praticien à l'invitation : Supabase Auth exige un champ email valide, donc ce code est transformé en email synthétique (code@secretariat.animeaux.internal, domaine non résolvable, jamais utilisé pour un envoi réel) uniquement pour satisfaire cette contrainte technique. L'email réellement saisi par le praticien ne sert plus qu'au routage Resend (destinataire de l'email d'identifiants), plus jamais à l'identité du compte.</w:t>
      </w:r>
    </w:p>
    <w:p>
      <w:pPr>
        <w:pStyle w:val="ListParagraph"/>
        <w:numPr>
          <w:ilvl w:val="0"/>
          <w:numId w:val="2"/>
        </w:numPr>
        <w:spacing w:after="100"/>
      </w:pPr>
      <w:r>
        <w:t>Résolu le 23 juillet 2026 : la messagerie (MessagesPage.tsx, DoctorDashboard.tsx) gérait déjà son propre temps réel via des canaux Supabase ('msgs' / 'doctor-msgs', écoute postgres_changes sur messages) — invisible en lisant seulement useConversation/useConversationPartners dans useData.ts, dont le rafraîchissement toutes les 5 secondes ressemblait à un simple polling sans alternative. Une tentative d'ajouter du temps réel au niveau des hooks (en plus de celui déjà présent au niveau des pages) a fait planter la page Messages en production sur mobile juste après déploiement (« Une erreur est survenue », capturée par Sentry) — annulée immédiatement, retour au polling existant. Leçon : avant d'ajouter une fonctionnalité dans la couche données (useData.ts), vérifier que le composant qui l'utilise ne la gère pas déjà lui-même.</w:t>
      </w:r>
    </w:p>
    <w:p>
      <w:pPr>
        <w:pStyle w:val="ListParagraph"/>
        <w:numPr>
          <w:ilvl w:val="0"/>
          <w:numId w:val="2"/>
        </w:numPr>
        <w:spacing w:after="100"/>
      </w:pPr>
      <w:r>
        <w:t>Résolu le 23 juillet 2026 : deux réglages dépendant du nom de domaine devaient être mis à jour après la connexion de monanimeaux.fr (voir section 9.3) — la liste des Redirect URLs de Supabase Auth (Authentication &gt; URL Configuration) et le secret APP_URL de la fonction Edge invite-clinic-secretary (qui retombait sur l'ancienne URL .vercel.app par défaut). À refaire pour tout futur domaine ou sous-domaine ajouté au projet.</w:t>
      </w:r>
    </w:p>
    <w:p>
      <w:pPr>
        <w:pStyle w:val="ListParagraph"/>
        <w:numPr>
          <w:ilvl w:val="0"/>
          <w:numId w:val="2"/>
        </w:numPr>
        <w:spacing w:after="100"/>
      </w:pPr>
      <w:r>
        <w:t>Ajouté le 23 juillet 2026 : mise en place de Vitest + Testing Library (jsdom), le projet n'ayant jusqu'ici aucune infrastructure de test (npm run test / npm run test:watch, config dans vite.config.ts). Réflexe permanent depuis cette date : toute nouvelle fonction pure ajoutée au projet doit venir avec son test, quitte à extraire une logique inline dans un composant vers son propre module src/lib/ spécifiquement pour la rendre testable (c'est ce qui a été fait pour les statistiques praticien et la génération de créneaux). 46 tests au total sur 6 fichiers : sanitizeHtml.ts (anti-XSS de la bio praticien, publique sans connexion), geo.ts (distance haversine, géocodage avec réseau mocké), doctorStats.ts (revenu, no-show, annulation, taux de remplissage — extrait de DoctorDashboard.tsx), slots.ts (génération des créneaux réservables d'une journée — extrait de useAvailableSlots dans useData.ts), et des tests d'intégrité sur les données statiques animalSpecies.ts / practitionerTypes.ts (pas de doublon d'id/nom, pas de clé orpheline dans les tables de correspondance). Complément du 23 juillet 2026 : ajout de src/test/supabaseMock.ts, un mock réutilisable du client Supabase (query builder chaînable "thenable", rpc, auth, storage, channel), permettant de tester la couche hooks (useData.ts) sans réseau ni compte de test — 7 premiers tests sur useAvailabilities, useMyWaitlistEntry, useJoinWaitlist et useConversationPartners (succès, erreurs Supabase, hook désactivé sans utilisateur connecté). 53 tests au total. Complément du 23 juillet 2026 (fin) : premiers tests de composants React avec Testing Library — StarRating.tsx (remplissage des étoiles sur note décimale, bornes 0-100%, mode interactif vs affichage), BackButton.tsx (historique de navigation vs fallback, react-router-dom mocké), et AvailabilityCalendar.tsx (sélection de jour, créneaux affichés/exclus, callback onSelect — via le mock Supabase). Corrigé au passage : tailwind.config.js scannait aussi les fichiers *.test.tsx pour générer les classes utilitaires de production, faisant dériver légèrement le CSS buildé à chaque nouveau test sans changement fonctionnel réel — exclus du content glob. 68 tests au total, la pyramide de tests (fonctions pures → intégrité des données → hooks Supabase mockés → composants React) couvre désormais chaque niveau au moins une fois ; à étoffer au fil de l'eau plutôt qu'en viser une couverture exhaustive d'un coup.</w:t>
      </w:r>
    </w:p>
    <w:p>
      <w:pPr>
        <w:pStyle w:val="ListParagraph"/>
        <w:numPr>
          <w:ilvl w:val="0"/>
          <w:numId w:val="2"/>
        </w:numPr>
        <w:spacing w:after="100"/>
      </w:pPr>
      <w:r>
        <w:t>Complément du 24 juillet 2026 : le reste de src/lib couvert — supabase.ts (getMyUserDataWithRetry : retry sur erreur logique et sur exception réseau, abandon après 3 échecs, timeout par tentative, testé avec de faux timers pour rester rapide malgré les délais réels de 800ms/8s), authStore.ts (setters, signOut), doctorDashboardTabs.ts (intégrité des données). Quatre hooks mutations supplémentaires testés dans useData.ts : useLeaveWaitlist, useSendMessage, useUpdateAppointmentStatus, useCreateReview. Plus aucun fichier de src/lib sans test. 85 tests au total, à étoffer au fil de l'eau plutôt qu'en viser une couverture exhaustive d'un coup.</w:t>
      </w:r>
    </w:p>
    <w:p>
      <w:pPr>
        <w:pStyle w:val="ListParagraph"/>
        <w:numPr>
          <w:ilvl w:val="0"/>
          <w:numId w:val="2"/>
        </w:numPr>
        <w:spacing w:after="100"/>
      </w:pPr>
      <w:r>
        <w:t>Complément du 28 juillet 2026 : couverture de tests étendue jusqu'à son terme naturel — les 105 hooks exportés par useData.ts sont désormais tous testés (vérifié par diff automatique entre les exports du fichier et les hooks couverts), répartis sur une douzaine de fichiers par domaine (recherche, animaux/vaccins/poids, notifications, rendez-vous, disponibilités, documents, cabinets, compte, admin). Côté composants React, ajout de ProtectedRoute, PasswordInput, DoctorCard, ClinicCard, SpeciesSelect, SearchBar, AppointmentCard, NotificationBell, Navbar, Footer, Turnstile, RichTextEditor et LocationMap (react-leaflet mocké) — seul AnimalBackground.tsx (motif SVG décoratif sans props ni logique) reste volontairement sans test, n'ayant rien de significatif à vérifier. 317 tests au total. Bug de timing corrigé au passage dans SearchBar.test.tsx : les suggestions de spécialité sont recalculées depuis une ref synchronisée par un useEffect une fois useSpecialties() résolue — taper avant cette résolution, ou l'attendre par un simple délai fixe, passait sous charge (suite complète) ; le test attend désormais explicitement la résolution de la promesse du mock Supabase avant de simuler la frappe. Bilan de la marche : toutes les fonctions pures de src/lib, tous les hooks Supabase et la quasi-totalité des composants React sont couverts ; à maintenir au fil de l'eau (chaque nouvelle fonction pure vient avec son test) plutôt qu'à ré-auditer en bloc.</w:t>
      </w:r>
    </w:p>
    <w:p>
      <w:pPr>
        <w:pStyle w:val="ListParagraph"/>
        <w:numPr>
          <w:ilvl w:val="0"/>
          <w:numId w:val="2"/>
        </w:numPr>
        <w:spacing w:after="100"/>
      </w:pPr>
      <w:r>
        <w:t>Ajouté le 28 juillet 2026 : code-splitting par route (React.lazy + Suspense dans App.tsx) — chaque page n'est plus incluse dans le bundle principal mais chargée à la demande. Le bundle JS principal passe de 1 521 Ko à 513 Ko (gzip : 422 Ko → 153 Ko) ; un visiteur de la page de connexion ne télécharge plus le code du dashboard praticien, de l'admin ou des statistiques. ProtectedRoute reste en import statique (composant léger utilisé par la quasi-totalité des routes protégées). Complément du même jour : mise en place d'une PWA installable via vite-plugin-pwa (service worker généré au build, manifest.webmanifest avec les icônes public/pwa-192.png et pwa-512.png générées depuis favicon.svg via sips, app shell précaché pour un démarrage minimal hors-ligne — les données restent dépendantes du réseau, seule l'interface se charge sans connexion). Vérifié en local avec npm run preview : le service worker s'enregistre et s'active, le manifeste est correctement servi. Les icônes ne sont pas déclarées « maskable » : le logo va jusqu'aux bords du carré (oreilles proches des coins), un recadrage en cercle de sécurité couperait probablement le motif.</w:t>
      </w:r>
    </w:p>
    <w:p>
      <w:pPr>
        <w:pStyle w:val="ListParagraph"/>
        <w:numPr>
          <w:ilvl w:val="0"/>
          <w:numId w:val="2"/>
        </w:numPr>
        <w:spacing w:after="100"/>
      </w:pPr>
      <w:r>
        <w:t>Ajouté le 29 juillet 2026 : le domaine monanimeaux.fr est maintenant indexé par Google (confirmé par une recherche directe le jour même, après soumission du sitemap dans Search Console — la propriété avait été vérifiée par TXT DNS chez OVH, voir plus haut). Complément SEO : ajout de public/robots.txt et public/sitemap.xml (pages publiques statiques uniquement — les fiches praticien/cabinet, dynamiques, n'y figurent pas encore), d'une meta description dans index.html, et d'un favicon multi-format (favicon-32.png, favicon-16.png, favicon.ico en plus du SVG existant) car Google n'affiche l'icône du site dans les résultats de recherche que s'il trouve un format raster standard, pas seulement du SVG — la mise à jour de cette icône côté Google reste plus lente que l'indexation elle-même, sans action possible pour l'accélérer. Complément performance du même jour : le bundle JS principal, jusque-là un seul bloc de 513 Ko, est découpé en chunks vendor séparés (react/react-dom/react-router-dom, @tanstack/react-query, @supabase/supabase-js) via manualChunks dans vite.config.ts, pour que les visiteurs récurrents réutilisent le cache navigateur des libs tierces (rarement modifiées) même après un déploiement qui ne touche que le code applicatif — fait aussi disparaître l'avertissement Vite « chunk supérieur à 500 Ko ». Le logo utilisé dans Navbar/Footer/pages d'authentification passait de 107 Ko : c'était en réalité un SVG enveloppant un PNG encodé en base64, sans aucun vecteur réel dedans. Remplacé par un WebP de 40 Ko (même image, recompressée) — logo-navbar.png, logo-navbar.svg et le doublon logo-full.{png,svg} (jamais importé nulle part) ont été supprimés.</w:t>
      </w:r>
    </w:p>
    <w:p>
      <w:pPr>
        <w:pStyle w:val="ListParagraph"/>
        <w:numPr>
          <w:ilvl w:val="0"/>
          <w:numId w:val="2"/>
        </w:numPr>
        <w:spacing w:after="100"/>
      </w:pPr>
      <w:r>
        <w:t>Ajouté le 29 juillet 2026 : trois fonctionnalités inspirées de Doctolib, identifiées manquantes après audit du code. (1) Réponse du praticien aux avis (migration 067) : reviews gagne doctor_reply/doctor_reply_at, modifiables uniquement via la RPC SECURITY DEFINER reply_to_review() — une policy RLS classique aurait aussi autorisé le praticien à modifier rating/comment (propriété du patient), la RPC vérifie donc explicitement que l'appelant est le praticien concerné et ne touche jamais qu'aux deux colonnes de réponse. Affichée publiquement sous l'avis sur la fiche praticien, éditable depuis l'onglet Avis du tableau de bord. (2) Export .ics du rendez-vous confirmé (src/lib/ics.ts, fonction pure testée) : bouton « Ajouter à mon calendrier » sur AppointmentCard, génère le fichier .ics côté client (aucune dépendance ajoutée, aucun appel serveur). (3) Carnet de santé exportable (/animal/:id/carnet) : vue imprimable du dossier d'un animal (identité, vaccins, suivi de poids, historique de soins), pensée pour être montrée à un nouveau praticien ou une clinique d'urgence — export via window.print() et CSS d'impression, sans librairie PDF ajoutée (les navigateurs savent nativement « Enregistrer en PDF » depuis la boîte de dialogue d'impression). Accessible au propriétaire de l'animal et à tout praticien ayant déjà accès au dossier (mêmes règles que /animal/:id) — pas encore de lien public partageable sans connexion, envisageable en évolution future si le besoin se confirme. 330 tests au total.</w:t>
      </w:r>
    </w:p>
    <w:p>
      <w:pPr>
        <w:pStyle w:val="ListParagraph"/>
        <w:numPr>
          <w:ilvl w:val="0"/>
          <w:numId w:val="2"/>
        </w:numPr>
        <w:spacing w:after="100"/>
      </w:pPr>
      <w:r>
        <w:t>Ajouté le 30 juillet 2026 : notifications push navigateur — chantier plus lourd que les précédents, avec plusieurs étapes manuelles côté Supabase (voir section suivante). Le service worker généré automatiquement par la PWA (vite-plugin-pwa en mode generateSW) ne peut pas recevoir de gestionnaires d'événements custom : bascule en mode injectManifest, avec src/sw.ts écrit à la main (precacheAndRoute pour l'app shell + gestionnaires push/notificationclick). Migration 068 : table push_subscriptions (RLS propriétaire uniquement), extension pg_net, et un trigger sur la table notifications — déjà le point central de toutes les notifications existantes (RDV confirmé/annulé, nouveau message, avis, liste d'attente, rappel de vaccin) — qui appelle la fonction Edge supabase/functions/send-push à chaque INSERT, sans avoir eu à modifier chacun de ces points d'insertion. La clé service_role n'est jamais committée : le trigger la lit depuis Supabase Vault au moment de l'appel (secret nommé service_role_key, à créer manuellement) ; si ce secret est absent, la notification in-app part quand même normalement, seul l'envoi du push est silencieusement sauté — aucune régression possible sur l'existant. La fonction Edge envoie via la librairie web-push (protocole VAPID) et supprime automatiquement les abonnements expirés ou révoqués (réponses 410/404) pour ne pas réessayer indéfiniment sur un endpoint mort. Toggle d'activation/désactivation ajouté dans /profil, visible seulement si le navigateur supporte l'API Push. 360 tests au total, dont la logique pure extraite du service worker (routage au clic sur la notification, conversion de la clé VAPID) et les trois hooks côté client, testés avec navigator/Notification/PushManager stubbés.</w:t>
      </w:r>
    </w:p>
    <w:p>
      <w:pPr>
        <w:pStyle w:val="ListParagraph"/>
        <w:numPr>
          <w:ilvl w:val="0"/>
          <w:numId w:val="2"/>
        </w:numPr>
        <w:spacing w:after="100"/>
      </w:pPr>
      <w:r>
        <w:t>Complément du 30 juillet 2026 : deux bugs réels trouvés et corrigés pendant le déploiement des notifications push, tous deux repérés par l'utilisatrice en testant en conditions réelles. (1) src/sw.ts (nouveau, mode injectManifest pour pouvoir ajouter les gestionnaires push/notificationclick) n'appelait ni self.skipWaiting() ni clientsClaim() : un ancien service worker continuait de servir un index.html référençant des chunks JS déjà supprimés du serveur au déploiement suivant (les noms de fichiers changent à chaque build), plantant l'app pour quiconque avait déjà visité le site avant un déploiement — corrigé, et cleanupOutdatedCaches() ajouté au passage. (2) La section Notifications ajoutée dans ProfilPage.tsx (route /profil) restait invisible pour tout praticien : leur lien « Mon profil » dans la navbar pointe vers /dashboard/doctor?tab=profil, un formulaire entièrement séparé dans DoctorDashboard.tsx qui ne réutilise jamais ProfilPage.tsx — piège à garder en tête, ces deux pages de profil doivent être maintenues en double pour toute future fonctionnalité de compte (patient/admin passent par /profil, praticien par son propre onglet, secrétariat n'a pas de page profil du tout). Notifications testées de bout en bout et confirmées fonctionnelles en conditions réelles : réception d'une vraie notification système côté praticien suite à un message patient.</w:t>
      </w:r>
    </w:p>
    <w:p>
      <w:pPr>
        <w:pStyle w:val="ListParagraph"/>
        <w:numPr>
          <w:ilvl w:val="0"/>
          <w:numId w:val="2"/>
        </w:numPr>
        <w:spacing w:after="100"/>
      </w:pPr>
      <w:r>
        <w:t>Complément du 30 juillet 2026 : send-appointment-confirmation (email de confirmation à la réservation, section 9.2) n'avait en réalité jamais fonctionné depuis sa création — trois bugs empilés, tous découverts en testant une vraie réservation avec l'utilisatrice plutôt qu'en se fiant à la documentation existante. (1) La fonction n'avait jamais été déployée sur Supabase (0 invocation historique constatée dans le dashboard) : le code existait dans le repo sans jamais avoir tourné en prod — confirme une fois de plus qu'un fichier dans supabase/functions/ ne prouve rien tant qu'il n'a pas été collé manuellement dans le dashboard Supabase (voir aussi la même remarque pour les migrations SQL, section 13). (2) CORS manquant : la fonction est appelée depuis le navigateur (useCreateAppointment) mais sans gestion du preflight OPTIONS ni d'en-têtes Access-Control-Allow-Origin — contrairement à invite-clinic-secretary qui a déjà ce pattern depuis le début, seule autre fonction appelée côté client. Sans ces headers, le fetch échoue avant même d'atteindre le code, ce qui remonte côté client comme un 404 trompeur mêlé à une erreur CORS. (3) Requête Postgres invalide : specialty était demandé sous doctors.profiles(...) alors que cette colonne vit directement sur doctors — erreur 42703 ('column profiles_2.specialty does not exist'), jamais remontée puisque la fonction n'avait jamais réellement tourné pour la révéler. Un SMS de confirmation a été ajouté au passage (même mécanisme OVH que le rappel 24h). L'email a été vérifié reçu en conditions réelles après ces trois corrections ; le SMS attend la validation d'un expéditeur alphanumérique OVH (délai annoncé 1-2 jours ouvrés, aucun expéditeur n'existait jusqu'ici sur le service SMS).</w:t>
      </w:r>
    </w:p>
    <w:p>
      <w:pPr>
        <w:spacing w:after="160" w:line="300"/>
      </w:pPr>
      <w:r>
        <w:t xml:space="preserve">Mise à jour du 07/08/2026 : le premier expéditeur alphanumérique soumis (« Animeaux ») a été refusé par OVH, motif « nom d'expéditeur trop générique » — un second expéditeur, « MonAnimeaux » (11 caractères, la longueur maximale autorisée), accompagné d'une description d'usage, a été resoumis le même jour. Toujours en attente de validation au moment de la rédaction ; aucun SMS (rappel 24h, rappel vaccin, confirmation de RDV) ne part tant qu'aucun expéditeur n'est validé. Vérifier le statut dans OVH Manager → Télécom → SMS → sms-ys52270-1 → Expéditeurs avant d'assumer que la fonctionnalité est opérationnelle.</w:t>
      </w:r>
    </w:p>
    <w:p>
      <w:pPr>
        <w:pStyle w:val="ListParagraph"/>
        <w:numPr>
          <w:ilvl w:val="0"/>
          <w:numId w:val="2"/>
        </w:numPr>
        <w:spacing w:after="100"/>
      </w:pPr>
      <w:r>
        <w:t>Complément du 30 juillet 2026 : l'annulation de RDV était cassée depuis toujours côté patient — trouvé en vérifiant la fonctionnalité à la demande de l'utilisatrice, trois bugs sur deux couches. (1) UI (AppointmentCard.tsx) : le bouton générique « Annuler » n'était filtré par aucun rôle, s'affichant en double pour un praticien en plus de ses propres boutons (Refuser sur un RDV en attente, Terminé/Absent(e) sur un RDV confirmé) — corrigé en excluant le rôle docteur, prouvé par un test qui échouait avant correction. (2) RLS (migration 069) : la policy « patient peut annuler le sien » (001_schema.sql) n'avait pas de clause WITH CHECK explicite — sans elle, Postgres réutilise la clause USING (qui exige status in ('pending', 'confirmed')) pour valider aussi la ligne après modification, alors qu'annuler fait justement passer le statut à 'cancelled'. La base rejetait donc silencieusement toute tentative, sans qu'aucune erreur ne remonte à l'écran (aucune gestion d'erreur câblée sur ce bouton) — confirmé en conditions réelles avant correction, puis vérifié fonctionnel après. (3) Contrainte unique (migration 070) : une fois l'annulation débloquée, un créneau libéré s'affichait comme disponible (get_booked_slots exclut déjà les RDV annulés) mais restait en réalité impossible à re-réserver — la contrainte no_double_booking (doctor_id, start_at) ne tenait pas compte du statut, donc l'ancienne ligne annulée bloquait toujours ce créneau. Remplacée par un index unique partiel filtré sur ('pending', 'confirmed'), même filtre que get_booked_slots. Testé de bout en bout : annulation patient effective, puis re-réservation du même créneau réussie. 361 tests au total.</w:t>
      </w:r>
    </w:p>
    <w:p>
      <w:pPr>
        <w:spacing w:after="160" w:line="300"/>
      </w:pPr>
      <w:r>
        <w:t xml:space="preserve">Complément du 07/08/2026 : le motif « deux arborescences JSX parallèles, bascule en CSS » utilisé par l'interface mobile patient (section 6.9) a un piège spécifique — un composant dont un effet dépend d'une ressource globale unique (par exemple un nom de canal Supabase Realtime fixe) échoue silencieusement si les deux arborescences sont montées en parallèle, même si une seule est visible : les deux instances existent bel et bien dans le DOM. Repéré sur NotificationBell (monté à la fois par la Navbar desktop et le MobileHeader mobile), corrigé en suffixant le nom du canal par l'id utilisateur et une chaîne aléatoire à chaque montage plutôt qu'un nom fixe.</w:t>
      </w:r>
    </w:p>
    <w:p>
      <w:pPr>
        <w:spacing w:after="160" w:line="300"/>
      </w:pPr>
      <w:r>
        <w:t xml:space="preserve">Complément du 09/08/2026 : les emails transactionnels envoyés en réaction à une notification (liste d'attente, annulation de RDV par le praticien) suivent tous le même schéma — un trigger SQL after insert on notifications, filtré par type via une clause WHEN, appelle une fonction Edge dédiée en HTTP via pg_net, authentifiée avec le secret Vault service_role_key (le même secret pour toutes ces fonctions, créé une seule fois). Sans ce secret Vault configuré, le trigger part quand même (il ne bloque jamais l'insertion de la notification elle-même) mais l'appel HTTP est silencieusement sauté — aucune erreur visible, juste rien qui part. Décision produit du 09/08/2026 : BIMI (logo affiché comme avatar expéditeur dans Gmail) volontairement écarté pour l'instant — Gmail exige un VMC payant (~1000-1500€/an) adossé à une marque déposée à l'INPI, distincte du SIRET/RCS déjà obtenu ; le logo reste en revanche affiché dans le corps de chaque email (voir section 6.9).</w:t>
      </w:r>
    </w:p>
    <w:p>
      <w:pPr>
        <w:spacing w:after="160" w:line="300"/>
      </w:pPr>
      <w:r>
        <w:t xml:space="preserve">Complément du 14/08/2026 : plusieurs ajustements côté praticien. « Mes patients » affiche désormais un indicateur de fidélité par propriétaire (nombre de rendez-vous et date du dernier, tous confrères du cabinet confondus) sous chaque animal, calculé côté client à partir des données déjà chargées par useDoctorPatientAnimals, sans requête supplémentaire. Un bouton de déconnexion a été ajouté tout en bas de l'onglet Profil ; celui de la Navbar (en haut) est désormais masqué sur mobile pour ce rôle spécifiquement (patient/admin/secrétariat n'ayant pas cette alternative, ils gardent le bouton du haut). Les six onglets du dashboard, auparavant uniquement dans la Navbar du haut (illisibles sur petit écran), sont repris dans une barre dédiée en bas d'écran sur mobile (DoctorMobileTabBar, masquée sur desktop) — validée en aperçu (option « fond teinté + repère sous l'onglet actif ») avant implémentation. Enfin, ajout de viewport-fit=cover dans index.html : sans lui, env(safe-area-inset-bottom) restait bloqué à 0 sur iOS, et les barres du bas (patient comme praticien) n'avaient donc jamais de vraie marge de sécurité au-dessus de l'indicateur d'accueil — chevauchement corrigé pour les deux.</w:t>
      </w:r>
    </w:p>
    <w:p>
      <w:pPr>
        <w:spacing w:after="160" w:line="300"/>
      </w:pPr>
      <w:r>
        <w:t xml:space="preserve">Complément du 14/08/2026 (suite) : ajout, sur la fiche publique d'un praticien, d'un rappel d'historique pour le patient connecté (« Vous avez déjà consulté ce praticien X fois, dernier RDV le... »), symétrique à l'indicateur de fidélité ajouté côté praticien plus tôt dans la journée — nouveau hook useMyHistoryWithDoctor, requête dédiée sur un seul doctor_id plutôt que de réutiliser la liste complète des rendez-vous du patient. Par ailleurs, vérification en conditions réelles du rappel « laisser un avis » (send-reminders) : le code avait de nouveau 5 jours de retard sur le dépôt (le lien de confirmation de présence, ajouté entre-temps, n'était jamais parti en prod malgré un premier échange à ce sujet) — redéployé. Le test par antidatation de completed_at a d'abord raté sa fenêtre : le cron `send-reminders-hourly` (vérifié via `select * from cron.job`) tourne à l'heure ronde exacte (`0 * * * *`), pas N minutes après le déclenchement du test — la requête de test a été ajustée pour se caler sur `date_trunc('hour', now()) + interval '1 hour'` plutôt que sur `now()`, afin de retomber au centre de la fenêtre de 3 à 4h quelle que soit l'heure à laquelle le test est lancé.</w:t>
      </w:r>
    </w:p>
    <w:p>
      <w:pPr>
        <w:spacing w:after="160" w:line="300"/>
      </w:pPr>
      <w:r>
        <w:t xml:space="preserve">Complément du 09/08/2026 (soir), leçon de tests : deux évolutions faites plus tôt dans la journée (le correctif de redirection post-connexion sur ProtectedRoute, et la navigation au clic sur une notification dans NotificationBell) avaient chacune introduit un hook de react-router-dom (useLocation, useNavigate) sans jamais relancer la suite de tests — deux fichiers de tests préexistants (ProtectedRoute.test.tsx, NotificationBell.test.tsx) ne fournissaient pas de contexte Router et se sont mis à planter en cascade (17 tests) une fois la suite complète relancée. Corrigé en ajoutant le contexte manquant (mock ciblé de useLocation pour le premier, MemoryRouter pour le second) et en mettant à jour les assertions devenues obsolètes (nom de canal Realtime dynamique, paramètre ?redirect= sur l'URL de connexion). Retenu comme rappel : relancer npm run test après toute modification d'un composant partagé, pas seulement npm run build.</w:t>
      </w:r>
    </w:p>
    <w:p>
      <w:pPr>
        <w:spacing w:after="160" w:line="300"/>
      </w:pPr>
      <w:r>
        <w:t xml:space="preserve">Complément du 10/08/2026 : ajout d'une confirmation de présence patient sur le rappel de RDV à 24h — un bouton « Je confirme ma présence » dans l'email de rappel renvoie vers une page publique (/confirmer-presence/:id, hors ProtectedRoute puisque cliquée depuis un email, souvent sans session active sur cet appareil), qui appelle une fonction Edge dédiée (confirm-appointment-presence, l'UUID du RDV servant de jeton d'accès non devinable). Objectif : réduire le no-show et donner au praticien une visibilité avant l'heure du RDV, matérialisée par un badge « ✓ Présence confirmée par le patient » sur AppointmentCard. Nouvelle colonne appointments.confirmed_by_patient_at (migration 078).</w:t>
      </w:r>
    </w:p>
    <w:p>
      <w:pPr>
        <w:spacing w:after="160" w:line="300"/>
      </w:pPr>
      <w:r>
        <w:t>Complément du 08/09/2026 : audit proactif demandé par l'utilisatrice après le bug de réinitialisation de mot de passe (« ce type de problème je ne veux pas devoir les trouver moi-même »). Le correctif posé plus tôt dans la journée sur App.tsx (ignorer l'événement PASSWORD_RECOVERY pour ne pas connecter l'utilisateur depuis le lien reçu par email) reposait uniquement sur le type d'événement — or GoTrue (le client d'auth de Supabase) émet cet événement via un setTimeout à délai nul, adressé aux seuls listeners déjà abonnés à cet instant précis ; comme onAuthStateChange s'abonne dans un useEffect (donc après le premier rendu), il le manque souvent et reçoit à la place la même session rejouée sous la forme d'un INITIAL_SESSION classique, indiscernable d'une vraie connexion par le seul type d'événement. Risque résiduel identifié : un compte suspendu cliquant sur son lien de réinitialisation se faisait rediriger vers /login avant même de voir le formulaire. Corrigé en basculant le garde-fou sur le chemin affiché (window.location.pathname === '/reset-password'), vérifié avant tout traitement d'événement quel qu'il soit — ResetPassword.tsx garde en plus son propre filet de sécurité indépendant (réinitialisation du store dans un useEffect au montage).</w:t>
      </w:r>
    </w:p>
    <w:p>
      <w:pPr>
        <w:spacing w:after="160" w:line="300"/>
      </w:pPr>
      <w:r>
        <w:t>Complément du 08/09/2026 (suite) : même audit, deuxième constat — send-appointment-cancellation et send-appointment-reschedule n'avaient pas reçu le même garde-fou (délai de 10s + try/catch sur chaque appel réseau externe, OVH SMS et Resend) que send-reminders, qui l'avait déjà. Sans lui, un OVH ou un Resend lent ou en panne pouvait faire planter toute l'invocation (fetch qui ne répond jamais, AbortError non intercepté) alors que ces fonctions doivent rester best-effort — l'annulation ou le report d'un RDV ne doit jamais dépendre de la notification associée. Corrigé de façon identique dans les deux fonctions, déployées manuellement via l'éditeur en ligne du dashboard Supabase (rappel section 13 : jamais de déploiement automatique pour les Edge Functions).</w:t>
      </w:r>
    </w:p>
    <w:p>
      <w:pPr>
        <w:spacing w:after="160" w:line="300"/>
      </w:pPr>
      <w:r>
        <w:t>Complément du 08/09/2026 (bug signalé par l'utilisatrice) : le préfixe « Dr » était codé en dur partout où le nom d'un praticien apparaît — 6 Edge Functions (confirmation, annulation, report, rappel de RDV, confirmation de présence, flux calendrier ICS), le tableau de bord secrétariat et la page Rappels du patient — sans jamais tenir compte du métier réel choisi à l'inscription (practitionerTypes.ts). Une comportementaliste, un toiletteur, un éducateur canin ou tout autre métier non-vétérinaire de la liste étaient donc appelés « Dr », alors que seul un vétérinaire porte ce titre. Corrigé via une nouvelle fonction partagée formatDoctorName() (src/lib/practitionerTypes.ts), qui compare specialty (le libellé stocké en base, ex. « Vétérinaire », pas l'id) au libellé du type 'veterinaire' avant d'ajouter le titre — dupliquée localement dans chaque Edge Function comme les autres petites fonctions déjà en place (toE164, escapeHtml), les Edge Functions Deno n'important pas src/. Deux points ne remontaient pas encore la spécialité jusqu'au composant d'affichage : la RPC get_clinic_agenda (migration 089, ajoute la colonne doctor_specialty — nécessite un DROP FUNCTION préalable pour changer le row type, Postgres refusant un simple CREATE OR REPLACE dans ce cas, erreur 42P13) et le select de usePatientDoctorDocuments (specialty ajouté à l'embed doctors).</w:t>
      </w:r>
    </w:p>
    <w:p>
      <w:pPr>
        <w:spacing w:after="160" w:line="300"/>
      </w:pPr>
      <w:r>
        <w:t>Complément du 08/09/2026 : vérification complète du parcours praticien non-vétérinaire en préparant une démo à une comportementaliste, quatre correctifs réels trouvés en testant en conditions réelles (recherche publique en prod, pas seulement lecture de code). (1) La recherche par spécialité (useDoctors, useData.ts) filtrait côté client par un simple specialty.includes(term) à sens unique — chercher "Comportementaliste animalier" (le libellé exact suggéré par l'autocomplétion) renvoyait 0 résultat pour une comportementaliste réellement inscrite, dont la fiche portait encore l'ancien intitulé "Comportementaliste" (renommé depuis, commit ba0133f, sans backfill des fiches existantes). Corrigé par une comparaison dans les deux sens, extraite en fonction pure et testée (matchesSpecialtySearch, src/lib/doctorSearch.ts) pour que ce type de régression silencieuse ne repasse plus inaperçu au prochain renommage de libellé métier. (2) BookPage proposait toujours les mêmes motifs de RDV vétérinaires ("Renouvellement ordonnance", "Urgence"...) quel que soit le métier du praticien réservé — remplacés par les prestations propres au métier (practitionerTypes.ts) pour tout non-vétérinaire, via un nouveau getPractitionerTypeBySpecialty (même comparaison à double sens). (3) Le placeholder "Nom (ex: Vaccination)" du formulaire d'ajout de tarif, sur le tableau de bord praticien, est du même principe adapté au métier réel. (4) Sur demande explicite de l'utilisatrice : les onglets Vaccins et Poids du dossier de santé d'un animal (AnimalHealthPage.tsx) sont désormais masqués pour tout praticien dont la spécialité n'est pas "Vétérinaire" — restent visibles pour les patients et, par défaut, tant que la spécialité du praticien connecté n'est pas encore chargée (évite un flash chez un vétérinaire).</w:t>
      </w:r>
    </w:p>
    <w:p>
      <w:pPr>
        <w:spacing w:after="160" w:line="300"/>
      </w:pPr>
      <w:r>
        <w:t>Ajouté le 08/09/2026 : sur "Mes rendez-vous" (RendezVousPage.tsx), un bouton "+ Nouveau rendez-vous" est désormais toujours visible (avant, réservé au CTA de l'état vide "aucun RDV à venir"), accompagné d'une section "Praticiens déjà consultés" pour reprendre RDV en un clic — réutilise telle quelle la dérivation recentDoctors et le composant DoctorMiniRow déjà en place sur l'accueil patient (PatientDashboard.tsx, section "Derniers praticiens consultés"). Le CTA de l'état vide a été retiré pour ne pas dupliquer le nouveau bouton, même logique que la décision prise sur PatientDashboard le 07/09/2026 (bouton "+ Prendre rendez-vous" retiré de l'accueil car redondant avec les actions rapides).</w:t>
      </w:r>
    </w:p>
    <w:p>
      <w:pPr>
        <w:spacing w:after="160" w:line="300"/>
      </w:pPr>
      <w:r>
        <w:t>Ajouté le 08/09/2026 : trois nouveaux métiers praticien (Communication animale, Médiation animale, Photographe animalier — practitionerTypes.ts + migration 090 pour la table specialties), suite à une veille concurrentielle sur Tobalgo (plateforme concurrente positionnée uniquement sur les métiers non-médicaux, sans réservation par créneaux ni dossier de santé numérique, mais avec une charte éthique co-écrite avec l'association Argos 42 — piste à envisager pour Animéaux si le sujet revient). Décision explicite de l'utilisatrice de ne PAS ajouter "Éleveur" (pas un vrai rendez-vous, même logique que "vendeur en animalerie" déjà exclu) ; "Pension/garderie" également écarté pour l'instant, le modèle de RDV actuel (start_at/end_at le même jour) ne gère pas les réservations multi-jours.</w:t>
      </w:r>
    </w:p>
    <w:p>
      <w:pPr>
        <w:spacing w:after="160" w:line="300"/>
      </w:pPr>
      <w:r>
        <w:t>Retiré le 08/09/2026 (quelques minutes après leur ajout, décision d'Anaïs) : les trois métiers Communication animale, Médiation animale, Photographe animalier — practitionerTypes.ts revenu en arrière, migration 091 (delete) appliquée en prod en complément de la 090 (insert), jamais éditée elle-même une fois appliquée.</w:t>
      </w:r>
    </w:p>
    <w:p>
      <w:pPr>
        <w:spacing w:after="160" w:line="300"/>
      </w:pPr>
      <w:r>
        <w:t>Ajouté le 08-09/09/2026 : engagement bien-être animal (charte praticien), différenciateur face à Tobalgo dont l'argument principal est une charte éthique co-écrite avec l'association Argos 42. Contenu centralisé dans src/lib/ethicsCharter.ts (six clauses + un paragraphe déclaratif explicite sur l'absence de vérification des méthodes au quotidien, avec canal de signalement contact.animeaux@gmail.com) — non relu par un juriste, même réserve que sur /cgu et /confidentialite. Case à cocher obligatoire à l'inscription praticien (RegisterPage.tsx), badge sur la fiche publique (DoctorPage.tsx, doctors.ethics_charter_accepted_at non nul), page légale dédiée (/engagement, LegalPage.tsx). Migration 092 : colonne horodatée sur doctors (même mécanisme que terms_accepted_at, migration 049), posée par handle_new_user() à l'inscription. Les praticiens déjà inscrits avant cette fonctionnalité ne l'ont jamais tacitement acceptée : une bannière avec bouton d'acceptation (useAcceptEthicsCharter) leur est présentée sur DoctorDashboard.tsx tant qu'ils n'ont pas validé.</w:t>
      </w:r>
    </w:p>
    <w:p>
      <w:pPr>
        <w:spacing w:after="160" w:line="300"/>
      </w:pPr>
      <w:r>
        <w:t>Résolu le 19/09/2026 : l'expéditeur SMS alphanumérique OVH (« MonAnimeaux ») est enfin validé après plus d'un mois et demi et 5+ tentatives (voir section 9, mise à jour du 07/08/2026, pour l'historique des refus) — 100 crédits SMS disponibles sur le compte. Tous les envois SMS déjà codés depuis fin juillet (sendOvhSms dans send-reminders, send-appointment-confirmation, send-appointment-cancellation, send-appointment-reschedule) devraient désormais réellement partir en prod, alors qu'ils échouaient jusqu'ici silencieusement (aucune erreur visible dans l'appli, uniquement dans les Logs de chaque fonction Edge). À confirmer par un vrai envoi (une réservation, ou le prochain rappel 24h) plutôt que de supposer que ça fonctionne du seul fait que le code a toujours été correct.</w:t>
      </w:r>
    </w:p>
    <w:p>
      <w:pPr>
        <w:spacing w:after="160" w:line="300"/>
      </w:pPr>
      <w:r>
        <w:t>Résolu le 19/09/2026 : une réservation devenait impossible pour un patient (ou praticien) connecté depuis un fuseau horaire autre qu'Europe/Paris — reproduit en testant un vrai RDV depuis la Malaisie (UTC+8) en préparant le test SMS. Un créneau "11:30" choisi là-bas correspondait en réalité à 05:30 heure de Paris, hors des horaires du praticien : le serveur (trigger validate_patient_appointment_slot, migration 088, ancré sur Europe/Paris) rejetait la réservation, avec le message technique brut affiché tel quel au patient. Cause : toute la génération/comparaison de créneaux côté client (generateAvailableSlots, useAvailableSlots, hasAvailabilityInRange, findNextAvailableSlot, AvailabilityCalendar, BookPage.confirm) utilisait les méthodes natives de Date (getDay, getHours, setHours...), ancrées sur le fuseau LOCAL de l'appareil du visiteur — une limite déjà identifiée le 04/09/2026 et sciemment acceptée comme "risque quasi nul" (marché France), que ce test réel a prouvée fausse en pratique. Corrigé en ajoutant la dépendance date-fns-tz et un nouveau module testé (src/lib/parisTime.ts) ancrant tout ce calcul sur Europe/Paris, appliqué à tous les points concernés. Message d'erreur patient également amélioré (jamais le texte brut de la base de données) avec un bouton pour recharger des créneaux à jour.</w:t>
      </w:r>
    </w:p>
    <w:p>
      <w:pPr>
        <w:spacing w:after="160" w:line="300"/>
      </w:pPr>
      <w:r>
        <w:t>Résolu le 20/09/2026 : les SMS restaient en échec malgré l'expéditeur OVH "MonAnimeaux" validé la veille (100 crédits) — un premier test réel de réservation confirmait l'email mais pas le SMS, avec la même erreur historique "Sms sender does not exists. Please create it first" dans les logs. Cause : aucune des 4 fonctions utilisant sendOvhSms (send-appointment-confirmation, send-appointment-cancellation, send-appointment-reschedule, send-reminders) n'envoyait le champ sender dans le corps de la requête POST /sms/{serviceName}/jobs — OVH retombe alors sur un expéditeur par défaut jamais configuré côté compte plutôt que d'utiliser l'expéditeur alphanumérique validé, même s'il en existe un. Corrigé en ajoutant ce champ, lu depuis un nouveau secret OVH_SMS_SENDER (valeur "MonAnimeaux", même mécanisme que OVH_SMS_SERVICE_NAME) plutôt que codé en dur. Un second test de réservation confirme le SMS bien reçu — la chaîne complète confirmation de RDV (email + SMS + notification in-app) est désormais opérationnelle de bout en bout en production.</w:t>
      </w:r>
    </w:p>
    <w:p>
      <w:pPr>
        <w:spacing w:after="160" w:line="300"/>
      </w:pPr>
      <w:r>
        <w:t>Audit du 20/09/2026 : après le double bug réservation/SMS de la veille, deux vérifications ciblées demandées par l'utilisatrice (résidus de bug de fuseau horaire + appels à des services externes) ont trouvé et fait corriger : dans DoctorDashboard.tsx, la création de congé, le mini calendrier "Agenda" solo et le calendrier partagé "Mon cabinet" (grille horaire par membre) utilisaient tous des méthodes Date locales au lieu d'Europe/Paris — un praticien en voyage pouvait voir ses RDV sur le mauvais jour ou poser un congé décalé ; même bug dans doctorStats.ts (taux de remplissage), useData.ts (filtre "disponible aujourd'hui"), et RemindersPage.tsx (libellés "Aujourd'hui/Demain"). Nouveaux utilitaires testés dans src/lib/parisTime.ts : addDaysToDateKey, parisStartOfWeekKey, parisMinutesOfDay, parisCalendarDaysDiff. La navigation semaine (agenda solo + cabinet) est passée d'un objet Date muté via addDays à un simple décalage entier de semaines. Par ailleurs, send-appointment-confirmation était la seule des 4 fonctions OVH/Resend à n'avoir jamais reçu le garde-fou timeout+try/catch du 08/09 — corrigé, et l'URL du flux calendrier ICS (DoctorDashboard.tsx) codait en dur le domaine du projet Supabase au lieu de VITE_SUPABASE_URL — corrigé aussi. Trois points notés mais volontairement non modifiés (pas de bug confirmé, juste une fragilité à surveiller) : la clé VAPID (push notifications) est configurée séparément côté client (Vercel) et serveur (secret Supabase) sans rien qui vérifie qu'elles correspondent toujours ; les SMS OVH n'envoient pas de champ charset explicite (accents à re-vérifier sur un nom très accentué) ni noStopClause ; le repli Resend "onboarding@resend.dev" (sandbox) ne délivrerait plus à de vrais destinataires si EMAIL_FROM venait à manquer un jour.</w:t>
      </w:r>
    </w:p>
    <w:p>
      <w:pPr>
        <w:spacing w:after="160" w:line="300"/>
      </w:pPr>
      <w:r>
        <w:t>Correctif du 20/09/2026 (suite à l'audit de la veille) : l'audit du 20/09/2026 (voir entrée précédente) n'avait pas tout trouvé. Anaïs a testé l'application elle-même et repéré, via deux captures d'écran, qu'un même rendez-vous affichait 11:30 dans le calendrier partagé « Mon cabinet » (correct) mais 17:30 dans la carte « Rendez-vous » de l'agenda personnel — exactement l'écart entre la Malaisie et Paris. Cause : AppointmentCard.tsx, le composant carte de rendez-vous réutilisé dans toute l'application (dashboards patient/praticien/secrétariat/admin, rappels), utilisait encore l'heure locale de l'appareil au lieu de l'heure de Paris pour son affichage HH:mm — ni le correctif du 19/09 ni l'audit du 20/09 n'avaient détecté ce cas précis, l'audit ayant cherché les méthodes .getDay()/.getHours()/.getTime() sans repérer les simples formatages de date qui n'utilisent aucune d'elles. Un grep exhaustif de tout le code source a ensuite permis de corriger les mêmes résidus dans neuf autres fichiers (réservation, dashboards admin/praticien/secrétariat, page publique d'un praticien, messagerie, dossier de santé animal, export PDF du dossier, documents patient). Leçon retenue : pour ce type de bug, un grep manuel exhaustif du motif exact est plus fiable qu'un audit automatisé cherchant des symptômes indirects.</w:t>
      </w:r>
    </w:p>
    <w:p>
      <w:pPr>
        <w:spacing w:after="160" w:line="300"/>
      </w:pPr>
      <w:r>
        <w:t>Correctif du 20/09/2026 : Anaïs a signalé un débordement visuel sur la version mobile de l'application (écran qui « bouge », champs coupés ou superposés, pas toujours lisibles). Reproduit et confirmé en aperçu mobile sur la page de recherche (/search) : la ligne « Trier par » et son menu déroulant ne se réduisaient/enroulaient jamais sur petit écran, ce qui poussait toute la page 47 pixels plus large que l'écran du téléphone — sans barre de défilement visible, donc le contenu (bouton « Réserver », chevrons des cartes) était simplement coupé ou décalé au toucher, ce qui correspond exactement à la sensation d'un écran qui bouge. Corrigé sur SearchPage.tsx (mise en retour à la ligne du tri, largeur du menu contrainte sur mobile). Par précaution, quatre autres endroits du code partageant la même construction fragile (un bloc de texte extensible sans limite de rétrécissement, à côté d'un élément de taille fixe) ont aussi été corrigés dans AnimalHealthPage.tsx et DoctorDashboard.tsx, bien que non vérifiables visuellement sans connexion à un compte praticien.</w:t>
      </w:r>
    </w:p>
    <w:p>
      <w:pPr>
        <w:spacing w:after="160" w:line="300"/>
      </w:pPr>
      <w:r>
        <w:t>Correctifs du 20/09/2026 (analyse d'un enregistrement d'écran mobile envoyé par Anaïs) : un vrai crash de l'application a été identifié (page « Une erreur est survenue », capturée automatiquement par Sentry). Cause trouvée en relisant les migrations de base de données : le déclencheur qui recalcule la note moyenne d'un praticien après un avis (update_doctor_rating) ne gérait pas le cas où ce praticien n'a plus aucun avis — la moyenne devenait NULL au lieu de 0, et l'affichage de cette note (.toFixed) faisait planter toute l'application pour n'importe quel visiteur tombant sur ce praticien en recherche, pas seulement pour Anaïs. Corrigé par une nouvelle migration (093) qui répare le déclencheur et remet à 0 les notes déjà cassées en base, plus une protection côté affichage par précaution. Cette migration doit être vérifiée/appliquée manuellement dans Supabase (comme toujours, un fichier de migration dans le code ne prouve pas qu'il a été exécuté en production). Par ailleurs, deux écrans (« Mes animaux » et « Mes rendez-vous ») affichaient un faux message « aucune donnée » pendant une fraction de seconde au chargement avant d'afficher les vraies données — corrigé avec un indicateur de chargement clair à la place. Une photo d'animal qui ne charge pas affiche maintenant l'émoji de l'espèce plutôt qu'un espace vide.</w:t>
      </w:r>
    </w:p>
    <w:p>
      <w:pPr>
        <w:spacing w:after="160" w:line="300"/>
      </w:pPr>
      <w:r>
        <w:t>Ajouté le 20/09/2026 : le ton et le contenu des 6 emails/SMS transactionnels liés aux rendez-vous (confirmation, annulation, report côté patient, report côté praticien, rappel 24h, rappel de vaccin, demande d'avis) ont été revus avec Anaïs, validés via des aperçus visuels avant toute modification du code. Changements principaux : ton plus chaleureux et direct partout ; l'email d'annulation dit maintenant que le rendez-vous "a malheureusement été annulé" avec une phrase d'excuse, et propose un bouton pour reprendre un rendez-vous (qui n'existait pas avant) ; l'email de report côté patient précise désormais qu'il est possible d'annuler et reprendre un rendez-vous si le nouvel horaire ne convient pas ; le rappel de vaccin et la demande d'avis ont chacun désormais un bouton d'action direct (prendre RDV / laisser un avis) qui manquait jusque-là. Les 4 fonctions Edge concernées (send-appointment-confirmation, send-appointment-cancellation, send-appointment-reschedule, send-reminders) doivent être redéployées manuellement dans le tableau de bord Supabase, comme pour tout changement de fonction Edge.</w:t>
      </w:r>
    </w:p>
    <w:p>
      <w:pPr>
        <w:spacing w:after="160" w:line="300"/>
      </w:pPr>
      <w:r>
        <w:t>Ajouté/corrigé le 21/09/2026 : à la demande d'Anaïs, vérification complète par relecture de code du parcours d'inscription et de validation d'un praticien (charte, dépôt de documents, visibilité publique). Deux manques réels trouvés et corrigés : (1) aucune notification n'arrivait à l'administratrice quand un praticien déposait un document justificatif — ajouté un système qui la notifie désormais automatiquement, avec un lien direct vers les dossiers en attente ; (2) la fiche publique d'un praticien restait en réalité accessible (par lien direct, ou via l'API) même avant sa validation par l'administratrice — la recherche le cachait bien, mais ce n'était qu'une apparence côté affichage, pas une vraie restriction. Corrigé au niveau de la base de données : seul un praticien validé est désormais réellement consultable publiquement, avec les exceptions nécessaires (le praticien lui-même, l'administratrice, un patient ayant déjà un rendez-vous avec lui, ses collègues de cabinet).</w:t>
      </w:r>
    </w:p>
    <w:p>
      <w:pPr>
        <w:spacing w:after="160" w:line="300"/>
      </w:pPr>
      <w:r>
        <w:t>Changement du 21/09/2026 : jusqu'ici, un praticien pouvait utiliser librement tout son espace (patients, agenda, tarifs...) dès son inscription, seule sa fiche publique restait invisible en recherche tant qu'elle n'était pas validée. Anaïs a jugé ce fonctionnement insuffisant : n'importe qui pouvait s'inscrire et se servir de l'application sans jamais prouver son identité ou sa formation. Désormais, dès sa toute première connexion, le praticien tombe directement sur un écran obligatoire de dépôt de document (diplôme, carte professionnelle, extrait Kbis...) à la place de son espace habituel, et ne peut y accéder qu'une fois son dossier validé par une administratrice. Ajouté au passage l'extrait Kbis, qui manquait à la liste des types de documents proposés.</w:t>
      </w:r>
    </w:p>
    <w:p>
      <w:pPr>
        <w:spacing w:after="160" w:line="300"/>
      </w:pPr>
      <w:r>
        <w:t>Résolu le 22/09/2026 : notifications push jamais fonctionnelles depuis leur mise en place, malgré plusieurs activations. Deux causes cumulées, diagnostiquées via le corps réel des réponses HTTP (net._http_response) : (1) le trigger d'envoi utilisait une clé service_role copiée à la main dans Vault, dont le format ne correspondait plus à celui que la plateforme injecte dans les fonctions Edge — remplacée par un secret dédié que l'on contrôle (migration 099 : push_trigger_secret dans Vault + PUSH_TRIGGER_SECRET sur la fonction) ; (2) l'option « Verify JWT » de send-push rejetait la requête avant qu'elle atteigne le code, un secret personnalisé n'étant pas un JWT — et redéployer une fonction depuis le tableau de bord réactive cette option. La clé publique VAPID manquait aussi dans les variables Vercel, ce qui faisait échouer silencieusement tout nouvel abonnement. Le panneau de notifications, écrasé ou débordant sur mobile, a été corrigé le même jour et toutes les notifications sont désormais cliquables avec la bonne destination selon le rôle.</w:t>
      </w:r>
    </w:p>
    <w:p>
      <w:pPr>
        <w:spacing w:after="160" w:line="300"/>
      </w:pPr>
      <w:r>
        <w:t>Ajouté le 22–23/09/2026 : fiabilisation du déploiement. supabase/config.toml déclare verify_jwt = false pour les 10 fonctions Edge (réglage qui se réinitialisait silencieusement à chaque redéploiement manuel) ; le workflow GitHub Actions deploy-functions.yml exécute d'abord les tests puis déploie les fonctions Edge à chaque push sur main touchant supabase/functions/** ou config.toml (secret SUPABASE_ACCESS_TOKEN configuré) ; le script build inclut vitest run, donc un déploiement Vercel dont les tests échouent n'est plus mis en ligne ; VITE_SENTRY_DSN et VITE_VAPID_PUBLIC_KEY sont configurées en production (Sentry était codé mais jamais actif faute de DSN). npm ci s'est révélé trop fragile ici (dépendances optionnelles multi-plateformes) et est remplacé par npm install ; Node est fixé à 24 (Node 20 fait échouer jsdom/undici). Les migrations SQL restent volontairement appliquées à la main.</w:t>
      </w:r>
    </w:p>
    <w:p>
      <w:pPr>
        <w:spacing w:after="160" w:line="300"/>
      </w:pPr>
      <w:r>
        <w:t>Résolu le 22/09/2026 : chargement infini de l'espace praticien, causé par des récursions infinies de policies RLS sur doctors (migration 094, puis correctifs 096 et 097), diagnostiquées dans les Postgres Logs. Deux boucles : une clause « collègues de cabinet se voient » relisait doctors depuis la policy de doctors elle-même (retirée), et une clause « le patient a un rendez-vous avec ce praticien » relisait appointments dont la policy relit doctors (lecture isolée dans la fonction security definer has_appointment_with_doctor). Règle retenue : une policy ne doit jamais relire sa propre table, même indirectement via une autre table. Un audit du 23/09 a aussi corrigé le bouton « Voir les disponibilités » visible par tout rôle sur la fiche praticien, et ajouté le garde-fou de secret RESEND_API_KEY manquant dans 6 fonctions d'email.</w:t>
      </w:r>
    </w:p>
    <w:p>
      <w:pPr>
        <w:spacing w:after="160" w:line="300"/>
      </w:pPr>
      <w:r>
        <w:t>Résolu le 23/09/2026 : lenteur signalée sur mobile. Audit du build de production : (1) recharts (353 Ko) était chargé à chaque ouverture de la fiche santé d'un animal — désormais un composant chargé à la demande (WeightChart, React.lazy) ; (2) aucune des images de contenu n'avait loading="lazy" — ajouté sur les 22 images réseau (avatars, logos de cabinet, photos d'animaux, miniatures) ; (3) leaflet.css était chargé depuis un CDN, en bloquant le rendu, sur toutes les pages alors que seule la fiche praticien affiche une carte — importé localement dans LocationMap, chargé à la demande (le chunk de la fiche praticien passe de 49 Ko à 3,7 Ko). Corrigés aussi : plusieurs débordements horizontaux mobile (truncate sans min-w-0 dans un flex, badge Engagement) et un filet de sécurité global contre le défilement horizontal.</w:t>
      </w:r>
    </w:p>
    <w:p>
      <w:pPr>
        <w:spacing w:after="160" w:line="300"/>
      </w:pPr>
      <w:r>
        <w:t>Résolu le 23/09/2026 : nettoyage de quatre comptes de test créés pendant les sessions de développement (suppression via un script vérifiant d'abord les règles ON DELETE des clés étrangères — seules appointments.doctor_id/patient_id sont en RESTRICT et clinic_staff.invited_by en NO ACTION). Ce nettoyage a révélé que delete_my_account() (suppression de compte en libre-service) référençait encore l'ancienne table vaccines, renommée care_items le même soir : la suppression de compte était donc cassée pour tous les utilisateurs. Corrigé en migration 103 ; leçon retenue : après tout renommage de table, chercher l'ancien nom dans TOUTES les migrations et fonctions, pas seulement dans les fichiers de policies modifiés.</w:t>
      </w:r>
    </w:p>
    <w:p>
      <w:pPr>
        <w:spacing w:after="160" w:line="300"/>
      </w:pPr>
      <w:r>
        <w:t>Ajouté le 25/09/2026 : visite guidée de première connexion (section 6.16), affichée une seule fois par compte grâce à profiles.onboarding_completed_at (migration 110, appliquée d'office à tous les comptes existants). Le composant se lance seulement si le profil contient explicitement null (une valeur absente, cas d'un profil mis en cache avant la migration, n'affiche rien). Le compte administrateur ne la voit jamais : pour la tester il faut un compte propriétaire ou praticien non admin, neuf ou remis à null. Le parcours praticien couvre aussi Tarifs, Avis, Statistiques et Mon cabinet (ce dernier seulement en cabinet). Le nombre de tests est passé à 486.</w:t>
      </w:r>
    </w:p>
    <w:p>
      <w:pPr>
        <w:spacing w:after="160" w:line="300"/>
      </w:pPr>
      <w:r>
        <w:t>Résolu le 25/09/2026 : lors du test d'inscription d'un compte praticien, l'email de confirmation d'adresse (email Auth de Supabase, envoyé via le SMTP Resend) arrivait dans les spams avec un sujet bilingue (« Confirm your email address (Confirmez votre adresse e-mail) ») et un « bouton » qui n'était que du texte, sans lien cliquable — le modèle réellement configuré dans le tableau de bord Supabase n'était pas celui versionné dans supabase/email-templates/confirm-signup.html. Le modèle a été refait (français, logo et couleurs des autres emails transactionnels, vrai bouton, lien brut répété en clair sous le bouton pour les clients mail ou traductions automatiques qui neutralisent les boutons) et collé dans Authentication, Emails, Templates, Confirm signup ; l'essai avec une adresse alias a confirmé le bon fonctionnement. Point d'attention : ce modèle vit dans le tableau de bord, pas dans le déploiement — le fichier du dépôt n'en est que la référence à recoller après tout changement.</w:t>
      </w:r>
    </w:p>
    <w:p>
      <w:pPr>
        <w:spacing w:after="160" w:line="300"/>
      </w:pPr>
      <w:r>
        <w:t>Nettoyage du 25/09/2026 : suppression des variables et imports inutilisés signalés par tsc --noEmit --noUnusedLocals --noUnusedParameters (10 occurrences dans Navbar, useData, AnimalHealthPage, BookPage, DoctorDashboard, MessagesPage, RegisterPage, sans effet sur le comportement) et retrait du suivi git des fichiers .DS_Store, déjà exclus par .gitignore. La commande npm run lint, qui échouait depuis toujours car eslint n'a jamais été installé en dépendance, exécute désormais cette vérification TypeScript (aucune nouvelle dépendance). Le statut d'un partage de dossier est maintenant visible du praticien qui l'a envoyé : sur la fiche de santé de l'animal, chaque envoi affiche le confrère destinataire et une pastille (en attente de l'accord du propriétaire, accepté, refusé, accès révoqué), via useSentReferralsForAnimal et les fonctions referralSenderStatusLabel / referralBadgeClass (src/lib/animalReferrals.ts, testées). Nombre de tests : 486.</w:t>
      </w:r>
    </w:p>
    <w:p>
      <w:pPr>
        <w:spacing w:after="160" w:line="300"/>
      </w:pPr>
      <w:r>
        <w:t>Migration 111 (02/10/2026) : la seule donnée des nouvelles statistiques praticien (section 7.8) qui n'était pas déjà accessible — le nombre de patients en liste d'attente chez lui. waitlist_entries (migration 065) n'avait jusque-là qu'une policy réservée au patient lui-même. Plutôt qu'une policy SELECT qui exposerait l'identité de chaque patient en attente, une RPC security definer get_my_waitlist_count() ne renvoie qu'un compte agrégé pour le praticien connecté.</w:t>
      </w:r>
    </w:p>
    <w:p>
      <w:pPr>
        <w:spacing w:after="160" w:line="300"/>
      </w:pPr>
      <w:r>
        <w:t>Essayée puis retirée le 05/10/2026 : une double authentification par application (TOTP, Supabase MFA) avait été développée pour les praticiens et administrateurs (commit f07e56e), jugée trop complexe par Anaïs — retirée entièrement (commit de revert), aucune migration concernée. Si elle revient un jour : le contrôle n'était que côté application (les policies RLS n'exigeaient pas le niveau aal2) ; en cas de perte du téléphone, un admin supprimait le facteur en base (delete from auth.mfa_factors where user_id = ...). Un compte qui avait activé un facteur pendant les essais se connecte désormais avec son seul mot de passe ; ses facteurs inutilisés peuvent être purgés en base.</w:t>
      </w:r>
    </w:p>
    <w:p>
      <w:pPr>
        <w:spacing w:after="160" w:line="300"/>
      </w:pPr>
      <w:r>
        <w:t>Ajouté le 05/10/2026 : bandeau « Une nouvelle version d'Animéaux est disponible » (bouton Recharger), composant src/components/ui/UpdateBanner.tsx monté dans App.tsx. Cause : le service worker (skipWaiting + clientsClaim) prend la main dès qu'une version est téléchargée, mais la page ouverte garde l'ancien code jusqu'au rechargement — l'application installée restait sur une vieille version (repéré lors des tests : fonctionnalités récentes invisibles). Le bandeau s'affiche sur l'événement controllerchange, seulement si la page avait déjà un service worker (pas à la toute première installation), et une vérification de mise à jour est relancée au retour sur l'application. Tests : 536.</w:t>
      </w:r>
    </w:p>
    <w:p>
      <w:pPr>
        <w:spacing w:after="160" w:line="300"/>
      </w:pPr>
      <w:r>
        <w:t>Ajouté le 05/10/2026 — carte dans la recherche : un sélecteur Liste / Carte (paramètre d'URL ?view=map) sur /search affiche les praticiens (pin orange) et les cabinets (pin vert) ayant des coordonnées, avec une fenêtre (nom, métiers, ville, lien « Voir la fiche ») et un recadrage automatique sur les résultats. Les résultats sans coordonnées (adresse pas encore géocodée) sont comptés et signalés sous la carte plutôt que perdus. Leaflet est chargé à la demande (composant SearchResultsMap en lazy, comme la carte de la fiche praticien) ; logique pure dans src/lib/searchMap.ts (testée).</w:t>
      </w:r>
    </w:p>
    <w:p>
      <w:pPr>
        <w:spacing w:after="160" w:line="300"/>
      </w:pPr>
      <w:r>
        <w:t>Ajouté le 05/10/2026 — partages de dossier : le propriétaire voit désormais aussi les partages refusés ou révoqués (section « Partages terminés » de la fiche de santé), qui disparaissaient sans trace. Retrait d'un compte secrétariat (migration 115, RPC remove_clinic_secretary, réservée au créateur) : bouton « Retirer » dans la section Secrétariat de l'onglet Mon cabinet ; le compte est supprimé s'il n'appartient à aucun autre cabinet, sinon seul son lien avec ce cabinet est retiré. Textes de la visite guidée mis à jour (Statistiques : export comptable ; Cabinet : secrétariat). Tests : 544.</w:t>
      </w:r>
    </w:p>
    <w:p>
      <w:pPr>
        <w:spacing w:after="160" w:line="300"/>
      </w:pPr>
      <w:r>
        <w:t>Audit de sécurité et de cohérence du 05/10/2026 (code, migrations, Edge Functions, site en production). Trouvé et corrigé : (1) les buckets de stockage « avatars » et « documents » autorisaient n'importe quel visiteur muni de la clé publique du site à LISTER tous les fichiers (13 documents et 11 avatars énumérés en direct) — énumération fermée (migration 117, lecture limitée à ses propres fichiers ; les URLs publiques existantes continuent de fonctionner) ; (2) la messagerie n'imposait aucune relation côté base : tout utilisateur connecté pouvait écrire à tout autre, la restriction « uniquement les praticiens avec un rendez-vous » n'existant que dans l'écran — policy restrictive et fonction can_message (migration 118) ; (3) export_my_data() (droit à la portabilité) lisait encore la table vaccines renommée care_items le 23/09 : l'export échouait pour tous depuis cette date — réécrit et complété (migration 119 : suivis, partages de dossier, favoris, liste d'attente, prestations, cabinet créé) ; (4) en-têtes de sécurité HTTP absents du site (clickjacking, sniffing de type, referrer) — ajoutés dans vercel.json (X-Frame-Options, X-Content-Type-Options, Referrer-Policy, Permissions-Policy). Vérifié sans anomalie : toutes les tables ont RLS, aucune fonction security definer sans search_path (les deux signalées l'avaient reçu en migration 053), les 19 fonctions admin_* contrôlent is_admin(), le jeton du flux calendrier est régénérable, invite-clinic-secretary vérifie que l'appelant est le créateur du cabinet, l'élévation de privilèges (is_verified, note, statut de vérification) est verrouillée par triggers, aucune clé dans le dépôt, bio praticien assainie avant affichage. Points ouverts, à décider : les documents restent lisibles par quiconque possède leur URL (bucket public — les rendre privés impose des URLs signées partout) ; à vérifier côté tableau de bord Supabase : protection CAPTCHA activée dans Authentication, liste des URLs de redirection autorisées, durée de vie des sessions ; pas de Content-Security-Policy (risque de casser Turnstile, cartes, Sentry sans test dédié). Complément — emails d'annulation, de report et de liste d'attente : le contrôle a confirmé que la clé 'service_role_key' du coffre Vault fait 219 caractères (ancien format) alors que la valeur injectée dans les fonctions Edge en fait 41 : les trois fonctions send-appointment-cancellation, send-appointment-reschedule et send-waitlist-email répondaient 401 à leurs déclencheurs SQL, donc ces emails/SMS n'étaient probablement jamais envoyés (échec silencieux, même cause que le push avant le 22/09). Corrigé : les fonctions acceptent désormais le secret dédié PUSH_TRIGGER_SECRET (ou la clé service_role) et les trois déclencheurs lisent 'push_trigger_secret' dans Vault (migration 120).</w:t>
      </w:r>
    </w:p>
    <w:p>
      <w:pPr>
        <w:spacing w:after="160" w:line="300"/>
      </w:pPr>
      <w:r>
        <w:t>Ajouté le 05/10/2026 (migration 121) — notifications du praticien : jusqu'ici il n'était jamais prévenu d'une nouvelle réservation ni de l'annulation d'un rendez-vous par le patient (seul le report par le patient le notifiait) et découvrait ces changements en ouvrant son agenda. Deux nouveaux types de notification, appointment_booked et appointment_cancelled_by_patient, créés par des triggers SQL (jamais côté client) : notification dans l'application et push navigateur (le push part pour toute ligne de notifications), volontairement SANS email ni SMS (décision d'Anaïs : trop lourd) — les triggers d'email/SMS ne ciblent que d'autres types. Un clic mène à l'onglet RDV du praticien. Corrigé au passage : les textes des notifications existantes de rendez-vous (annulé/reporté par le praticien, reporté par le patient) affichaient l'heure UTC au lieu de l'heure de Paris. Rappel : une annulation faite par le patient ne notifiait pas le praticien — le test de réparation des emails (migration 120) doit se faire en faisant annuler le rendez-vous par le PRATICIEN, le patient devant alors recevoir notification et email.</w:t>
      </w:r>
    </w:p>
    <w:p>
      <w:pPr>
        <w:spacing w:after="160" w:line="300"/>
      </w:pPr>
      <w:r>
        <w:t>Préparation à la publication — 05/10/2026. (1) Documents (ordonnances, comptes rendus) : lecture par liens signés d'1 h (hook useSignedDocumentUrls, src/lib/storageUrls.ts) au lieu d'URLs publiques ; migration 122 (policy de lecture : déposant, ou toute personne qui peut voir la ligne animal_documents / appointment_documents correspondante, donc règles du lien de soin incluses) puis migration 123 (bucket « documents » passé en privé, à lancer seulement après vérification ; retour arrière : update storage.buckets set public = true where id = 'documents'). Repli : tant que le lien signé n'est pas prêt, l'URL d'origine est utilisée, ce qui garde l'affichage fonctionnel pendant la transition. (2) Pages légales : ajout des Mentions légales (/mentions-legales, éditeur, directrice de publication, hébergeurs, lien dans le pied de page et le sitemap) ; politique de confidentialité corrigée pour refléter la réalité — sous-traitants complétés (OVH SMS, Cloudflare Turnstile, Sentry, CARTO/OpenStreetMap, API Adresse), règle d'accès aux dossiers (rendez-vous maintenu de moins d'un an), cookies et traceurs ; date de mise à jour 05/10/2026. Le bandeau « en attente de relecture par un professionnel du droit » est conservé : à retirer après relecture. (3) Vie privée : suppression du chargement de Google Fonts dans index.html (la police Inter n'était plus utilisée, et chaque visiteur envoyait son adresse IP à Google alors que les autres polices sont auto-hébergées). (4) Partage et référencement : balises Open Graph et Twitter, lien canonique, image de partage 1200×630 (public/og-image.png), robots.txt excluant les espaces connectés. Avant ouverture publique, hors code : passer Supabase et Vercel en offre payante (le plan gratuit de Supabase met le projet en pause après une semaine d'inactivité et n'offre pas de sauvegardes ; l'offre gratuite de Vercel exclut l'usage commercial), purger les comptes de test, activer la protection CAPTCHA et vérifier les URLs de redirection dans Supabase Auth, faire relire les pages légales.</w:t>
      </w:r>
    </w:p>
    <w:p>
      <w:pPr>
        <w:spacing w:after="160" w:line="300"/>
      </w:pPr>
      <w:r>
        <w:t>Ajouté le 06/10/2026 — fichiers de stockage : constat que supprimer un document, une photo ou un compte ne supprimait que la ligne en base, jamais le fichier réel (24 fichiers orphelins accumulés pendant les tests, dont des justificatifs d'identité de praticiens supprimés — enjeu RGPD). Corrigé à trois niveaux : (1) l'application supprime désormais le fichier avec sa ligne (document supprimé, animal supprimé avec sa photo et ses documents, photo de profil/animal/logo de cabinet remplacée) via removeStoredFiles (src/lib/storageCleanup.ts, « au mieux » : n'échoue jamais), avec la migration 124 qui ajoute la policy DELETE manquante sur le bucket avatars ; (2) l'Edge Function purge-orphan-files supprime chaque dimanche les fichiers que plus rien ne référence, avec garde-fous (jamais un fichier de moins de 24 h car un document de réservation est téléversé avant sa ligne en base, arrêt si plus de la moitié d'un dossier semble orphelin, 200 suppressions maximum, mode simulation ?dry_run=1), planifiée par la migration 125 (secret relu dans Vault, rien en clair) ; (3) les 24 orphelins existants ont été supprimés à la main via l'API Storage. Un delete SQL sur storage.objects ne supprime pas le fichier réel : toujours passer par l'API. Documents de lancement : LANCEMENT.md (abonnements, réglages Supabase Auth, surveillance, juridique, données de test, scénario de test complet).</w:t>
      </w:r>
    </w:p>
    <w:p>
      <w:pPr>
        <w:spacing w:after="160" w:line="300"/>
      </w:pPr>
      <w:r>
        <w:t>Ajouté le 07/10/2026 — renvoi de l'email de confirmation : un compte non confirmé qui tente de se connecter voit désormais un bouton « Renvoyer l'email de confirmation » (LoginPage), qui appelle supabase.auth.resend avec un jeton Turnstile frais (la protection CAPTCHA de Supabase Auth, activée, s'applique aussi à resend ; jeton à usage unique donc le widget est réinitialisé après chaque tentative) ; messages dédiés pour captcha expiré et limite de débit ; l'écran de succès d'inscription indique la marche à suivre. Raison : un lien de confirmation expire et l'application n'offrait aucun moyen d'en redemander un, l'utilisateur restait bloqué — ce qui avait conduit à porter la durée de validité des liens à 24 h (alerte « OTP expiry exceeds recommended threshold » dans Supabase), à ramener à 1 h une fois ce bouton en production. Classement des erreurs d'authentification extrait dans src/lib/authErrors.ts (testé) ; premier test de page pour LoginPage. Réglages Supabase Auth relevés ce jour : CAPTCHA Turnstile activé, Site URL corrigée vers https://monanimeaux.fr (elle pointait vers l'ancien domaine vercel.app, vers lequel renvoyaient les liens de confirmation), seule redirection autorisée https://monanimeaux.fr/**, mot de passe minimum 8, changement de mot de passe sécurisé activé, confirmation d'email activée ; l'invitation secrétariat renvoie aussi vers le bon domaine.</w:t>
      </w:r>
    </w:p>
    <w:p>
      <w:pPr>
        <w:spacing w:after="160" w:line="300"/>
      </w:pPr>
      <w:r>
        <w:t>Ajouté le 07/10/2026 — rechargement automatique après une mise en ligne : Sentry (premier relevé réel) montrait des erreurs « Failed to fetch dynamically imported module » et « 'text/html' is not a valid JavaScript MIME type » — un utilisateur qui avait ouvert l'application avant une mise en ligne cherche un fichier à empreinte (ex. DoctorDashboard-xxxx.js) qui n'existe plus et reçoit la page d'accueil à la place. src/lib/chunkReload.ts écoute l'événement vite:preloadError et recharge la page UNE fois (garde-fou d'une minute stocké en sessionStorage contre une boucle), installé dans main.tsx ; testé. Autre erreur relevée, à surveiller : TurnstileError 600010 (widget de captcha, 6 occurrences en 2 mois, 0 utilisateur identifié), typiquement un navigateur qui bloque le script Cloudflare.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Animéaux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820F" w:sz="8"/>
      </w:pBdr>
      <w:spacing w:after="200" w:before="400"/>
    </w:pPr>
    <w:rPr>
      <w:rFonts w:ascii="Calibri" w:cs="Calibri" w:eastAsia="Calibri" w:hAnsi="Calibri"/>
      <w:b/>
      <w:bCs/>
      <w:color w:val="5A3A22"/>
      <w:sz w:val="32"/>
      <w:szCs w:val="32"/>
    </w:rPr>
  </w:style>
  <w:style w:type="paragraph" w:styleId="Heading2">
    <w:name w:val="Heading 2"/>
    <w:basedOn w:val="Normal"/>
    <w:next w:val="Normal"/>
    <w:qFormat/>
    <w:pPr>
      <w:spacing w:after="150" w:before="300"/>
    </w:pPr>
    <w:rPr>
      <w:rFonts w:ascii="Calibri" w:cs="Calibri" w:eastAsia="Calibri" w:hAnsi="Calibri"/>
      <w:b/>
      <w:bCs/>
      <w:color w:val="F2820F"/>
      <w:sz w:val="26"/>
      <w:szCs w:val="26"/>
    </w:rPr>
  </w:style>
  <w:style w:type="paragraph" w:styleId="Heading3">
    <w:name w:val="Heading 3"/>
    <w:basedOn w:val="Normal"/>
    <w:next w:val="Normal"/>
    <w:qFormat/>
    <w:pPr>
      <w:spacing w:after="100" w:before="200"/>
    </w:pPr>
    <w:rPr>
      <w:rFonts w:ascii="Calibri" w:cs="Calibri" w:eastAsia="Calibri" w:hAnsi="Calibri"/>
      <w:b/>
      <w:bCs/>
      <w:color w:val="6B5B3D"/>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2026-07-13T16:14:28.618Z</dcterms:created>
  <dcterms:modified xsi:type="dcterms:W3CDTF">2026-07-13T16:14:28.618Z</dcterms:modified>
</cp:coreProperties>
</file>

<file path=docProps/custom.xml><?xml version="1.0" encoding="utf-8"?>
<Properties xmlns="http://schemas.openxmlformats.org/officeDocument/2006/custom-properties" xmlns:vt="http://schemas.openxmlformats.org/officeDocument/2006/docPropsVTypes"/>
</file>