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F2820F"/>
          <w:sz w:val="72"/>
          <w:szCs w:val="72"/>
        </w:rPr>
        <w:t xml:space="preserve">ANIMÉAUX</w:t>
      </w:r>
    </w:p>
    <w:p>
      <w:pPr>
        <w:spacing w:after="100" w:before="200"/>
        <w:jc w:val="center"/>
      </w:pPr>
      <w:r>
        <w:rPr>
          <w:color w:val="5A3A22"/>
          <w:sz w:val="32"/>
          <w:szCs w:val="32"/>
        </w:rPr>
        <w:t xml:space="preserve">Cahier des charges fonctionnel et technique</w:t>
      </w:r>
    </w:p>
    <w:p>
      <w:pPr>
        <w:spacing w:after="800"/>
        <w:jc w:val="center"/>
      </w:pPr>
      <w:r>
        <w:rPr>
          <w:i/>
          <w:iCs/>
          <w:color w:val="444444"/>
          <w:sz w:val="24"/>
          <w:szCs w:val="24"/>
        </w:rPr>
        <w:t xml:space="preserve">Plateforme de prise de rendez-vous entre propriétaires d'animaux et praticiens du secteur animalier</w:t>
      </w:r>
    </w:p>
    <w:p>
      <w:pPr>
        <w:spacing w:before="2000"/>
        <w:jc w:val="center"/>
      </w:pPr>
      <w:r>
        <w:rPr>
          <w:sz w:val="22"/>
          <w:szCs w:val="22"/>
        </w:rPr>
        <w:t>Version 1.36 — document mis à jour avec les évolutions de juillet 2026 (vérification des praticiens par documents, correctif critique inscriptions, espace secrétariat en compte dédié, statut administrateur découplé du rôle, tableau de bord admin complet, domaine d'envoi Resend vérifié, carte Leaflet sur la fiche praticien avec géocodage des cabinets, domaine monanimeaux.fr connecté au site et indexé par Google, modération avancée admin, rappels de RDV par SMS, liste d'attente, rappels de vaccin proactifs, statistiques praticien, 317 tests unitaires, code-splitting par route, PWA installable, référencement de base (sitemap, robots.txt, favicon multi-format) et découpage vendor du bundle)</w:t>
      </w:r>
    </w:p>
    <w:p>
      <w:pPr>
        <w:spacing w:before="100"/>
        <w:jc w:val="center"/>
      </w:pPr>
      <w:r>
        <w:rPr>
          <w:sz w:val="22"/>
          <w:szCs w:val="22"/>
        </w:rPr>
        <w:t xml:space="preserve">Juillet 2026</w:t>
      </w:r>
    </w:p>
    <w:p>
      <w:pPr>
        <w:spacing w:before="100"/>
        <w:jc w:val="center"/>
      </w:pPr>
      <w:r>
        <w:rPr>
          <w:color w:val="444444"/>
          <w:sz w:val="20"/>
          <w:szCs w:val="20"/>
        </w:rPr>
        <w:t xml:space="preserve">Document destiné à un développeur pour la reprise ou l'évolution du produit</w:t>
      </w:r>
    </w:p>
    <w:p>
      <w:r>
        <w:br w:type="page"/>
      </w:r>
    </w:p>
    <w:p>
      <w:pPr>
        <w:pStyle w:val="Heading1"/>
        <w:spacing w:after="200" w:before="400"/>
      </w:pPr>
      <w:r>
        <w:t xml:space="preserve">Sommaire</w:t>
      </w:r>
    </w:p>
    <w:p>
      <w:pPr>
        <w:pBdr>
          <w:left w:val="single" w:color="F2820F" w:sz="18"/>
        </w:pBdr>
        <w:shd w:fill="FFF6E6" w:val="clear"/>
        <w:spacing w:after="200" w:before="100"/>
        <w:ind w:left="200"/>
      </w:pPr>
      <w:r>
        <w:rPr>
          <w:i/>
          <w:iCs/>
          <w:color w:val="6B5B3D"/>
          <w:sz w:val="20"/>
          <w:szCs w:val="20"/>
        </w:rPr>
        <w:t xml:space="preserve">Sommaire généré automatiquement à partir des titres du document. S'il apparaît vide à l'ouverture, faire un clic droit dessus puis « Mettre à jour les champs » (ou sélectionner tout le document avec Ctrl+A puis appuyer sur F9).</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1. Introduction et objectifs du document</w:t>
      </w:r>
    </w:p>
    <w:p>
      <w:pPr>
        <w:spacing w:after="160" w:line="300"/>
      </w:pPr>
      <w:r>
        <w:t xml:space="preserve">Ce document décrit, de façon exhaustive, l'état actuel de l'application Animéaux : ses fonctionnalités, son modèle de données, son architecture technique et ses règles métier. Il a pour vocation de permettre à un développeur — qu'il rejoigne le projet ou qu'il en reprenne la maintenance — de comprendre et de retrouver l'intégralité du fonctionnement de l'application sans avoir besoin d'échanger avec l'équipe actuelle.</w:t>
      </w:r>
    </w:p>
    <w:p>
      <w:pPr>
        <w:spacing w:after="160" w:line="300"/>
      </w:pPr>
      <w:r>
        <w:t xml:space="preserve">Le périmètre couvert est volontairement limité à l'existant : ce document ne contient aucune fonctionnalité prévue mais non développée, aucune roadmap. Tout ce qui est décrit ici est en production et fonctionnel au moment de la rédaction.</w:t>
      </w:r>
    </w:p>
    <w:p>
      <w:pPr>
        <w:pStyle w:val="Heading2"/>
        <w:spacing w:after="150" w:before="300"/>
      </w:pPr>
      <w:r>
        <w:t xml:space="preserve">1.1 Présentation du produit</w:t>
      </w:r>
    </w:p>
    <w:p>
      <w:pPr>
        <w:spacing w:after="160" w:line="300"/>
      </w:pPr>
      <w:r>
        <w:t xml:space="preserve">Animéaux est une plateforme de mise en relation entre propriétaires d'animaux et praticiens du secteur animalier (vétérinaires, ostéopathes, toiletteurs, éducateurs canins, etc.), sur le modèle d'un Doctolib spécialisé dans le monde animal. Elle permet à un propriétaire de rechercher un praticien par métier et localisation, de consulter son profil et ses avis, de réserver un créneau en ligne et de suivre le dossier de santé de ses animaux. Côté praticien, elle offre un espace de gestion complet : agenda, tarifs, dossiers patients, messagerie et — pour les structures à plusieurs praticiens — un mode « cabinet » avec agenda et patientèle partagés.</w:t>
      </w:r>
    </w:p>
    <w:p>
      <w:pPr>
        <w:pStyle w:val="Heading2"/>
        <w:spacing w:after="150" w:before="300"/>
      </w:pPr>
      <w:r>
        <w:t xml:space="preserve">1.2 Nom technique du projet</w:t>
      </w:r>
    </w:p>
    <w:p>
      <w:pPr>
        <w:spacing w:after="160" w:line="300"/>
      </w:pPr>
      <w:r>
        <w:t xml:space="preserve">Le nom de package interne (package.json) est « pawcare », nom de travail antérieur au nom commercial « Animéaux » retenu pour le produit fini. Cette incohérence est purement cosmétique et sans impact fonctionnel.</w:t>
      </w:r>
    </w:p>
    <w:p>
      <w:pPr>
        <w:pStyle w:val="Heading1"/>
        <w:spacing w:after="200" w:before="400"/>
      </w:pPr>
      <w:r>
        <w:t xml:space="preserve">2. Personas et rôles utilisateurs</w:t>
      </w:r>
    </w:p>
    <w:p>
      <w:pPr>
        <w:spacing w:after="160" w:line="300"/>
      </w:pPr>
      <w:r>
        <w:t xml:space="preserve">L'application distingue trois rôles, stockés dans la colonne role de la table users (type énuméré user_role) et déterminant à la fois les routes accessibles et le comportement de l'interface.</w:t>
      </w:r>
    </w:p>
    <w:p>
      <w:pPr>
        <w:pStyle w:val="Heading2"/>
        <w:spacing w:after="150" w:before="300"/>
      </w:pPr>
      <w:r>
        <w:t xml:space="preserve">2.1 Patient (propriétaire d'animal)</w:t>
      </w:r>
    </w:p>
    <w:p>
      <w:pPr>
        <w:spacing w:after="160" w:line="300"/>
      </w:pPr>
      <w:r>
        <w:t xml:space="preserve">Le patient est le propriétaire d'un ou plusieurs animaux. Il peut rechercher des praticiens, réserver des rendez-vous, gérer le dossier de santé de ses animaux (vaccins, poids, historique de soins, documents), échanger par messagerie avec les praticiens qu'il a consultés, et laisser des avis.</w:t>
      </w:r>
    </w:p>
    <w:p>
      <w:pPr>
        <w:pStyle w:val="Heading2"/>
        <w:spacing w:after="150" w:before="300"/>
      </w:pPr>
      <w:r>
        <w:t xml:space="preserve">2.2 Praticien (doctor)</w:t>
      </w:r>
    </w:p>
    <w:p>
      <w:pPr>
        <w:spacing w:after="160" w:line="300"/>
      </w:pPr>
      <w:r>
        <w:t xml:space="preserve">Le praticien exerce l'un des métiers animaliers listés dans l'application (vétérinaire, ostéopathe, toiletteur, éducateur canin, etc. — liste complète en section 6.7). Il gère son agenda, ses tarifs, sa patientèle, et peut le cas échéant faire partie d'un cabinet regroupant plusieurs praticiens. Son compte génère automatiquement, à l'inscription, une ligne dans la table doctors en plus de users et profiles.</w:t>
      </w:r>
    </w:p>
    <w:p>
      <w:pPr>
        <w:pStyle w:val="Heading2"/>
        <w:spacing w:after="150" w:before="300"/>
      </w:pPr>
      <w:r>
        <w:t xml:space="preserve">2.3 Administrateur (admin)</w:t>
      </w:r>
    </w:p>
    <w:p>
      <w:pPr>
        <w:spacing w:after="160" w:line="300"/>
      </w:pPr>
      <w:r>
        <w:t>Depuis le 22 juillet 2026, is_admin est un booléen indépendant du rôle principal du compte (colonne users.is_admin, migration 055) plutôt qu'une valeur de role — n'importe quel compte patient ou praticien peut ainsi aussi être administrateur sans perdre son tableau de bord habituel (c'est le cas du compte personnel de la fondatrice, seul compte is_admin = true). Un onglet « Admin » dédié apparaît dans la navbar quand is_admin est vrai, menant à /dashboard/admin. Ce tableau de bord est fonctionnel pour la vérification des praticiens (section 6.15) ; le reste (métriques, modération, reporting) demeure un stub non implémenté (voir section 10).</w:t>
      </w:r>
    </w:p>
    <w:p>
      <w:pPr>
        <w:pStyle w:val="Heading2"/>
        <w:spacing w:after="150" w:before="300"/>
      </w:pPr>
      <w:r>
        <w:t xml:space="preserve">2.4 Visiteur non connecté</w:t>
      </w:r>
    </w:p>
    <w:p>
      <w:pPr>
        <w:spacing w:after="160" w:line="300"/>
      </w:pPr>
      <w:r>
        <w:t xml:space="preserve">Un visiteur peut consulter librement la page d'accueil, effectuer une recherche de praticiens, consulter les fiches publiques des praticiens et des cabinets, et voir les avis. La réservation, la messagerie et tout ce qui touche à un compte personnel nécessitent une connexion.</w:t>
      </w:r>
    </w:p>
    <w:p>
      <w:pPr>
        <w:pStyle w:val="Heading1"/>
        <w:spacing w:after="200" w:before="400"/>
      </w:pPr>
      <w:r>
        <w:t xml:space="preserve">3. Architecture technique</w:t>
      </w:r>
    </w:p>
    <w:p>
      <w:pPr>
        <w:pStyle w:val="Heading2"/>
        <w:spacing w:after="150" w:before="300"/>
      </w:pPr>
      <w:r>
        <w:t xml:space="preserve">3.1 Stack technique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Couche</w:t>
            </w:r>
          </w:p>
        </w:tc>
        <w:tc>
          <w:tcPr>
            <w:tcW w:type="dxa" w:w="5820"/>
            <w:shd w:fill="F2820F" w:val="clear"/>
            <w:tcMar>
              <w:top w:type="dxa" w:w="80"/>
              <w:left w:type="dxa" w:w="100"/>
              <w:bottom w:type="dxa" w:w="80"/>
              <w:right w:type="dxa" w:w="100"/>
            </w:tcMar>
          </w:tcPr>
          <w:p>
            <w:r>
              <w:rPr>
                <w:b/>
                <w:bCs/>
                <w:color w:val="FFFFFF"/>
                <w:sz w:val="19"/>
                <w:szCs w:val="19"/>
              </w:rPr>
              <w:t xml:space="preserve">Technologie</w:t>
            </w:r>
          </w:p>
        </w:tc>
      </w:tr>
      <w:tr>
        <w:tc>
          <w:tcPr>
            <w:tcW w:type="dxa" w:w="3200"/>
            <w:tcMar>
              <w:top w:type="dxa" w:w="60"/>
              <w:left w:type="dxa" w:w="100"/>
              <w:bottom w:type="dxa" w:w="60"/>
              <w:right w:type="dxa" w:w="100"/>
            </w:tcMar>
          </w:tcPr>
          <w:p>
            <w:r>
              <w:rPr>
                <w:sz w:val="19"/>
                <w:szCs w:val="19"/>
              </w:rPr>
              <w:t xml:space="preserve">Framework front-end</w:t>
            </w:r>
          </w:p>
        </w:tc>
        <w:tc>
          <w:tcPr>
            <w:tcW w:type="dxa" w:w="5820"/>
            <w:tcMar>
              <w:top w:type="dxa" w:w="60"/>
              <w:left w:type="dxa" w:w="100"/>
              <w:bottom w:type="dxa" w:w="60"/>
              <w:right w:type="dxa" w:w="100"/>
            </w:tcMar>
          </w:tcPr>
          <w:p>
            <w:r>
              <w:rPr>
                <w:sz w:val="19"/>
                <w:szCs w:val="19"/>
              </w:rPr>
              <w:t xml:space="preserve">React 18</w:t>
            </w:r>
          </w:p>
        </w:tc>
      </w:tr>
      <w:tr>
        <w:tc>
          <w:tcPr>
            <w:tcW w:type="dxa" w:w="3200"/>
            <w:tcMar>
              <w:top w:type="dxa" w:w="60"/>
              <w:left w:type="dxa" w:w="100"/>
              <w:bottom w:type="dxa" w:w="60"/>
              <w:right w:type="dxa" w:w="100"/>
            </w:tcMar>
          </w:tcPr>
          <w:p>
            <w:r>
              <w:rPr>
                <w:sz w:val="19"/>
                <w:szCs w:val="19"/>
              </w:rPr>
              <w:t xml:space="preserve">Bundler / dev server</w:t>
            </w:r>
          </w:p>
        </w:tc>
        <w:tc>
          <w:tcPr>
            <w:tcW w:type="dxa" w:w="5820"/>
            <w:tcMar>
              <w:top w:type="dxa" w:w="60"/>
              <w:left w:type="dxa" w:w="100"/>
              <w:bottom w:type="dxa" w:w="60"/>
              <w:right w:type="dxa" w:w="100"/>
            </w:tcMar>
          </w:tcPr>
          <w:p>
            <w:r>
              <w:rPr>
                <w:sz w:val="19"/>
                <w:szCs w:val="19"/>
              </w:rPr>
              <w:t xml:space="preserve">Vite</w:t>
            </w:r>
          </w:p>
        </w:tc>
      </w:tr>
      <w:tr>
        <w:tc>
          <w:tcPr>
            <w:tcW w:type="dxa" w:w="3200"/>
            <w:tcMar>
              <w:top w:type="dxa" w:w="60"/>
              <w:left w:type="dxa" w:w="100"/>
              <w:bottom w:type="dxa" w:w="60"/>
              <w:right w:type="dxa" w:w="100"/>
            </w:tcMar>
          </w:tcPr>
          <w:p>
            <w:r>
              <w:rPr>
                <w:sz w:val="19"/>
                <w:szCs w:val="19"/>
              </w:rPr>
              <w:t xml:space="preserve">Langage</w:t>
            </w:r>
          </w:p>
        </w:tc>
        <w:tc>
          <w:tcPr>
            <w:tcW w:type="dxa" w:w="5820"/>
            <w:tcMar>
              <w:top w:type="dxa" w:w="60"/>
              <w:left w:type="dxa" w:w="100"/>
              <w:bottom w:type="dxa" w:w="60"/>
              <w:right w:type="dxa" w:w="100"/>
            </w:tcMar>
          </w:tcPr>
          <w:p>
            <w:r>
              <w:rPr>
                <w:sz w:val="19"/>
                <w:szCs w:val="19"/>
              </w:rPr>
              <w:t xml:space="preserve">TypeScript</w:t>
            </w:r>
          </w:p>
        </w:tc>
      </w:tr>
      <w:tr>
        <w:tc>
          <w:tcPr>
            <w:tcW w:type="dxa" w:w="3200"/>
            <w:tcMar>
              <w:top w:type="dxa" w:w="60"/>
              <w:left w:type="dxa" w:w="100"/>
              <w:bottom w:type="dxa" w:w="60"/>
              <w:right w:type="dxa" w:w="100"/>
            </w:tcMar>
          </w:tcPr>
          <w:p>
            <w:r>
              <w:rPr>
                <w:sz w:val="19"/>
                <w:szCs w:val="19"/>
              </w:rPr>
              <w:t xml:space="preserve">Style</w:t>
            </w:r>
          </w:p>
        </w:tc>
        <w:tc>
          <w:tcPr>
            <w:tcW w:type="dxa" w:w="5820"/>
            <w:tcMar>
              <w:top w:type="dxa" w:w="60"/>
              <w:left w:type="dxa" w:w="100"/>
              <w:bottom w:type="dxa" w:w="60"/>
              <w:right w:type="dxa" w:w="100"/>
            </w:tcMar>
          </w:tcPr>
          <w:p>
            <w:r>
              <w:rPr>
                <w:sz w:val="19"/>
                <w:szCs w:val="19"/>
              </w:rPr>
              <w:t xml:space="preserve">Tailwind CSS</w:t>
            </w:r>
          </w:p>
        </w:tc>
      </w:tr>
      <w:tr>
        <w:tc>
          <w:tcPr>
            <w:tcW w:type="dxa" w:w="3200"/>
            <w:tcMar>
              <w:top w:type="dxa" w:w="60"/>
              <w:left w:type="dxa" w:w="100"/>
              <w:bottom w:type="dxa" w:w="60"/>
              <w:right w:type="dxa" w:w="100"/>
            </w:tcMar>
          </w:tcPr>
          <w:p>
            <w:r>
              <w:rPr>
                <w:sz w:val="19"/>
                <w:szCs w:val="19"/>
              </w:rPr>
              <w:t xml:space="preserve">Routing</w:t>
            </w:r>
          </w:p>
        </w:tc>
        <w:tc>
          <w:tcPr>
            <w:tcW w:type="dxa" w:w="5820"/>
            <w:tcMar>
              <w:top w:type="dxa" w:w="60"/>
              <w:left w:type="dxa" w:w="100"/>
              <w:bottom w:type="dxa" w:w="60"/>
              <w:right w:type="dxa" w:w="100"/>
            </w:tcMar>
          </w:tcPr>
          <w:p>
            <w:r>
              <w:rPr>
                <w:sz w:val="19"/>
                <w:szCs w:val="19"/>
              </w:rPr>
              <w:t xml:space="preserve">React Router v6</w:t>
            </w:r>
          </w:p>
        </w:tc>
      </w:tr>
      <w:tr>
        <w:tc>
          <w:tcPr>
            <w:tcW w:type="dxa" w:w="3200"/>
            <w:tcMar>
              <w:top w:type="dxa" w:w="60"/>
              <w:left w:type="dxa" w:w="100"/>
              <w:bottom w:type="dxa" w:w="60"/>
              <w:right w:type="dxa" w:w="100"/>
            </w:tcMar>
          </w:tcPr>
          <w:p>
            <w:r>
              <w:rPr>
                <w:sz w:val="19"/>
                <w:szCs w:val="19"/>
              </w:rPr>
              <w:t xml:space="preserve">Gestion de données serveur (cache, requêtes)</w:t>
            </w:r>
          </w:p>
        </w:tc>
        <w:tc>
          <w:tcPr>
            <w:tcW w:type="dxa" w:w="5820"/>
            <w:tcMar>
              <w:top w:type="dxa" w:w="60"/>
              <w:left w:type="dxa" w:w="100"/>
              <w:bottom w:type="dxa" w:w="60"/>
              <w:right w:type="dxa" w:w="100"/>
            </w:tcMar>
          </w:tcPr>
          <w:p>
            <w:r>
              <w:rPr>
                <w:sz w:val="19"/>
                <w:szCs w:val="19"/>
              </w:rPr>
              <w:t xml:space="preserve">TanStack Query (React Query)</w:t>
            </w:r>
          </w:p>
        </w:tc>
      </w:tr>
      <w:tr>
        <w:tc>
          <w:tcPr>
            <w:tcW w:type="dxa" w:w="3200"/>
            <w:tcMar>
              <w:top w:type="dxa" w:w="60"/>
              <w:left w:type="dxa" w:w="100"/>
              <w:bottom w:type="dxa" w:w="60"/>
              <w:right w:type="dxa" w:w="100"/>
            </w:tcMar>
          </w:tcPr>
          <w:p>
            <w:r>
              <w:rPr>
                <w:sz w:val="19"/>
                <w:szCs w:val="19"/>
              </w:rPr>
              <w:t xml:space="preserve">État global client</w:t>
            </w:r>
          </w:p>
        </w:tc>
        <w:tc>
          <w:tcPr>
            <w:tcW w:type="dxa" w:w="5820"/>
            <w:tcMar>
              <w:top w:type="dxa" w:w="60"/>
              <w:left w:type="dxa" w:w="100"/>
              <w:bottom w:type="dxa" w:w="60"/>
              <w:right w:type="dxa" w:w="100"/>
            </w:tcMar>
          </w:tcPr>
          <w:p>
            <w:r>
              <w:rPr>
                <w:sz w:val="19"/>
                <w:szCs w:val="19"/>
              </w:rPr>
              <w:t xml:space="preserve">Zustand (avec persistance localStorage)</w:t>
            </w:r>
          </w:p>
        </w:tc>
      </w:tr>
      <w:tr>
        <w:tc>
          <w:tcPr>
            <w:tcW w:type="dxa" w:w="3200"/>
            <w:tcMar>
              <w:top w:type="dxa" w:w="60"/>
              <w:left w:type="dxa" w:w="100"/>
              <w:bottom w:type="dxa" w:w="60"/>
              <w:right w:type="dxa" w:w="100"/>
            </w:tcMar>
          </w:tcPr>
          <w:p>
            <w:r>
              <w:rPr>
                <w:sz w:val="19"/>
                <w:szCs w:val="19"/>
              </w:rPr>
              <w:t xml:space="preserve">Backend / base de données</w:t>
            </w:r>
          </w:p>
        </w:tc>
        <w:tc>
          <w:tcPr>
            <w:tcW w:type="dxa" w:w="5820"/>
            <w:tcMar>
              <w:top w:type="dxa" w:w="60"/>
              <w:left w:type="dxa" w:w="100"/>
              <w:bottom w:type="dxa" w:w="60"/>
              <w:right w:type="dxa" w:w="100"/>
            </w:tcMar>
          </w:tcPr>
          <w:p>
            <w:r>
              <w:rPr>
                <w:sz w:val="19"/>
                <w:szCs w:val="19"/>
              </w:rPr>
              <w:t xml:space="preserve">Supabase (PostgreSQL + Auth + Row Level Security + Edge Functions + Storage)</w:t>
            </w:r>
          </w:p>
        </w:tc>
      </w:tr>
      <w:tr>
        <w:tc>
          <w:tcPr>
            <w:tcW w:type="dxa" w:w="3200"/>
            <w:tcMar>
              <w:top w:type="dxa" w:w="60"/>
              <w:left w:type="dxa" w:w="100"/>
              <w:bottom w:type="dxa" w:w="60"/>
              <w:right w:type="dxa" w:w="100"/>
            </w:tcMar>
          </w:tcPr>
          <w:p>
            <w:r>
              <w:rPr>
                <w:sz w:val="19"/>
                <w:szCs w:val="19"/>
              </w:rPr>
              <w:t xml:space="preserve">Validation de formulaires</w:t>
            </w:r>
          </w:p>
        </w:tc>
        <w:tc>
          <w:tcPr>
            <w:tcW w:type="dxa" w:w="5820"/>
            <w:tcMar>
              <w:top w:type="dxa" w:w="60"/>
              <w:left w:type="dxa" w:w="100"/>
              <w:bottom w:type="dxa" w:w="60"/>
              <w:right w:type="dxa" w:w="100"/>
            </w:tcMar>
          </w:tcPr>
          <w:p>
            <w:r>
              <w:rPr>
                <w:sz w:val="19"/>
                <w:szCs w:val="19"/>
              </w:rPr>
              <w:t xml:space="preserve">Zod</w:t>
            </w:r>
          </w:p>
        </w:tc>
      </w:tr>
      <w:tr>
        <w:tc>
          <w:tcPr>
            <w:tcW w:type="dxa" w:w="3200"/>
            <w:tcMar>
              <w:top w:type="dxa" w:w="60"/>
              <w:left w:type="dxa" w:w="100"/>
              <w:bottom w:type="dxa" w:w="60"/>
              <w:right w:type="dxa" w:w="100"/>
            </w:tcMar>
          </w:tcPr>
          <w:p>
            <w:r>
              <w:rPr>
                <w:sz w:val="19"/>
                <w:szCs w:val="19"/>
              </w:rPr>
              <w:t xml:space="preserve">Graphiques</w:t>
            </w:r>
          </w:p>
        </w:tc>
        <w:tc>
          <w:tcPr>
            <w:tcW w:type="dxa" w:w="5820"/>
            <w:tcMar>
              <w:top w:type="dxa" w:w="60"/>
              <w:left w:type="dxa" w:w="100"/>
              <w:bottom w:type="dxa" w:w="60"/>
              <w:right w:type="dxa" w:w="100"/>
            </w:tcMar>
          </w:tcPr>
          <w:p>
            <w:r>
              <w:rPr>
                <w:sz w:val="19"/>
                <w:szCs w:val="19"/>
              </w:rPr>
              <w:t xml:space="preserve">Recharts</w:t>
            </w:r>
          </w:p>
        </w:tc>
      </w:tr>
      <w:tr>
        <w:tc>
          <w:tcPr>
            <w:tcW w:type="dxa" w:w="3200"/>
            <w:tcMar>
              <w:top w:type="dxa" w:w="60"/>
              <w:left w:type="dxa" w:w="100"/>
              <w:bottom w:type="dxa" w:w="60"/>
              <w:right w:type="dxa" w:w="100"/>
            </w:tcMar>
          </w:tcPr>
          <w:p>
            <w:r>
              <w:rPr>
                <w:sz w:val="19"/>
                <w:szCs w:val="19"/>
              </w:rPr>
              <w:t xml:space="preserve">Dates</w:t>
            </w:r>
          </w:p>
        </w:tc>
        <w:tc>
          <w:tcPr>
            <w:tcW w:type="dxa" w:w="5820"/>
            <w:tcMar>
              <w:top w:type="dxa" w:w="60"/>
              <w:left w:type="dxa" w:w="100"/>
              <w:bottom w:type="dxa" w:w="60"/>
              <w:right w:type="dxa" w:w="100"/>
            </w:tcMar>
          </w:tcPr>
          <w:p>
            <w:r>
              <w:rPr>
                <w:sz w:val="19"/>
                <w:szCs w:val="19"/>
              </w:rPr>
              <w:t xml:space="preserve">date-fns (locale fr)</w:t>
            </w:r>
          </w:p>
        </w:tc>
      </w:tr>
      <w:tr>
        <w:tc>
          <w:tcPr>
            <w:tcW w:type="dxa" w:w="3200"/>
            <w:tcMar>
              <w:top w:type="dxa" w:w="60"/>
              <w:left w:type="dxa" w:w="100"/>
              <w:bottom w:type="dxa" w:w="60"/>
              <w:right w:type="dxa" w:w="100"/>
            </w:tcMar>
          </w:tcPr>
          <w:p>
            <w:r>
              <w:rPr>
                <w:sz w:val="19"/>
                <w:szCs w:val="19"/>
              </w:rPr>
              <w:t xml:space="preserve">Email transactionnel</w:t>
            </w:r>
          </w:p>
        </w:tc>
        <w:tc>
          <w:tcPr>
            <w:tcW w:type="dxa" w:w="5820"/>
            <w:tcMar>
              <w:top w:type="dxa" w:w="60"/>
              <w:left w:type="dxa" w:w="100"/>
              <w:bottom w:type="dxa" w:w="60"/>
              <w:right w:type="dxa" w:w="100"/>
            </w:tcMar>
          </w:tcPr>
          <w:p>
            <w:r>
              <w:rPr>
                <w:sz w:val="19"/>
                <w:szCs w:val="19"/>
              </w:rPr>
              <w:t xml:space="preserve">Resend (via Edge Function Supabase)</w:t>
            </w:r>
          </w:p>
        </w:tc>
      </w:tr>
      <w:tr>
        <w:tc>
          <w:tcPr>
            <w:tcW w:type="dxa" w:w="3200"/>
            <w:tcMar>
              <w:top w:type="dxa" w:w="60"/>
              <w:left w:type="dxa" w:w="100"/>
              <w:bottom w:type="dxa" w:w="60"/>
              <w:right w:type="dxa" w:w="100"/>
            </w:tcMar>
          </w:tcPr>
          <w:p>
            <w:r>
              <w:rPr>
                <w:sz w:val="19"/>
                <w:szCs w:val="19"/>
              </w:rPr>
              <w:t xml:space="preserve">Protection anti-bot (inscription)</w:t>
            </w:r>
          </w:p>
        </w:tc>
        <w:tc>
          <w:tcPr>
            <w:tcW w:type="dxa" w:w="5820"/>
            <w:tcMar>
              <w:top w:type="dxa" w:w="60"/>
              <w:left w:type="dxa" w:w="100"/>
              <w:bottom w:type="dxa" w:w="60"/>
              <w:right w:type="dxa" w:w="100"/>
            </w:tcMar>
          </w:tcPr>
          <w:p>
            <w:r>
              <w:rPr>
                <w:sz w:val="19"/>
                <w:szCs w:val="19"/>
              </w:rPr>
              <w:t xml:space="preserve">Cloudflare Turnstile</w:t>
            </w:r>
          </w:p>
        </w:tc>
      </w:tr>
      <w:tr>
        <w:tc>
          <w:tcPr>
            <w:tcW w:type="dxa" w:w="3200"/>
            <w:tcMar>
              <w:top w:type="dxa" w:w="60"/>
              <w:left w:type="dxa" w:w="100"/>
              <w:bottom w:type="dxa" w:w="60"/>
              <w:right w:type="dxa" w:w="100"/>
            </w:tcMar>
          </w:tcPr>
          <w:p>
            <w:r>
              <w:rPr>
                <w:sz w:val="19"/>
                <w:szCs w:val="19"/>
              </w:rPr>
              <w:t xml:space="preserve">Monitoring d’erreurs</w:t>
            </w:r>
          </w:p>
        </w:tc>
        <w:tc>
          <w:tcPr>
            <w:tcW w:type="dxa" w:w="5820"/>
            <w:tcMar>
              <w:top w:type="dxa" w:w="60"/>
              <w:left w:type="dxa" w:w="100"/>
              <w:bottom w:type="dxa" w:w="60"/>
              <w:right w:type="dxa" w:w="100"/>
            </w:tcMar>
          </w:tcPr>
          <w:p>
            <w:r>
              <w:rPr>
                <w:sz w:val="19"/>
                <w:szCs w:val="19"/>
              </w:rPr>
              <w:t xml:space="preserve">Sentry (@sentry/react)</w:t>
            </w:r>
          </w:p>
        </w:tc>
      </w:tr>
    </w:tbl>
    <w:p>
      <w:pPr>
        <w:pStyle w:val="Heading2"/>
        <w:spacing w:after="150" w:before="300"/>
      </w:pPr>
      <w:r>
        <w:t xml:space="preserve">3.2 Commandes de développement</w:t>
      </w:r>
    </w:p>
    <w:p>
      <w:pPr>
        <w:pStyle w:val="ListParagraph"/>
        <w:numPr>
          <w:ilvl w:val="0"/>
          <w:numId w:val="2"/>
        </w:numPr>
        <w:spacing w:after="100"/>
      </w:pPr>
      <w:r>
        <w:t xml:space="preserve">npm run dev — démarre le serveur de développement sur http://localhost:3000</w:t>
      </w:r>
    </w:p>
    <w:p>
      <w:pPr>
        <w:pStyle w:val="ListParagraph"/>
        <w:numPr>
          <w:ilvl w:val="0"/>
          <w:numId w:val="2"/>
        </w:numPr>
        <w:spacing w:after="100"/>
      </w:pPr>
      <w:r>
        <w:t xml:space="preserve">npm run build — vérification TypeScript puis build de production (tsc &amp;&amp; vite build)</w:t>
      </w:r>
    </w:p>
    <w:p>
      <w:pPr>
        <w:pStyle w:val="ListParagraph"/>
        <w:numPr>
          <w:ilvl w:val="0"/>
          <w:numId w:val="2"/>
        </w:numPr>
        <w:spacing w:after="100"/>
      </w:pPr>
      <w:r>
        <w:t xml:space="preserve">npm run preview — prévisualise le build de production en local</w:t>
      </w:r>
    </w:p>
    <w:p>
      <w:pPr>
        <w:pStyle w:val="ListParagraph"/>
        <w:numPr>
          <w:ilvl w:val="0"/>
          <w:numId w:val="2"/>
        </w:numPr>
        <w:spacing w:after="100"/>
      </w:pPr>
      <w:r>
        <w:t xml:space="preserve">npm run lint — ESLint sur l'ensemble des fichiers .ts/.tsx du dossier src/</w:t>
      </w:r>
    </w:p>
    <w:p>
      <w:pPr>
        <w:spacing w:after="160" w:line="300"/>
      </w:pPr>
      <w:r>
        <w:t xml:space="preserve">Variables d'environnement : copier .env.example en .env.local et renseigner VITE_SUPABASE_URL et VITE_SUPABASE_ANON_KEY. Deux variables optionnelles activent des fonctionnalités supplémentaires sans bloquer l'application si elles sont absentes : VITE_TURNSTILE_SITE_KEY (protection anti-bot à l'inscription, section 6.2) et VITE_SENTRY_DSN (remontée automatique des erreurs, section 3.7).</w:t>
      </w:r>
    </w:p>
    <w:p>
      <w:pPr>
        <w:pStyle w:val="Heading2"/>
        <w:spacing w:after="150" w:before="300"/>
      </w:pPr>
      <w:r>
        <w:t xml:space="preserve">3.3 Alias de chemin</w:t>
      </w:r>
    </w:p>
    <w:p>
      <w:pPr>
        <w:spacing w:after="160" w:line="300"/>
      </w:pPr>
      <w:r>
        <w:t xml:space="preserve">L'alias @/ pointe vers le dossier src/ (configuré dans vite.config.ts). L'ensemble du code utilise cet alias plutôt que des chemins relatifs.</w:t>
      </w:r>
    </w:p>
    <w:p>
      <w:pPr>
        <w:pStyle w:val="Heading2"/>
        <w:spacing w:after="150" w:before="300"/>
      </w:pPr>
      <w:r>
        <w:t xml:space="preserve">3.4 Organisation du code</w:t>
      </w:r>
    </w:p>
    <w:p>
      <w:pPr>
        <w:pStyle w:val="ListParagraph"/>
        <w:numPr>
          <w:ilvl w:val="0"/>
          <w:numId w:val="2"/>
        </w:numPr>
        <w:spacing w:after="100"/>
      </w:pPr>
      <w:r>
        <w:t xml:space="preserve">src/pages/ — une page par route (voir table des routes, section 13)</w:t>
      </w:r>
    </w:p>
    <w:p>
      <w:pPr>
        <w:pStyle w:val="ListParagraph"/>
        <w:numPr>
          <w:ilvl w:val="0"/>
          <w:numId w:val="2"/>
        </w:numPr>
        <w:spacing w:after="100"/>
      </w:pPr>
      <w:r>
        <w:t xml:space="preserve">src/components/ — composants réutilisables, organisés par domaine (auth/, ui/, doctor/, appointment/, search/)</w:t>
      </w:r>
    </w:p>
    <w:p>
      <w:pPr>
        <w:pStyle w:val="ListParagraph"/>
        <w:numPr>
          <w:ilvl w:val="0"/>
          <w:numId w:val="2"/>
        </w:numPr>
        <w:spacing w:after="100"/>
      </w:pPr>
      <w:r>
        <w:t xml:space="preserve">src/hooks/useData.ts — couche de données unique : tous les appels Supabase de l'application (environ 70 hooks TanStack Query), il n'existe pas de couche service séparée</w:t>
      </w:r>
    </w:p>
    <w:p>
      <w:pPr>
        <w:pStyle w:val="ListParagraph"/>
        <w:numPr>
          <w:ilvl w:val="0"/>
          <w:numId w:val="2"/>
        </w:numPr>
        <w:spacing w:after="100"/>
      </w:pPr>
      <w:r>
        <w:t xml:space="preserve">src/lib/ — utilitaires transverses (store d'authentification, client Supabase, listes fermées de référence, sanitisation HTML)</w:t>
      </w:r>
    </w:p>
    <w:p>
      <w:pPr>
        <w:pStyle w:val="ListParagraph"/>
        <w:numPr>
          <w:ilvl w:val="0"/>
          <w:numId w:val="2"/>
        </w:numPr>
        <w:spacing w:after="100"/>
      </w:pPr>
      <w:r>
        <w:t xml:space="preserve">src/types/index.ts — interfaces TypeScript de toutes les entités métier</w:t>
      </w:r>
    </w:p>
    <w:p>
      <w:pPr>
        <w:pStyle w:val="ListParagraph"/>
        <w:numPr>
          <w:ilvl w:val="0"/>
          <w:numId w:val="2"/>
        </w:numPr>
        <w:spacing w:after="100"/>
      </w:pPr>
      <w:r>
        <w:t xml:space="preserve">supabase/migrations/ — historique SQL versionné (46 fichiers à ce jour)</w:t>
      </w:r>
    </w:p>
    <w:p>
      <w:pPr>
        <w:pStyle w:val="ListParagraph"/>
        <w:numPr>
          <w:ilvl w:val="0"/>
          <w:numId w:val="2"/>
        </w:numPr>
        <w:spacing w:after="100"/>
      </w:pPr>
      <w:r>
        <w:t xml:space="preserve">supabase/functions/ — Edge Functions Deno (emails transactionnels)</w:t>
      </w:r>
    </w:p>
    <w:p>
      <w:pPr>
        <w:pStyle w:val="Heading2"/>
        <w:spacing w:after="150" w:before="300"/>
      </w:pPr>
      <w:r>
        <w:t xml:space="preserve">3.5 Authentification et état global</w:t>
      </w:r>
    </w:p>
    <w:p>
      <w:pPr>
        <w:spacing w:after="160" w:line="300"/>
      </w:pPr>
      <w:r>
        <w:t xml:space="preserve">Le store Zustand (src/lib/authStore.ts) est persisté sous la clé localStorage pawcare-auth et contient les objets user et profile. Cette persistance est indispensable pour que la session survive à un rafraîchissement de page. Le champ loading démarre à false car le persist restaure déjà la session avant même le premier appel réseau.</w:t>
      </w:r>
    </w:p>
    <w:p>
      <w:pPr>
        <w:spacing w:after="160" w:line="300"/>
      </w:pPr>
      <w:r>
        <w:t xml:space="preserve">App.tsx s'abonne à supabase.auth.onAuthStateChange et n'hydrate le store (via le RPC get_my_user_data) que sur les événements SIGNED_IN, SIGNED_OUT et INITIAL_SESSION — jamais sur TOKEN_REFRESHED, pour éviter des requêtes redondantes à chaque rafraîchissement silencieux du token. Un timeout de 8 secondes protège contre un blocage indéfini de l'interface.</w:t>
      </w:r>
    </w:p>
    <w:p>
      <w:pPr>
        <w:spacing w:after="160" w:line="300"/>
      </w:pPr>
      <w:r>
        <w:t>ProtectedRoute (src/components/auth/ProtectedRoute.tsx) protège les routes par rôle : redirection vers /login si non connecté, vers / si le rôle ne correspond pas à la route (une route peut accepter un tableau de rôles, par exemple /animal/:id accessible aux patients et aux praticiens). Un compte avec is_admin = true contourne systématiquement ces vérifications, quel que soit son rôle principal (voir section 2.3). Un écran « Chargement... » s'affiche tant que loading vaut true.</w:t>
      </w:r>
    </w:p>
    <w:p>
      <w:pPr>
        <w:spacing w:after="160" w:line="300"/>
      </w:pPr>
      <w:r>
        <w:t xml:space="preserve">La déconnexion vide l'état local du store immédiatement, sans attendre la réponse de Supabase (fire-and-forget), afin d'éviter tout blocage de l'interface en cas de latence réseau.</w:t>
      </w:r>
    </w:p>
    <w:p>
      <w:pPr>
        <w:pStyle w:val="Heading2"/>
        <w:spacing w:after="150" w:before="300"/>
      </w:pPr>
      <w:r>
        <w:t xml:space="preserve">3.6 Couche de données (useData.ts)</w:t>
      </w:r>
    </w:p>
    <w:p>
      <w:pPr>
        <w:spacing w:after="160" w:line="300"/>
      </w:pPr>
      <w:r>
        <w:t xml:space="preserve">Toutes les requêtes Supabase transitent par des hooks TanStack Query définis dans src/hooks/useData.ts. Les clés de cache suivent la convention [entité, id ou filtres]. Chaque mutation invalide, après succès, les clés de requête liées afin de garder l'interface synchronisée. Deux hooks fonctionnent par polling plutôt que par abonnement temps réel strict : useConversation (messagerie, toutes les 5 secondes) et useClinicAppointments (agenda de cabinet, toutes les 10 secondes).</w:t>
      </w:r>
    </w:p>
    <w:p>
      <w:pPr>
        <w:pBdr>
          <w:left w:val="single" w:color="F2820F" w:sz="18"/>
        </w:pBdr>
        <w:shd w:fill="FFF6E6" w:val="clear"/>
        <w:spacing w:after="200" w:before="100"/>
        <w:ind w:left="200"/>
      </w:pPr>
      <w:r>
        <w:rPr>
          <w:i/>
          <w:iCs/>
          <w:color w:val="6B5B3D"/>
          <w:sz w:val="20"/>
          <w:szCs w:val="20"/>
        </w:rPr>
        <w:t xml:space="preserve">Règle de conception récurrente dans la base de code : lorsqu'une jointure PostgREST directe se heurte à une politique RLS trop restrictive pour être traversée (par exemple lire le profil d'un tiers), le code effectue deux requêtes séparées — la requête principale, puis une requête complémentaire sur les identifiants collectés — et fusionne les résultats côté client plutôt que de tenter une jointure imbriquée bloquée par le RLS.</w:t>
      </w:r>
    </w:p>
    <w:p>
      <w:pPr>
        <w:pStyle w:val="Heading2"/>
        <w:spacing w:after="150" w:before="300"/>
      </w:pPr>
      <w:r>
        <w:t xml:space="preserve">3.7 Monitoring et protection anti-bot</w:t>
      </w:r>
    </w:p>
    <w:p>
      <w:pPr>
        <w:spacing w:after="160" w:line="300"/>
      </w:pPr>
      <w:r>
        <w:t xml:space="preserve">Deux services tiers, tous deux optionnels et désactivés proprement si leur variable d'environnement respective est absente (aucun blocage de l'application) :</w:t>
      </w:r>
    </w:p>
    <w:p>
      <w:pPr>
        <w:pStyle w:val="ListParagraph"/>
        <w:numPr>
          <w:ilvl w:val="0"/>
          <w:numId w:val="2"/>
        </w:numPr>
        <w:spacing w:after="100"/>
      </w:pPr>
      <w:r>
        <w:t xml:space="preserve">Cloudflare Turnstile (src/components/ui/Turnstile.tsx) — widget anti-bot affiché sur le formulaire d'inscription (/register, section 6.2). Le jeton produit est transmis à supabase.auth.signUp via options.captchaToken ; la vérification du jeton est effectuée côté Supabase Auth (clé secrète Turnstile configurée dans Authentication → Attack Protection du dashboard Supabase, jamais dans le code).</w:t>
      </w:r>
    </w:p>
    <w:p>
      <w:pPr>
        <w:pStyle w:val="ListParagraph"/>
        <w:numPr>
          <w:ilvl w:val="0"/>
          <w:numId w:val="2"/>
        </w:numPr>
        <w:spacing w:after="100"/>
      </w:pPr>
      <w:r>
        <w:t xml:space="preserve">Sentry (@sentry/react, initialisé dans src/main.tsx) — capture automatiquement les exceptions JavaScript et les erreurs de rendu React en production, avec la pile d'appel, la page concernée et le navigateur. L'application est enveloppée dans un Sentry.ErrorBoundary qui affiche un écran de secours (plutôt qu'une page blanche) si un composant plante. Compte créé sur un essai 14 jours à volume illimité, puis plan gratuit (5 000 erreurs/mois) sans carte bancaire requise. Point d'attention critique découvert le 21 juillet 2026 : activer la protection captcha dans Supabase Auth (Attack Protection) l'applique à toutes les routes d'authentification (signUp, signInWithPassword, resetPasswordForEmail), pas seulement à l'inscription. Le widget Turnstile n'avait été ajouté qu'à /register : plus personne ne pouvait se connecter ni réinitialiser son mot de passe jusqu'à ce que le widget soit également ajouté à /login et /forgot-password. Toute nouvelle route appelant une méthode supabase.auth.* doit désormais transmettre options.captchaToken si la protection captcha est active.</w:t>
      </w:r>
    </w:p>
    <w:p>
      <w:pPr>
        <w:pStyle w:val="Heading1"/>
        <w:spacing w:after="200" w:before="400"/>
      </w:pPr>
      <w:r>
        <w:t xml:space="preserve">4. Modèle de données</w:t>
      </w:r>
    </w:p>
    <w:p>
      <w:pPr>
        <w:spacing w:after="160" w:line="300"/>
      </w:pPr>
      <w:r>
        <w:t xml:space="preserve">Le schéma de base (enums, tables principales, RLS) est versionné dans supabase/migrations/001_schema.sql, complété par 45 migrations correctives et additives. Sept tables (animals, vaccines, weight_tracking, health_records, clinics, clinic_members, clinic_services) ont été créées directement depuis le tableau de bord Supabase et n'apparaissent dans aucune migration committée : leur schéma ci-dessous est donc reconstitué à partir de leur usage réel dans le code TypeScript (src/types/index.ts et src/hooks/useData.ts), pas d'un fichier SQL source. Ce point est confirmé explicitement par un commentaire de la migration 023.</w:t>
      </w:r>
    </w:p>
    <w:p>
      <w:pPr>
        <w:pBdr>
          <w:left w:val="single" w:color="F2820F" w:sz="18"/>
        </w:pBdr>
        <w:shd w:fill="FFF6E6" w:val="clear"/>
        <w:spacing w:after="200" w:before="100"/>
        <w:ind w:left="200"/>
      </w:pPr>
      <w:r>
        <w:rPr>
          <w:i/>
          <w:iCs/>
          <w:color w:val="6B5B3D"/>
          <w:sz w:val="20"/>
          <w:szCs w:val="20"/>
        </w:rPr>
        <w:t xml:space="preserve">Pour reprendre intégralement le projet, un développeur devra donc, en plus d'exécuter les migrations SQL committées, recréer manuellement (ou exporter depuis le projet Supabase existant) le schéma de ces sept tables.</w:t>
      </w:r>
    </w:p>
    <w:p>
      <w:pPr>
        <w:pStyle w:val="Heading2"/>
        <w:spacing w:after="150" w:before="300"/>
      </w:pPr>
      <w:r>
        <w:t xml:space="preserve">4.1 Comptes et profils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0"/>
        <w:gridCol w:w="3700"/>
        <w:gridCol w:w="3520"/>
      </w:tblGrid>
      <w:tr>
        <w:trPr>
          <w:tblHeader/>
        </w:trPr>
        <w:tc>
          <w:tcPr>
            <w:tcW w:type="dxa" w:w="1800"/>
            <w:shd w:fill="F2820F" w:val="clear"/>
            <w:tcMar>
              <w:top w:type="dxa" w:w="80"/>
              <w:left w:type="dxa" w:w="100"/>
              <w:bottom w:type="dxa" w:w="80"/>
              <w:right w:type="dxa" w:w="100"/>
            </w:tcMar>
          </w:tcPr>
          <w:p>
            <w:r>
              <w:rPr>
                <w:b/>
                <w:bCs/>
                <w:color w:val="FFFFFF"/>
                <w:sz w:val="19"/>
                <w:szCs w:val="19"/>
              </w:rPr>
              <w:t xml:space="preserve">Table</w:t>
            </w:r>
          </w:p>
        </w:tc>
        <w:tc>
          <w:tcPr>
            <w:tcW w:type="dxa" w:w="3700"/>
            <w:shd w:fill="F2820F" w:val="clear"/>
            <w:tcMar>
              <w:top w:type="dxa" w:w="80"/>
              <w:left w:type="dxa" w:w="100"/>
              <w:bottom w:type="dxa" w:w="80"/>
              <w:right w:type="dxa" w:w="100"/>
            </w:tcMar>
          </w:tcPr>
          <w:p>
            <w:r>
              <w:rPr>
                <w:b/>
                <w:bCs/>
                <w:color w:val="FFFFFF"/>
                <w:sz w:val="19"/>
                <w:szCs w:val="19"/>
              </w:rPr>
              <w:t xml:space="preserve">Rôle</w:t>
            </w:r>
          </w:p>
        </w:tc>
        <w:tc>
          <w:tcPr>
            <w:tcW w:type="dxa" w:w="3520"/>
            <w:shd w:fill="F2820F" w:val="clear"/>
            <w:tcMar>
              <w:top w:type="dxa" w:w="80"/>
              <w:left w:type="dxa" w:w="100"/>
              <w:bottom w:type="dxa" w:w="80"/>
              <w:right w:type="dxa" w:w="100"/>
            </w:tcMar>
          </w:tcPr>
          <w:p>
            <w:r>
              <w:rPr>
                <w:b/>
                <w:bCs/>
                <w:color w:val="FFFFFF"/>
                <w:sz w:val="19"/>
                <w:szCs w:val="19"/>
              </w:rPr>
              <w:t xml:space="preserve">Champs clés</w:t>
            </w:r>
          </w:p>
        </w:tc>
      </w:tr>
      <w:tr>
        <w:tc>
          <w:tcPr>
            <w:tcW w:type="dxa" w:w="1800"/>
            <w:tcMar>
              <w:top w:type="dxa" w:w="60"/>
              <w:left w:type="dxa" w:w="100"/>
              <w:bottom w:type="dxa" w:w="60"/>
              <w:right w:type="dxa" w:w="100"/>
            </w:tcMar>
          </w:tcPr>
          <w:p>
            <w:r>
              <w:rPr>
                <w:sz w:val="19"/>
                <w:szCs w:val="19"/>
              </w:rPr>
              <w:t xml:space="preserve">users</w:t>
            </w:r>
          </w:p>
        </w:tc>
        <w:tc>
          <w:tcPr>
            <w:tcW w:type="dxa" w:w="3700"/>
            <w:tcMar>
              <w:top w:type="dxa" w:w="60"/>
              <w:left w:type="dxa" w:w="100"/>
              <w:bottom w:type="dxa" w:w="60"/>
              <w:right w:type="dxa" w:w="100"/>
            </w:tcMar>
          </w:tcPr>
          <w:p>
            <w:r>
              <w:rPr>
                <w:sz w:val="19"/>
                <w:szCs w:val="19"/>
              </w:rPr>
              <w:t xml:space="preserve">Identité + rôle applicatif (miroir de auth.users)</w:t>
            </w:r>
          </w:p>
        </w:tc>
        <w:tc>
          <w:tcPr>
            <w:tcW w:type="dxa" w:w="3520"/>
            <w:tcMar>
              <w:top w:type="dxa" w:w="60"/>
              <w:left w:type="dxa" w:w="100"/>
              <w:bottom w:type="dxa" w:w="60"/>
              <w:right w:type="dxa" w:w="100"/>
            </w:tcMar>
          </w:tcPr>
          <w:p>
            <w:r>
              <w:rPr>
                <w:sz w:val="19"/>
                <w:szCs w:val="19"/>
              </w:rPr>
              <w:t xml:space="preserve">id, role (patient / doctor / admin), email</w:t>
            </w:r>
          </w:p>
        </w:tc>
      </w:tr>
      <w:tr>
        <w:tc>
          <w:tcPr>
            <w:tcW w:type="dxa" w:w="1800"/>
            <w:tcMar>
              <w:top w:type="dxa" w:w="60"/>
              <w:left w:type="dxa" w:w="100"/>
              <w:bottom w:type="dxa" w:w="60"/>
              <w:right w:type="dxa" w:w="100"/>
            </w:tcMar>
          </w:tcPr>
          <w:p>
            <w:r>
              <w:rPr>
                <w:sz w:val="19"/>
                <w:szCs w:val="19"/>
              </w:rPr>
              <w:t xml:space="preserve">profiles</w:t>
            </w:r>
          </w:p>
        </w:tc>
        <w:tc>
          <w:tcPr>
            <w:tcW w:type="dxa" w:w="3700"/>
            <w:tcMar>
              <w:top w:type="dxa" w:w="60"/>
              <w:left w:type="dxa" w:w="100"/>
              <w:bottom w:type="dxa" w:w="60"/>
              <w:right w:type="dxa" w:w="100"/>
            </w:tcMar>
          </w:tcPr>
          <w:p>
            <w:r>
              <w:rPr>
                <w:sz w:val="19"/>
                <w:szCs w:val="19"/>
              </w:rPr>
              <w:t xml:space="preserve">Informations personnelles communes à tous les rôles</w:t>
            </w:r>
          </w:p>
        </w:tc>
        <w:tc>
          <w:tcPr>
            <w:tcW w:type="dxa" w:w="3520"/>
            <w:tcMar>
              <w:top w:type="dxa" w:w="60"/>
              <w:left w:type="dxa" w:w="100"/>
              <w:bottom w:type="dxa" w:w="60"/>
              <w:right w:type="dxa" w:w="100"/>
            </w:tcMar>
          </w:tcPr>
          <w:p>
            <w:r>
              <w:rPr>
                <w:sz w:val="19"/>
                <w:szCs w:val="19"/>
              </w:rPr>
              <w:t xml:space="preserve">user_id, first_name, last_name, phone, avatar_url, emergency_contact_name, emergency_contact_phone</w:t>
            </w:r>
          </w:p>
        </w:tc>
      </w:tr>
      <w:tr>
        <w:tc>
          <w:tcPr>
            <w:tcW w:type="dxa" w:w="1800"/>
            <w:tcMar>
              <w:top w:type="dxa" w:w="60"/>
              <w:left w:type="dxa" w:w="100"/>
              <w:bottom w:type="dxa" w:w="60"/>
              <w:right w:type="dxa" w:w="100"/>
            </w:tcMar>
          </w:tcPr>
          <w:p>
            <w:r>
              <w:rPr>
                <w:sz w:val="19"/>
                <w:szCs w:val="19"/>
              </w:rPr>
              <w:t xml:space="preserve">doctors</w:t>
            </w:r>
          </w:p>
        </w:tc>
        <w:tc>
          <w:tcPr>
            <w:tcW w:type="dxa" w:w="3700"/>
            <w:tcMar>
              <w:top w:type="dxa" w:w="60"/>
              <w:left w:type="dxa" w:w="100"/>
              <w:bottom w:type="dxa" w:w="60"/>
              <w:right w:type="dxa" w:w="100"/>
            </w:tcMar>
          </w:tcPr>
          <w:p>
            <w:r>
              <w:rPr>
                <w:sz w:val="19"/>
                <w:szCs w:val="19"/>
              </w:rPr>
              <w:t xml:space="preserve">Informations spécifiques aux praticiens</w:t>
            </w:r>
          </w:p>
        </w:tc>
        <w:tc>
          <w:tcPr>
            <w:tcW w:type="dxa" w:w="3520"/>
            <w:tcMar>
              <w:top w:type="dxa" w:w="60"/>
              <w:left w:type="dxa" w:w="100"/>
              <w:bottom w:type="dxa" w:w="60"/>
              <w:right w:type="dxa" w:w="100"/>
            </w:tcMar>
          </w:tcPr>
          <w:p>
            <w:r>
              <w:rPr>
                <w:sz w:val="19"/>
                <w:szCs w:val="19"/>
              </w:rPr>
              <w:t xml:space="preserve">id, user_id, specialty, rpps_number, bio (HTML sanitisé), consultation_price, address, city, lat/lng, accepted_species (tableau texte), home_visit (booléen), is_verified, average_rating, review_count</w:t>
            </w:r>
          </w:p>
        </w:tc>
      </w:tr>
    </w:tbl>
    <w:p>
      <w:pPr>
        <w:spacing w:after="160" w:line="300"/>
      </w:pPr>
      <w:r>
        <w:t xml:space="preserve">La création d'un compte déclenche le trigger handle_new_user (SQL, sur auth.users) qui crée automatiquement les lignes correspondantes dans users, profiles et, si le rôle est doctor, dans doctors, à partir des métadonnées transmises par le formulaire d'inscription (raw_user_meta_data).</w:t>
      </w:r>
    </w:p>
    <w:p>
      <w:pPr>
        <w:pStyle w:val="Heading2"/>
        <w:spacing w:after="150" w:before="300"/>
      </w:pPr>
      <w:r>
        <w:t xml:space="preserve">4.2 Agenda et rendez-vous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220"/>
      </w:tblGrid>
      <w:tr>
        <w:trPr>
          <w:tblHeader/>
        </w:trPr>
        <w:tc>
          <w:tcPr>
            <w:tcW w:type="dxa" w:w="20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220"/>
            <w:shd w:fill="F2820F" w:val="clear"/>
            <w:tcMar>
              <w:top w:type="dxa" w:w="80"/>
              <w:left w:type="dxa" w:w="100"/>
              <w:bottom w:type="dxa" w:w="80"/>
              <w:right w:type="dxa" w:w="100"/>
            </w:tcMar>
          </w:tcPr>
          <w:p>
            <w:r>
              <w:rPr>
                <w:b/>
                <w:bCs/>
                <w:color w:val="FFFFFF"/>
                <w:sz w:val="19"/>
                <w:szCs w:val="19"/>
              </w:rPr>
              <w:t xml:space="preserve">Champs clés</w:t>
            </w:r>
          </w:p>
        </w:tc>
      </w:tr>
      <w:tr>
        <w:tc>
          <w:tcPr>
            <w:tcW w:type="dxa" w:w="2000"/>
            <w:tcMar>
              <w:top w:type="dxa" w:w="60"/>
              <w:left w:type="dxa" w:w="100"/>
              <w:bottom w:type="dxa" w:w="60"/>
              <w:right w:type="dxa" w:w="100"/>
            </w:tcMar>
          </w:tcPr>
          <w:p>
            <w:r>
              <w:rPr>
                <w:sz w:val="19"/>
                <w:szCs w:val="19"/>
              </w:rPr>
              <w:t xml:space="preserve">availabilities</w:t>
            </w:r>
          </w:p>
        </w:tc>
        <w:tc>
          <w:tcPr>
            <w:tcW w:type="dxa" w:w="3800"/>
            <w:tcMar>
              <w:top w:type="dxa" w:w="60"/>
              <w:left w:type="dxa" w:w="100"/>
              <w:bottom w:type="dxa" w:w="60"/>
              <w:right w:type="dxa" w:w="100"/>
            </w:tcMar>
          </w:tcPr>
          <w:p>
            <w:r>
              <w:rPr>
                <w:sz w:val="19"/>
                <w:szCs w:val="19"/>
              </w:rPr>
              <w:t xml:space="preserve">Créneaux récurrents hebdomadaires d'un praticien</w:t>
            </w:r>
          </w:p>
        </w:tc>
        <w:tc>
          <w:tcPr>
            <w:tcW w:type="dxa" w:w="3220"/>
            <w:tcMar>
              <w:top w:type="dxa" w:w="60"/>
              <w:left w:type="dxa" w:w="100"/>
              <w:bottom w:type="dxa" w:w="60"/>
              <w:right w:type="dxa" w:w="100"/>
            </w:tcMar>
          </w:tcPr>
          <w:p>
            <w:r>
              <w:rPr>
                <w:sz w:val="19"/>
                <w:szCs w:val="19"/>
              </w:rPr>
              <w:t xml:space="preserve">doctor_id, day_of_week, start_time, end_time, slot_duration_minutes</w:t>
            </w:r>
          </w:p>
        </w:tc>
      </w:tr>
      <w:tr>
        <w:tc>
          <w:tcPr>
            <w:tcW w:type="dxa" w:w="2000"/>
            <w:tcMar>
              <w:top w:type="dxa" w:w="60"/>
              <w:left w:type="dxa" w:w="100"/>
              <w:bottom w:type="dxa" w:w="60"/>
              <w:right w:type="dxa" w:w="100"/>
            </w:tcMar>
          </w:tcPr>
          <w:p>
            <w:r>
              <w:rPr>
                <w:sz w:val="19"/>
                <w:szCs w:val="19"/>
              </w:rPr>
              <w:t xml:space="preserve">blocked_slots</w:t>
            </w:r>
          </w:p>
        </w:tc>
        <w:tc>
          <w:tcPr>
            <w:tcW w:type="dxa" w:w="3800"/>
            <w:tcMar>
              <w:top w:type="dxa" w:w="60"/>
              <w:left w:type="dxa" w:w="100"/>
              <w:bottom w:type="dxa" w:w="60"/>
              <w:right w:type="dxa" w:w="100"/>
            </w:tcMar>
          </w:tcPr>
          <w:p>
            <w:r>
              <w:rPr>
                <w:sz w:val="19"/>
                <w:szCs w:val="19"/>
              </w:rPr>
              <w:t xml:space="preserve">Périodes bloquées (congés, indisponibilités ponctuelles)</w:t>
            </w:r>
          </w:p>
        </w:tc>
        <w:tc>
          <w:tcPr>
            <w:tcW w:type="dxa" w:w="3220"/>
            <w:tcMar>
              <w:top w:type="dxa" w:w="60"/>
              <w:left w:type="dxa" w:w="100"/>
              <w:bottom w:type="dxa" w:w="60"/>
              <w:right w:type="dxa" w:w="100"/>
            </w:tcMar>
          </w:tcPr>
          <w:p>
            <w:r>
              <w:rPr>
                <w:sz w:val="19"/>
                <w:szCs w:val="19"/>
              </w:rPr>
              <w:t xml:space="preserve">doctor_id, start_at, end_at</w:t>
            </w:r>
          </w:p>
        </w:tc>
      </w:tr>
      <w:tr>
        <w:tc>
          <w:tcPr>
            <w:tcW w:type="dxa" w:w="2000"/>
            <w:tcMar>
              <w:top w:type="dxa" w:w="60"/>
              <w:left w:type="dxa" w:w="100"/>
              <w:bottom w:type="dxa" w:w="60"/>
              <w:right w:type="dxa" w:w="100"/>
            </w:tcMar>
          </w:tcPr>
          <w:p>
            <w:r>
              <w:rPr>
                <w:sz w:val="19"/>
                <w:szCs w:val="19"/>
              </w:rPr>
              <w:t xml:space="preserve">appointments</w:t>
            </w:r>
          </w:p>
        </w:tc>
        <w:tc>
          <w:tcPr>
            <w:tcW w:type="dxa" w:w="3800"/>
            <w:tcMar>
              <w:top w:type="dxa" w:w="60"/>
              <w:left w:type="dxa" w:w="100"/>
              <w:bottom w:type="dxa" w:w="60"/>
              <w:right w:type="dxa" w:w="100"/>
            </w:tcMar>
          </w:tcPr>
          <w:p>
            <w:r>
              <w:rPr>
                <w:sz w:val="19"/>
                <w:szCs w:val="19"/>
              </w:rPr>
              <w:t xml:space="preserve">Rendez-vous</w:t>
            </w:r>
          </w:p>
        </w:tc>
        <w:tc>
          <w:tcPr>
            <w:tcW w:type="dxa" w:w="3220"/>
            <w:tcMar>
              <w:top w:type="dxa" w:w="60"/>
              <w:left w:type="dxa" w:w="100"/>
              <w:bottom w:type="dxa" w:w="60"/>
              <w:right w:type="dxa" w:w="100"/>
            </w:tcMar>
          </w:tcPr>
          <w:p>
            <w:r>
              <w:rPr>
                <w:sz w:val="19"/>
                <w:szCs w:val="19"/>
              </w:rPr>
              <w:t xml:space="preserve">id, patient_id, doctor_id, start_at, status (pending / confirmed / cancelled / completed / no_show), reason, animal_id (lien historique unique, nullable)</w:t>
            </w:r>
          </w:p>
        </w:tc>
      </w:tr>
      <w:tr>
        <w:tc>
          <w:tcPr>
            <w:tcW w:type="dxa" w:w="2000"/>
            <w:tcMar>
              <w:top w:type="dxa" w:w="60"/>
              <w:left w:type="dxa" w:w="100"/>
              <w:bottom w:type="dxa" w:w="60"/>
              <w:right w:type="dxa" w:w="100"/>
            </w:tcMar>
          </w:tcPr>
          <w:p>
            <w:r>
              <w:rPr>
                <w:sz w:val="19"/>
                <w:szCs w:val="19"/>
              </w:rPr>
              <w:t xml:space="preserve">appointment_animals</w:t>
            </w:r>
          </w:p>
        </w:tc>
        <w:tc>
          <w:tcPr>
            <w:tcW w:type="dxa" w:w="3800"/>
            <w:tcMar>
              <w:top w:type="dxa" w:w="60"/>
              <w:left w:type="dxa" w:w="100"/>
              <w:bottom w:type="dxa" w:w="60"/>
              <w:right w:type="dxa" w:w="100"/>
            </w:tcMar>
          </w:tcPr>
          <w:p>
            <w:r>
              <w:rPr>
                <w:sz w:val="19"/>
                <w:szCs w:val="19"/>
              </w:rPr>
              <w:t xml:space="preserve">Table de jonction — un RDV peut concerner plusieurs animaux</w:t>
            </w:r>
          </w:p>
        </w:tc>
        <w:tc>
          <w:tcPr>
            <w:tcW w:type="dxa" w:w="3220"/>
            <w:tcMar>
              <w:top w:type="dxa" w:w="60"/>
              <w:left w:type="dxa" w:w="100"/>
              <w:bottom w:type="dxa" w:w="60"/>
              <w:right w:type="dxa" w:w="100"/>
            </w:tcMar>
          </w:tcPr>
          <w:p>
            <w:r>
              <w:rPr>
                <w:sz w:val="19"/>
                <w:szCs w:val="19"/>
              </w:rPr>
              <w:t xml:space="preserve">appointment_id, animal_id</w:t>
            </w:r>
          </w:p>
        </w:tc>
      </w:tr>
    </w:tbl>
    <w:p>
      <w:pPr>
        <w:spacing w:after="160" w:line="300"/>
      </w:pPr>
      <w:r>
        <w:t xml:space="preserve">La table appointments porte une contrainte unique sur (doctor_id, start_at), empêchant tout double rendez-vous au même horaire pour un même praticien. Les créneaux disponibles ne sont pas stockés : ils sont calculés côté client par le hook useAvailableSlots, qui croise les disponibilités récurrentes, le RPC get_booked_slots (créneaux déjà pris) et les blocked_slots, en itérant par tranches de slot_duration_minutes. Un délai de battement minimum de 15 minutes est appliqué aux créneaux du jour même : un créneau qui commence dans moins de 15 minutes n'est plus proposé, le reste de la journée restant normalement disponible.</w:t>
      </w:r>
    </w:p>
    <w:p>
      <w:pPr>
        <w:pStyle w:val="Heading2"/>
        <w:spacing w:after="150" w:before="300"/>
      </w:pPr>
      <w:r>
        <w:t xml:space="preserve">4.3 Dossier de santé animal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Table</w:t>
            </w:r>
          </w:p>
        </w:tc>
        <w:tc>
          <w:tcPr>
            <w:tcW w:type="dxa" w:w="36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400"/>
            <w:tcMar>
              <w:top w:type="dxa" w:w="60"/>
              <w:left w:type="dxa" w:w="100"/>
              <w:bottom w:type="dxa" w:w="60"/>
              <w:right w:type="dxa" w:w="100"/>
            </w:tcMar>
          </w:tcPr>
          <w:p>
            <w:r>
              <w:rPr>
                <w:sz w:val="19"/>
                <w:szCs w:val="19"/>
              </w:rPr>
              <w:t xml:space="preserve">animals</w:t>
            </w:r>
          </w:p>
        </w:tc>
        <w:tc>
          <w:tcPr>
            <w:tcW w:type="dxa" w:w="3600"/>
            <w:tcMar>
              <w:top w:type="dxa" w:w="60"/>
              <w:left w:type="dxa" w:w="100"/>
              <w:bottom w:type="dxa" w:w="60"/>
              <w:right w:type="dxa" w:w="100"/>
            </w:tcMar>
          </w:tcPr>
          <w:p>
            <w:r>
              <w:rPr>
                <w:sz w:val="19"/>
                <w:szCs w:val="19"/>
              </w:rPr>
              <w:t xml:space="preserve">Fiche d'un animal</w:t>
            </w:r>
          </w:p>
        </w:tc>
        <w:tc>
          <w:tcPr>
            <w:tcW w:type="dxa" w:w="3020"/>
            <w:tcMar>
              <w:top w:type="dxa" w:w="60"/>
              <w:left w:type="dxa" w:w="100"/>
              <w:bottom w:type="dxa" w:w="60"/>
              <w:right w:type="dxa" w:w="100"/>
            </w:tcMar>
          </w:tcPr>
          <w:p>
            <w:r>
              <w:rPr>
                <w:sz w:val="19"/>
                <w:szCs w:val="19"/>
              </w:rPr>
              <w:t xml:space="preserve">id, owner_id, name, species, breed, birth_date, weight, photo_url, tattoo_number</w:t>
            </w:r>
          </w:p>
        </w:tc>
      </w:tr>
      <w:tr>
        <w:tc>
          <w:tcPr>
            <w:tcW w:type="dxa" w:w="2400"/>
            <w:tcMar>
              <w:top w:type="dxa" w:w="60"/>
              <w:left w:type="dxa" w:w="100"/>
              <w:bottom w:type="dxa" w:w="60"/>
              <w:right w:type="dxa" w:w="100"/>
            </w:tcMar>
          </w:tcPr>
          <w:p>
            <w:r>
              <w:rPr>
                <w:sz w:val="19"/>
                <w:szCs w:val="19"/>
              </w:rPr>
              <w:t xml:space="preserve">vaccines</w:t>
            </w:r>
          </w:p>
        </w:tc>
        <w:tc>
          <w:tcPr>
            <w:tcW w:type="dxa" w:w="3600"/>
            <w:tcMar>
              <w:top w:type="dxa" w:w="60"/>
              <w:left w:type="dxa" w:w="100"/>
              <w:bottom w:type="dxa" w:w="60"/>
              <w:right w:type="dxa" w:w="100"/>
            </w:tcMar>
          </w:tcPr>
          <w:p>
            <w:r>
              <w:rPr>
                <w:sz w:val="19"/>
                <w:szCs w:val="19"/>
              </w:rPr>
              <w:t xml:space="preserve">Historique vaccinal</w:t>
            </w:r>
          </w:p>
        </w:tc>
        <w:tc>
          <w:tcPr>
            <w:tcW w:type="dxa" w:w="3020"/>
            <w:tcMar>
              <w:top w:type="dxa" w:w="60"/>
              <w:left w:type="dxa" w:w="100"/>
              <w:bottom w:type="dxa" w:w="60"/>
              <w:right w:type="dxa" w:w="100"/>
            </w:tcMar>
          </w:tcPr>
          <w:p>
            <w:r>
              <w:rPr>
                <w:sz w:val="19"/>
                <w:szCs w:val="19"/>
              </w:rPr>
              <w:t xml:space="preserve">id, animal_id, name, administered_by, date, next_due_date</w:t>
            </w:r>
          </w:p>
        </w:tc>
      </w:tr>
      <w:tr>
        <w:tc>
          <w:tcPr>
            <w:tcW w:type="dxa" w:w="2400"/>
            <w:tcMar>
              <w:top w:type="dxa" w:w="60"/>
              <w:left w:type="dxa" w:w="100"/>
              <w:bottom w:type="dxa" w:w="60"/>
              <w:right w:type="dxa" w:w="100"/>
            </w:tcMar>
          </w:tcPr>
          <w:p>
            <w:r>
              <w:rPr>
                <w:sz w:val="19"/>
                <w:szCs w:val="19"/>
              </w:rPr>
              <w:t xml:space="preserve">weight_tracking</w:t>
            </w:r>
          </w:p>
        </w:tc>
        <w:tc>
          <w:tcPr>
            <w:tcW w:type="dxa" w:w="3600"/>
            <w:tcMar>
              <w:top w:type="dxa" w:w="60"/>
              <w:left w:type="dxa" w:w="100"/>
              <w:bottom w:type="dxa" w:w="60"/>
              <w:right w:type="dxa" w:w="100"/>
            </w:tcMar>
          </w:tcPr>
          <w:p>
            <w:r>
              <w:rPr>
                <w:sz w:val="19"/>
                <w:szCs w:val="19"/>
              </w:rPr>
              <w:t xml:space="preserve">Suivi de poids (courbe)</w:t>
            </w:r>
          </w:p>
        </w:tc>
        <w:tc>
          <w:tcPr>
            <w:tcW w:type="dxa" w:w="3020"/>
            <w:tcMar>
              <w:top w:type="dxa" w:w="60"/>
              <w:left w:type="dxa" w:w="100"/>
              <w:bottom w:type="dxa" w:w="60"/>
              <w:right w:type="dxa" w:w="100"/>
            </w:tcMar>
          </w:tcPr>
          <w:p>
            <w:r>
              <w:rPr>
                <w:sz w:val="19"/>
                <w:szCs w:val="19"/>
              </w:rPr>
              <w:t xml:space="preserve">id, animal_id, weight, date</w:t>
            </w:r>
          </w:p>
        </w:tc>
      </w:tr>
      <w:tr>
        <w:tc>
          <w:tcPr>
            <w:tcW w:type="dxa" w:w="2400"/>
            <w:tcMar>
              <w:top w:type="dxa" w:w="60"/>
              <w:left w:type="dxa" w:w="100"/>
              <w:bottom w:type="dxa" w:w="60"/>
              <w:right w:type="dxa" w:w="100"/>
            </w:tcMar>
          </w:tcPr>
          <w:p>
            <w:r>
              <w:rPr>
                <w:sz w:val="19"/>
                <w:szCs w:val="19"/>
              </w:rPr>
              <w:t xml:space="preserve">health_records</w:t>
            </w:r>
          </w:p>
        </w:tc>
        <w:tc>
          <w:tcPr>
            <w:tcW w:type="dxa" w:w="3600"/>
            <w:tcMar>
              <w:top w:type="dxa" w:w="60"/>
              <w:left w:type="dxa" w:w="100"/>
              <w:bottom w:type="dxa" w:w="60"/>
              <w:right w:type="dxa" w:w="100"/>
            </w:tcMar>
          </w:tcPr>
          <w:p>
            <w:r>
              <w:rPr>
                <w:sz w:val="19"/>
                <w:szCs w:val="19"/>
              </w:rPr>
              <w:t xml:space="preserve">Actes de soin (7 types fixes)</w:t>
            </w:r>
          </w:p>
        </w:tc>
        <w:tc>
          <w:tcPr>
            <w:tcW w:type="dxa" w:w="3020"/>
            <w:tcMar>
              <w:top w:type="dxa" w:w="60"/>
              <w:left w:type="dxa" w:w="100"/>
              <w:bottom w:type="dxa" w:w="60"/>
              <w:right w:type="dxa" w:w="100"/>
            </w:tcMar>
          </w:tcPr>
          <w:p>
            <w:r>
              <w:rPr>
                <w:sz w:val="19"/>
                <w:szCs w:val="19"/>
              </w:rPr>
              <w:t xml:space="preserve">id, animal_id, type, professional_name, date, notes</w:t>
            </w:r>
          </w:p>
        </w:tc>
      </w:tr>
      <w:tr>
        <w:tc>
          <w:tcPr>
            <w:tcW w:type="dxa" w:w="2400"/>
            <w:tcMar>
              <w:top w:type="dxa" w:w="60"/>
              <w:left w:type="dxa" w:w="100"/>
              <w:bottom w:type="dxa" w:w="60"/>
              <w:right w:type="dxa" w:w="100"/>
            </w:tcMar>
          </w:tcPr>
          <w:p>
            <w:r>
              <w:rPr>
                <w:sz w:val="19"/>
                <w:szCs w:val="19"/>
              </w:rPr>
              <w:t xml:space="preserve">animal_documents</w:t>
            </w:r>
          </w:p>
        </w:tc>
        <w:tc>
          <w:tcPr>
            <w:tcW w:type="dxa" w:w="3600"/>
            <w:tcMar>
              <w:top w:type="dxa" w:w="60"/>
              <w:left w:type="dxa" w:w="100"/>
              <w:bottom w:type="dxa" w:w="60"/>
              <w:right w:type="dxa" w:w="100"/>
            </w:tcMar>
          </w:tcPr>
          <w:p>
            <w:r>
              <w:rPr>
                <w:sz w:val="19"/>
                <w:szCs w:val="19"/>
              </w:rPr>
              <w:t xml:space="preserve">Documents attachés en permanence au dossier de l'animal</w:t>
            </w:r>
          </w:p>
        </w:tc>
        <w:tc>
          <w:tcPr>
            <w:tcW w:type="dxa" w:w="3020"/>
            <w:tcMar>
              <w:top w:type="dxa" w:w="60"/>
              <w:left w:type="dxa" w:w="100"/>
              <w:bottom w:type="dxa" w:w="60"/>
              <w:right w:type="dxa" w:w="100"/>
            </w:tcMar>
          </w:tcPr>
          <w:p>
            <w:r>
              <w:rPr>
                <w:sz w:val="19"/>
                <w:szCs w:val="19"/>
              </w:rPr>
              <w:t xml:space="preserve">id, animal_id, uploaded_by, file_url, file_name, file_type, label, document_type</w:t>
            </w:r>
          </w:p>
        </w:tc>
      </w:tr>
      <w:tr>
        <w:tc>
          <w:tcPr>
            <w:tcW w:type="dxa" w:w="2400"/>
            <w:tcMar>
              <w:top w:type="dxa" w:w="60"/>
              <w:left w:type="dxa" w:w="100"/>
              <w:bottom w:type="dxa" w:w="60"/>
              <w:right w:type="dxa" w:w="100"/>
            </w:tcMar>
          </w:tcPr>
          <w:p>
            <w:r>
              <w:rPr>
                <w:sz w:val="19"/>
                <w:szCs w:val="19"/>
              </w:rPr>
              <w:t xml:space="preserve">appointment_documents</w:t>
            </w:r>
          </w:p>
        </w:tc>
        <w:tc>
          <w:tcPr>
            <w:tcW w:type="dxa" w:w="3600"/>
            <w:tcMar>
              <w:top w:type="dxa" w:w="60"/>
              <w:left w:type="dxa" w:w="100"/>
              <w:bottom w:type="dxa" w:w="60"/>
              <w:right w:type="dxa" w:w="100"/>
            </w:tcMar>
          </w:tcPr>
          <w:p>
            <w:r>
              <w:rPr>
                <w:sz w:val="19"/>
                <w:szCs w:val="19"/>
              </w:rPr>
              <w:t xml:space="preserve">Documents attachés à un rendez-vous précis</w:t>
            </w:r>
          </w:p>
        </w:tc>
        <w:tc>
          <w:tcPr>
            <w:tcW w:type="dxa" w:w="3020"/>
            <w:tcMar>
              <w:top w:type="dxa" w:w="60"/>
              <w:left w:type="dxa" w:w="100"/>
              <w:bottom w:type="dxa" w:w="60"/>
              <w:right w:type="dxa" w:w="100"/>
            </w:tcMar>
          </w:tcPr>
          <w:p>
            <w:r>
              <w:rPr>
                <w:sz w:val="19"/>
                <w:szCs w:val="19"/>
              </w:rPr>
              <w:t xml:space="preserve">id, appointment_id, uploaded_by, file_url, file_name, file_type</w:t>
            </w:r>
          </w:p>
        </w:tc>
      </w:tr>
    </w:tbl>
    <w:p>
      <w:pPr>
        <w:spacing w:after="160" w:line="300"/>
      </w:pPr>
      <w:r>
        <w:t xml:space="preserve">Les 7 types fixes de health_records sont : Consultation, Chirurgie, Traitement, Toilettage, Ostéopathie, Analyse, Autre. Les types de document (document_type, migration 032) sont : ordonnance, analyse, radio, certificat, autre.</w:t>
      </w:r>
    </w:p>
    <w:p>
      <w:pPr>
        <w:pStyle w:val="Heading2"/>
        <w:spacing w:after="150" w:before="300"/>
      </w:pPr>
      <w:r>
        <w:t xml:space="preserve">4.4 Cabinets (structures multi-praticiens)</w:t>
      </w:r>
    </w:p>
    <w:p>
      <w:pPr>
        <w:spacing w:after="160" w:line="300"/>
      </w:pPr>
      <w:r>
        <w:t>La table clinics regroupe plusieurs praticiens sous une même structure (adresse, logo, tarifs et créneaux partagés — voir section 6.6), et clinic_members y rattache les comptes doctor membres. Un accès secrétariat (rôle secretary) est distinct : la table clinic_staff associe un compte secretary à un cabinet. Depuis le 22 juillet 2026, cet accès est toujours un compte dédié avec ses propres identifiants, créé par le propriétaire du cabinet depuis l'Edge Function invite-clinic-secretary — jamais un rattachement à un compte praticien ou patient existant, pour que le tableau de bord secrétariat (/dashboard/secretariat) reste un espace réellement séparé plutôt qu'un onglet supplémentaire du dashboard praticien. Depuis le 23 juillet 2026, l'identifiant de connexion Supabase Auth n'est plus l'email tapé par le praticien mais un code généré (ex. CAB4X9QZ, converti en email synthétique code@secretariat.animeaux.internal en interne) : l'email saisi à l'invitation ne sert plus qu'à l'envoi des identifiants par courrier (jamais à la connexion), ce qui rend le rattachement à un compte existant impossible par construction et évite toute confusion avec un vrai email personnel. Le formulaire /login accepte les deux formats (email ou identifiant généré) dans le même champ.</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0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3800"/>
            <w:shd w:fill="F2820F" w:val="clear"/>
            <w:tcMar>
              <w:top w:type="dxa" w:w="80"/>
              <w:left w:type="dxa" w:w="100"/>
              <w:bottom w:type="dxa" w:w="80"/>
              <w:right w:type="dxa" w:w="100"/>
            </w:tcMar>
          </w:tcPr>
          <w:p>
            <w:r>
              <w:rPr>
                <w:b/>
                <w:bCs/>
                <w:color w:val="FFFFFF"/>
                <w:sz w:val="19"/>
                <w:szCs w:val="19"/>
              </w:rPr>
              <w:t xml:space="preserve">Rôle</w:t>
            </w:r>
          </w:p>
        </w:tc>
        <w:tc>
          <w:tcPr>
            <w:tcW w:type="dxa" w:w="30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clinics</w:t>
            </w:r>
          </w:p>
        </w:tc>
        <w:tc>
          <w:tcPr>
            <w:tcW w:type="dxa" w:w="3800"/>
            <w:tcMar>
              <w:top w:type="dxa" w:w="60"/>
              <w:left w:type="dxa" w:w="100"/>
              <w:bottom w:type="dxa" w:w="60"/>
              <w:right w:type="dxa" w:w="100"/>
            </w:tcMar>
          </w:tcPr>
          <w:p>
            <w:r>
              <w:rPr>
                <w:sz w:val="19"/>
                <w:szCs w:val="19"/>
              </w:rPr>
              <w:t xml:space="preserve">Structure regroupant plusieurs praticiens</w:t>
            </w:r>
          </w:p>
        </w:tc>
        <w:tc>
          <w:tcPr>
            <w:tcW w:type="dxa" w:w="3020"/>
            <w:tcMar>
              <w:top w:type="dxa" w:w="60"/>
              <w:left w:type="dxa" w:w="100"/>
              <w:bottom w:type="dxa" w:w="60"/>
              <w:right w:type="dxa" w:w="100"/>
            </w:tcMar>
          </w:tcPr>
          <w:p>
            <w:r>
              <w:rPr>
                <w:sz w:val="19"/>
                <w:szCs w:val="19"/>
              </w:rPr>
              <w:t xml:space="preserve">id, name, address, city, phone, logo_url, invite_code, owner_id</w:t>
            </w:r>
          </w:p>
        </w:tc>
      </w:tr>
      <w:tr>
        <w:tc>
          <w:tcPr>
            <w:tcW w:type="dxa" w:w="2200"/>
            <w:tcMar>
              <w:top w:type="dxa" w:w="60"/>
              <w:left w:type="dxa" w:w="100"/>
              <w:bottom w:type="dxa" w:w="60"/>
              <w:right w:type="dxa" w:w="100"/>
            </w:tcMar>
          </w:tcPr>
          <w:p>
            <w:r>
              <w:rPr>
                <w:sz w:val="19"/>
                <w:szCs w:val="19"/>
              </w:rPr>
              <w:t xml:space="preserve">clinic_members</w:t>
            </w:r>
          </w:p>
        </w:tc>
        <w:tc>
          <w:tcPr>
            <w:tcW w:type="dxa" w:w="3800"/>
            <w:tcMar>
              <w:top w:type="dxa" w:w="60"/>
              <w:left w:type="dxa" w:w="100"/>
              <w:bottom w:type="dxa" w:w="60"/>
              <w:right w:type="dxa" w:w="100"/>
            </w:tcMar>
          </w:tcPr>
          <w:p>
            <w:r>
              <w:rPr>
                <w:sz w:val="19"/>
                <w:szCs w:val="19"/>
              </w:rPr>
              <w:t xml:space="preserve">Appartenance d'un praticien à un cabinet</w:t>
            </w:r>
          </w:p>
        </w:tc>
        <w:tc>
          <w:tcPr>
            <w:tcW w:type="dxa" w:w="3020"/>
            <w:tcMar>
              <w:top w:type="dxa" w:w="60"/>
              <w:left w:type="dxa" w:w="100"/>
              <w:bottom w:type="dxa" w:w="60"/>
              <w:right w:type="dxa" w:w="100"/>
            </w:tcMar>
          </w:tcPr>
          <w:p>
            <w:r>
              <w:rPr>
                <w:sz w:val="19"/>
                <w:szCs w:val="19"/>
              </w:rPr>
              <w:t xml:space="preserve">id, clinic_id, doctor_id</w:t>
            </w:r>
          </w:p>
        </w:tc>
      </w:tr>
      <w:tr>
        <w:tc>
          <w:tcPr>
            <w:tcW w:type="dxa" w:w="2200"/>
            <w:tcMar>
              <w:top w:type="dxa" w:w="60"/>
              <w:left w:type="dxa" w:w="100"/>
              <w:bottom w:type="dxa" w:w="60"/>
              <w:right w:type="dxa" w:w="100"/>
            </w:tcMar>
          </w:tcPr>
          <w:p>
            <w:r>
              <w:rPr>
                <w:sz w:val="19"/>
                <w:szCs w:val="19"/>
              </w:rPr>
              <w:t xml:space="preserve">clinic_services</w:t>
            </w:r>
          </w:p>
        </w:tc>
        <w:tc>
          <w:tcPr>
            <w:tcW w:type="dxa" w:w="3800"/>
            <w:tcMar>
              <w:top w:type="dxa" w:w="60"/>
              <w:left w:type="dxa" w:w="100"/>
              <w:bottom w:type="dxa" w:w="60"/>
              <w:right w:type="dxa" w:w="100"/>
            </w:tcMar>
          </w:tcPr>
          <w:p>
            <w:r>
              <w:rPr>
                <w:sz w:val="19"/>
                <w:szCs w:val="19"/>
              </w:rPr>
              <w:t xml:space="preserve">Tarifs, propres à chaque praticien du cabinet — la même table sert aussi aux tarifs personnels des praticiens sans cabinet (clinic_id nullable depuis la migration 045)</w:t>
            </w:r>
          </w:p>
        </w:tc>
        <w:tc>
          <w:tcPr>
            <w:tcW w:type="dxa" w:w="3020"/>
            <w:tcMar>
              <w:top w:type="dxa" w:w="60"/>
              <w:left w:type="dxa" w:w="100"/>
              <w:bottom w:type="dxa" w:w="60"/>
              <w:right w:type="dxa" w:w="100"/>
            </w:tcMar>
          </w:tcPr>
          <w:p>
            <w:r>
              <w:rPr>
                <w:sz w:val="19"/>
                <w:szCs w:val="19"/>
              </w:rPr>
              <w:t xml:space="preserve">id, clinic_id, doctor_id, name, price, duration</w:t>
            </w:r>
          </w:p>
        </w:tc>
      </w:tr>
    </w:tbl>
    <w:p>
      <w:pPr>
        <w:pStyle w:val="Heading2"/>
        <w:spacing w:after="150" w:before="300"/>
      </w:pPr>
      <w:r>
        <w:t xml:space="preserve">4.5 Interactions et système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20"/>
      </w:tblGrid>
      <w:tr>
        <w:trPr>
          <w:tblHeader/>
        </w:trPr>
        <w:tc>
          <w:tcPr>
            <w:tcW w:type="dxa" w:w="2200"/>
            <w:shd w:fill="F2820F" w:val="clear"/>
            <w:tcMar>
              <w:top w:type="dxa" w:w="80"/>
              <w:left w:type="dxa" w:w="100"/>
              <w:bottom w:type="dxa" w:w="80"/>
              <w:right w:type="dxa" w:w="100"/>
            </w:tcMar>
          </w:tcPr>
          <w:p>
            <w:r>
              <w:rPr>
                <w:b/>
                <w:bCs/>
                <w:color w:val="FFFFFF"/>
                <w:sz w:val="19"/>
                <w:szCs w:val="19"/>
              </w:rPr>
              <w:t xml:space="preserve">Table</w:t>
            </w:r>
          </w:p>
        </w:tc>
        <w:tc>
          <w:tcPr>
            <w:tcW w:type="dxa" w:w="4000"/>
            <w:shd w:fill="F2820F" w:val="clear"/>
            <w:tcMar>
              <w:top w:type="dxa" w:w="80"/>
              <w:left w:type="dxa" w:w="100"/>
              <w:bottom w:type="dxa" w:w="80"/>
              <w:right w:type="dxa" w:w="100"/>
            </w:tcMar>
          </w:tcPr>
          <w:p>
            <w:r>
              <w:rPr>
                <w:b/>
                <w:bCs/>
                <w:color w:val="FFFFFF"/>
                <w:sz w:val="19"/>
                <w:szCs w:val="19"/>
              </w:rPr>
              <w:t xml:space="preserve">Rôle</w:t>
            </w:r>
          </w:p>
        </w:tc>
        <w:tc>
          <w:tcPr>
            <w:tcW w:type="dxa" w:w="2820"/>
            <w:shd w:fill="F2820F" w:val="clear"/>
            <w:tcMar>
              <w:top w:type="dxa" w:w="80"/>
              <w:left w:type="dxa" w:w="100"/>
              <w:bottom w:type="dxa" w:w="80"/>
              <w:right w:type="dxa" w:w="100"/>
            </w:tcMar>
          </w:tcPr>
          <w:p>
            <w:r>
              <w:rPr>
                <w:b/>
                <w:bCs/>
                <w:color w:val="FFFFFF"/>
                <w:sz w:val="19"/>
                <w:szCs w:val="19"/>
              </w:rPr>
              <w:t xml:space="preserve">Champs clés</w:t>
            </w:r>
          </w:p>
        </w:tc>
      </w:tr>
      <w:tr>
        <w:tc>
          <w:tcPr>
            <w:tcW w:type="dxa" w:w="2200"/>
            <w:tcMar>
              <w:top w:type="dxa" w:w="60"/>
              <w:left w:type="dxa" w:w="100"/>
              <w:bottom w:type="dxa" w:w="60"/>
              <w:right w:type="dxa" w:w="100"/>
            </w:tcMar>
          </w:tcPr>
          <w:p>
            <w:r>
              <w:rPr>
                <w:sz w:val="19"/>
                <w:szCs w:val="19"/>
              </w:rPr>
              <w:t xml:space="preserve">reviews</w:t>
            </w:r>
          </w:p>
        </w:tc>
        <w:tc>
          <w:tcPr>
            <w:tcW w:type="dxa" w:w="4000"/>
            <w:tcMar>
              <w:top w:type="dxa" w:w="60"/>
              <w:left w:type="dxa" w:w="100"/>
              <w:bottom w:type="dxa" w:w="60"/>
              <w:right w:type="dxa" w:w="100"/>
            </w:tcMar>
          </w:tcPr>
          <w:p>
            <w:r>
              <w:rPr>
                <w:sz w:val="19"/>
                <w:szCs w:val="19"/>
              </w:rPr>
              <w:t xml:space="preserve">Avis patients (indépendants de tout RDV, non limités en nombre)</w:t>
            </w:r>
          </w:p>
        </w:tc>
        <w:tc>
          <w:tcPr>
            <w:tcW w:type="dxa" w:w="2820"/>
            <w:tcMar>
              <w:top w:type="dxa" w:w="60"/>
              <w:left w:type="dxa" w:w="100"/>
              <w:bottom w:type="dxa" w:w="60"/>
              <w:right w:type="dxa" w:w="100"/>
            </w:tcMar>
          </w:tcPr>
          <w:p>
            <w:r>
              <w:rPr>
                <w:sz w:val="19"/>
                <w:szCs w:val="19"/>
              </w:rPr>
              <w:t xml:space="preserve">id, doctor_id, patient_id, rating, comment</w:t>
            </w:r>
          </w:p>
        </w:tc>
      </w:tr>
      <w:tr>
        <w:tc>
          <w:tcPr>
            <w:tcW w:type="dxa" w:w="2200"/>
            <w:tcMar>
              <w:top w:type="dxa" w:w="60"/>
              <w:left w:type="dxa" w:w="100"/>
              <w:bottom w:type="dxa" w:w="60"/>
              <w:right w:type="dxa" w:w="100"/>
            </w:tcMar>
          </w:tcPr>
          <w:p>
            <w:r>
              <w:rPr>
                <w:sz w:val="19"/>
                <w:szCs w:val="19"/>
              </w:rPr>
              <w:t xml:space="preserve">messages</w:t>
            </w:r>
          </w:p>
        </w:tc>
        <w:tc>
          <w:tcPr>
            <w:tcW w:type="dxa" w:w="4000"/>
            <w:tcMar>
              <w:top w:type="dxa" w:w="60"/>
              <w:left w:type="dxa" w:w="100"/>
              <w:bottom w:type="dxa" w:w="60"/>
              <w:right w:type="dxa" w:w="100"/>
            </w:tcMar>
          </w:tcPr>
          <w:p>
            <w:r>
              <w:rPr>
                <w:sz w:val="19"/>
                <w:szCs w:val="19"/>
              </w:rPr>
              <w:t xml:space="preserve">Messagerie patient ↔ praticien</w:t>
            </w:r>
          </w:p>
        </w:tc>
        <w:tc>
          <w:tcPr>
            <w:tcW w:type="dxa" w:w="2820"/>
            <w:tcMar>
              <w:top w:type="dxa" w:w="60"/>
              <w:left w:type="dxa" w:w="100"/>
              <w:bottom w:type="dxa" w:w="60"/>
              <w:right w:type="dxa" w:w="100"/>
            </w:tcMar>
          </w:tcPr>
          <w:p>
            <w:r>
              <w:rPr>
                <w:sz w:val="19"/>
                <w:szCs w:val="19"/>
              </w:rPr>
              <w:t xml:space="preserve">id, sender_id, receiver_id, content, read</w:t>
            </w:r>
          </w:p>
        </w:tc>
      </w:tr>
      <w:tr>
        <w:tc>
          <w:tcPr>
            <w:tcW w:type="dxa" w:w="2200"/>
            <w:tcMar>
              <w:top w:type="dxa" w:w="60"/>
              <w:left w:type="dxa" w:w="100"/>
              <w:bottom w:type="dxa" w:w="60"/>
              <w:right w:type="dxa" w:w="100"/>
            </w:tcMar>
          </w:tcPr>
          <w:p>
            <w:r>
              <w:rPr>
                <w:sz w:val="19"/>
                <w:szCs w:val="19"/>
              </w:rPr>
              <w:t xml:space="preserve">notifications</w:t>
            </w:r>
          </w:p>
        </w:tc>
        <w:tc>
          <w:tcPr>
            <w:tcW w:type="dxa" w:w="4000"/>
            <w:tcMar>
              <w:top w:type="dxa" w:w="60"/>
              <w:left w:type="dxa" w:w="100"/>
              <w:bottom w:type="dxa" w:w="60"/>
              <w:right w:type="dxa" w:w="100"/>
            </w:tcMar>
          </w:tcPr>
          <w:p>
            <w:r>
              <w:rPr>
                <w:sz w:val="19"/>
                <w:szCs w:val="19"/>
              </w:rPr>
              <w:t xml:space="preserve">Notifications in-app</w:t>
            </w:r>
          </w:p>
        </w:tc>
        <w:tc>
          <w:tcPr>
            <w:tcW w:type="dxa" w:w="2820"/>
            <w:tcMar>
              <w:top w:type="dxa" w:w="60"/>
              <w:left w:type="dxa" w:w="100"/>
              <w:bottom w:type="dxa" w:w="60"/>
              <w:right w:type="dxa" w:w="100"/>
            </w:tcMar>
          </w:tcPr>
          <w:p>
            <w:r>
              <w:rPr>
                <w:sz w:val="19"/>
                <w:szCs w:val="19"/>
              </w:rPr>
              <w:t xml:space="preserve">id, user_id, type, title, body, related_id, read</w:t>
            </w:r>
          </w:p>
        </w:tc>
      </w:tr>
      <w:tr>
        <w:tc>
          <w:tcPr>
            <w:tcW w:type="dxa" w:w="2200"/>
            <w:tcMar>
              <w:top w:type="dxa" w:w="60"/>
              <w:left w:type="dxa" w:w="100"/>
              <w:bottom w:type="dxa" w:w="60"/>
              <w:right w:type="dxa" w:w="100"/>
            </w:tcMar>
          </w:tcPr>
          <w:p>
            <w:r>
              <w:rPr>
                <w:sz w:val="19"/>
                <w:szCs w:val="19"/>
              </w:rPr>
              <w:t xml:space="preserve">specialties</w:t>
            </w:r>
          </w:p>
        </w:tc>
        <w:tc>
          <w:tcPr>
            <w:tcW w:type="dxa" w:w="4000"/>
            <w:tcMar>
              <w:top w:type="dxa" w:w="60"/>
              <w:left w:type="dxa" w:w="100"/>
              <w:bottom w:type="dxa" w:w="60"/>
              <w:right w:type="dxa" w:w="100"/>
            </w:tcMar>
          </w:tcPr>
          <w:p>
            <w:r>
              <w:rPr>
                <w:sz w:val="19"/>
                <w:szCs w:val="19"/>
              </w:rPr>
              <w:t xml:space="preserve">Table de référence pour l'autocomplétion de recherche</w:t>
            </w:r>
          </w:p>
        </w:tc>
        <w:tc>
          <w:tcPr>
            <w:tcW w:type="dxa" w:w="2820"/>
            <w:tcMar>
              <w:top w:type="dxa" w:w="60"/>
              <w:left w:type="dxa" w:w="100"/>
              <w:bottom w:type="dxa" w:w="60"/>
              <w:right w:type="dxa" w:w="100"/>
            </w:tcMar>
          </w:tcPr>
          <w:p>
            <w:r>
              <w:rPr>
                <w:sz w:val="19"/>
                <w:szCs w:val="19"/>
              </w:rPr>
              <w:t xml:space="preserve">id, name</w:t>
            </w:r>
          </w:p>
        </w:tc>
      </w:tr>
    </w:tbl>
    <w:p>
      <w:pPr>
        <w:spacing w:after="160" w:line="300"/>
      </w:pPr>
      <w:r>
        <w:t xml:space="preserve">Un trigger SQL (update_doctor_rating) recalcule automatiquement average_rating et review_count sur la table doctors à chaque insertion, modification ou suppression d'un avis.</w:t>
      </w:r>
    </w:p>
    <w:p>
      <w:pPr>
        <w:pStyle w:val="Heading1"/>
        <w:spacing w:after="200" w:before="400"/>
      </w:pPr>
      <w:r>
        <w:t xml:space="preserve">5. Authentification, rôles et sécurité (RLS)</w:t>
      </w:r>
    </w:p>
    <w:p>
      <w:pPr>
        <w:pStyle w:val="Heading2"/>
        <w:spacing w:after="150" w:before="300"/>
      </w:pPr>
      <w:r>
        <w:t xml:space="preserve">5.1 Fonctions RPC de sécurité (SECURITY DEFINER)</w:t>
      </w:r>
    </w:p>
    <w:p>
      <w:pPr>
        <w:spacing w:after="160" w:line="300"/>
      </w:pPr>
      <w:r>
        <w:t xml:space="preserve">Plusieurs opérations contournent délibérément le Row Level Security via des fonctions PostgreSQL en SECURITY DEFINER, car les politiques RLS strictes sur users/profiles/clinics provoquent des blocages ou des timeouts sur les requêtes directes multi-utilisateurs depuis le client. Ces fonctions constituent la seule voie d'accès légitime aux données concernées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F2820F" w:val="clear"/>
            <w:tcMar>
              <w:top w:type="dxa" w:w="80"/>
              <w:left w:type="dxa" w:w="100"/>
              <w:bottom w:type="dxa" w:w="80"/>
              <w:right w:type="dxa" w:w="100"/>
            </w:tcMar>
          </w:tcPr>
          <w:p>
            <w:r>
              <w:rPr>
                <w:b/>
                <w:bCs/>
                <w:color w:val="FFFFFF"/>
                <w:sz w:val="19"/>
                <w:szCs w:val="19"/>
              </w:rPr>
              <w:t xml:space="preserve">Fonction RPC</w:t>
            </w:r>
          </w:p>
        </w:tc>
        <w:tc>
          <w:tcPr>
            <w:tcW w:type="dxa" w:w="5820"/>
            <w:shd w:fill="F2820F" w:val="clear"/>
            <w:tcMar>
              <w:top w:type="dxa" w:w="80"/>
              <w:left w:type="dxa" w:w="100"/>
              <w:bottom w:type="dxa" w:w="80"/>
              <w:right w:type="dxa" w:w="100"/>
            </w:tcMar>
          </w:tcPr>
          <w:p>
            <w:r>
              <w:rPr>
                <w:b/>
                <w:bCs/>
                <w:color w:val="FFFFFF"/>
                <w:sz w:val="19"/>
                <w:szCs w:val="19"/>
              </w:rPr>
              <w:t xml:space="preserve">Rôle</w:t>
            </w:r>
          </w:p>
        </w:tc>
      </w:tr>
      <w:tr>
        <w:tc>
          <w:tcPr>
            <w:tcW w:type="dxa" w:w="3200"/>
            <w:tcMar>
              <w:top w:type="dxa" w:w="60"/>
              <w:left w:type="dxa" w:w="100"/>
              <w:bottom w:type="dxa" w:w="60"/>
              <w:right w:type="dxa" w:w="100"/>
            </w:tcMar>
          </w:tcPr>
          <w:p>
            <w:r>
              <w:rPr>
                <w:sz w:val="19"/>
                <w:szCs w:val="19"/>
              </w:rPr>
              <w:t xml:space="preserve">get_my_user_data()</w:t>
            </w:r>
          </w:p>
        </w:tc>
        <w:tc>
          <w:tcPr>
            <w:tcW w:type="dxa" w:w="5820"/>
            <w:tcMar>
              <w:top w:type="dxa" w:w="60"/>
              <w:left w:type="dxa" w:w="100"/>
              <w:bottom w:type="dxa" w:w="60"/>
              <w:right w:type="dxa" w:w="100"/>
            </w:tcMar>
          </w:tcPr>
          <w:p>
            <w:r>
              <w:rPr>
                <w:sz w:val="19"/>
                <w:szCs w:val="19"/>
              </w:rPr>
              <w:t xml:space="preserve">Retourne { role, profile } de l'utilisateur connecté. Utilisée à la connexion et dans onAuthStateChange. Ne jamais la remplacer par des requêtes directes sur users/profiles.</w:t>
            </w:r>
          </w:p>
        </w:tc>
      </w:tr>
      <w:tr>
        <w:tc>
          <w:tcPr>
            <w:tcW w:type="dxa" w:w="3200"/>
            <w:tcMar>
              <w:top w:type="dxa" w:w="60"/>
              <w:left w:type="dxa" w:w="100"/>
              <w:bottom w:type="dxa" w:w="60"/>
              <w:right w:type="dxa" w:w="100"/>
            </w:tcMar>
          </w:tcPr>
          <w:p>
            <w:r>
              <w:rPr>
                <w:sz w:val="19"/>
                <w:szCs w:val="19"/>
              </w:rPr>
              <w:t xml:space="preserve">is_admin()</w:t>
            </w:r>
          </w:p>
        </w:tc>
        <w:tc>
          <w:tcPr>
            <w:tcW w:type="dxa" w:w="5820"/>
            <w:tcMar>
              <w:top w:type="dxa" w:w="60"/>
              <w:left w:type="dxa" w:w="100"/>
              <w:bottom w:type="dxa" w:w="60"/>
              <w:right w:type="dxa" w:w="100"/>
            </w:tcMar>
          </w:tcPr>
          <w:p>
            <w:r>
              <w:rPr>
                <w:sz w:val="19"/>
                <w:szCs w:val="19"/>
              </w:rPr>
              <w:t xml:space="preserve">Vérifie si l'utilisateur connecté est administrateur</w:t>
            </w:r>
          </w:p>
        </w:tc>
      </w:tr>
      <w:tr>
        <w:tc>
          <w:tcPr>
            <w:tcW w:type="dxa" w:w="3200"/>
            <w:tcMar>
              <w:top w:type="dxa" w:w="60"/>
              <w:left w:type="dxa" w:w="100"/>
              <w:bottom w:type="dxa" w:w="60"/>
              <w:right w:type="dxa" w:w="100"/>
            </w:tcMar>
          </w:tcPr>
          <w:p>
            <w:r>
              <w:rPr>
                <w:sz w:val="19"/>
                <w:szCs w:val="19"/>
              </w:rPr>
              <w:t xml:space="preserve">is_doctor(uid)</w:t>
            </w:r>
          </w:p>
        </w:tc>
        <w:tc>
          <w:tcPr>
            <w:tcW w:type="dxa" w:w="5820"/>
            <w:tcMar>
              <w:top w:type="dxa" w:w="60"/>
              <w:left w:type="dxa" w:w="100"/>
              <w:bottom w:type="dxa" w:w="60"/>
              <w:right w:type="dxa" w:w="100"/>
            </w:tcMar>
          </w:tcPr>
          <w:p>
            <w:r>
              <w:rPr>
                <w:sz w:val="19"/>
                <w:szCs w:val="19"/>
              </w:rPr>
              <w:t xml:space="preserve">Vérifie si un identifiant utilisateur correspond à un praticien — utilisée dans les policies RLS pour éviter des sous-requêtes récursives</w:t>
            </w:r>
          </w:p>
        </w:tc>
      </w:tr>
      <w:tr>
        <w:tc>
          <w:tcPr>
            <w:tcW w:type="dxa" w:w="3200"/>
            <w:tcMar>
              <w:top w:type="dxa" w:w="60"/>
              <w:left w:type="dxa" w:w="100"/>
              <w:bottom w:type="dxa" w:w="60"/>
              <w:right w:type="dxa" w:w="100"/>
            </w:tcMar>
          </w:tcPr>
          <w:p>
            <w:r>
              <w:rPr>
                <w:sz w:val="19"/>
                <w:szCs w:val="19"/>
              </w:rPr>
              <w:t xml:space="preserve">get_my_doctor_id()</w:t>
            </w:r>
          </w:p>
        </w:tc>
        <w:tc>
          <w:tcPr>
            <w:tcW w:type="dxa" w:w="5820"/>
            <w:tcMar>
              <w:top w:type="dxa" w:w="60"/>
              <w:left w:type="dxa" w:w="100"/>
              <w:bottom w:type="dxa" w:w="60"/>
              <w:right w:type="dxa" w:w="100"/>
            </w:tcMar>
          </w:tcPr>
          <w:p>
            <w:r>
              <w:rPr>
                <w:sz w:val="19"/>
                <w:szCs w:val="19"/>
              </w:rPr>
              <w:t xml:space="preserve">Retourne l'id (table doctors) du praticien connecté</w:t>
            </w:r>
          </w:p>
        </w:tc>
      </w:tr>
      <w:tr>
        <w:tc>
          <w:tcPr>
            <w:tcW w:type="dxa" w:w="3200"/>
            <w:tcMar>
              <w:top w:type="dxa" w:w="60"/>
              <w:left w:type="dxa" w:w="100"/>
              <w:bottom w:type="dxa" w:w="60"/>
              <w:right w:type="dxa" w:w="100"/>
            </w:tcMar>
          </w:tcPr>
          <w:p>
            <w:r>
              <w:rPr>
                <w:sz w:val="19"/>
                <w:szCs w:val="19"/>
              </w:rPr>
              <w:t xml:space="preserve">get_booked_slots(...)</w:t>
            </w:r>
          </w:p>
        </w:tc>
        <w:tc>
          <w:tcPr>
            <w:tcW w:type="dxa" w:w="5820"/>
            <w:tcMar>
              <w:top w:type="dxa" w:w="60"/>
              <w:left w:type="dxa" w:w="100"/>
              <w:bottom w:type="dxa" w:w="60"/>
              <w:right w:type="dxa" w:w="100"/>
            </w:tcMar>
          </w:tcPr>
          <w:p>
            <w:r>
              <w:rPr>
                <w:sz w:val="19"/>
                <w:szCs w:val="19"/>
              </w:rPr>
              <w:t xml:space="preserve">Retourne les créneaux déjà réservés d'un praticien, pour le calcul des disponibilités</w:t>
            </w:r>
          </w:p>
        </w:tc>
      </w:tr>
      <w:tr>
        <w:tc>
          <w:tcPr>
            <w:tcW w:type="dxa" w:w="3200"/>
            <w:tcMar>
              <w:top w:type="dxa" w:w="60"/>
              <w:left w:type="dxa" w:w="100"/>
              <w:bottom w:type="dxa" w:w="60"/>
              <w:right w:type="dxa" w:w="100"/>
            </w:tcMar>
          </w:tcPr>
          <w:p>
            <w:r>
              <w:rPr>
                <w:sz w:val="19"/>
                <w:szCs w:val="19"/>
              </w:rPr>
              <w:t xml:space="preserve">join_clinic_by_code(code, doctor_id)</w:t>
            </w:r>
          </w:p>
        </w:tc>
        <w:tc>
          <w:tcPr>
            <w:tcW w:type="dxa" w:w="5820"/>
            <w:tcMar>
              <w:top w:type="dxa" w:w="60"/>
              <w:left w:type="dxa" w:w="100"/>
              <w:bottom w:type="dxa" w:w="60"/>
              <w:right w:type="dxa" w:w="100"/>
            </w:tcMar>
          </w:tcPr>
          <w:p>
            <w:r>
              <w:rPr>
                <w:sz w:val="19"/>
                <w:szCs w:val="19"/>
              </w:rPr>
              <w:t xml:space="preserve">Recherche un cabinet par code d'invitation et y ajoute le praticien de façon atomique</w:t>
            </w:r>
          </w:p>
        </w:tc>
      </w:tr>
      <w:tr>
        <w:tc>
          <w:tcPr>
            <w:tcW w:type="dxa" w:w="3200"/>
            <w:tcMar>
              <w:top w:type="dxa" w:w="60"/>
              <w:left w:type="dxa" w:w="100"/>
              <w:bottom w:type="dxa" w:w="60"/>
              <w:right w:type="dxa" w:w="100"/>
            </w:tcMar>
          </w:tcPr>
          <w:p>
            <w:r>
              <w:rPr>
                <w:sz w:val="19"/>
                <w:szCs w:val="19"/>
              </w:rPr>
              <w:t xml:space="preserve">get_doctor_clinic(doctor_id)</w:t>
            </w:r>
          </w:p>
        </w:tc>
        <w:tc>
          <w:tcPr>
            <w:tcW w:type="dxa" w:w="5820"/>
            <w:tcMar>
              <w:top w:type="dxa" w:w="60"/>
              <w:left w:type="dxa" w:w="100"/>
              <w:bottom w:type="dxa" w:w="60"/>
              <w:right w:type="dxa" w:w="100"/>
            </w:tcMar>
          </w:tcPr>
          <w:p>
            <w:r>
              <w:rPr>
                <w:sz w:val="19"/>
                <w:szCs w:val="19"/>
              </w:rPr>
              <w:t xml:space="preserve">Retourne le cabinet (nom, adresse, ville) d'un praticien donné, accessible même sans connexion, sans jamais exposer le code d'invitation</w:t>
            </w:r>
          </w:p>
        </w:tc>
      </w:tr>
      <w:tr>
        <w:tc>
          <w:tcPr>
            <w:tcW w:type="dxa" w:w="3200"/>
            <w:tcMar>
              <w:top w:type="dxa" w:w="60"/>
              <w:left w:type="dxa" w:w="100"/>
              <w:bottom w:type="dxa" w:w="60"/>
              <w:right w:type="dxa" w:w="100"/>
            </w:tcMar>
          </w:tcPr>
          <w:p>
            <w:r>
              <w:rPr>
                <w:sz w:val="19"/>
                <w:szCs w:val="19"/>
              </w:rPr>
              <w:t xml:space="preserve">search_clinics(city, specialty)</w:t>
            </w:r>
          </w:p>
        </w:tc>
        <w:tc>
          <w:tcPr>
            <w:tcW w:type="dxa" w:w="5820"/>
            <w:tcMar>
              <w:top w:type="dxa" w:w="60"/>
              <w:left w:type="dxa" w:w="100"/>
              <w:bottom w:type="dxa" w:w="60"/>
              <w:right w:type="dxa" w:w="100"/>
            </w:tcMar>
          </w:tcPr>
          <w:p>
            <w:r>
              <w:rPr>
                <w:sz w:val="19"/>
                <w:szCs w:val="19"/>
              </w:rPr>
              <w:t xml:space="preserve">Recherche de cabinets par ville et/ou spécialité d'un membre, agrégée (nombre de membres, spécialités, note moyenne, lat/lng depuis la migration 038)</w:t>
            </w:r>
          </w:p>
        </w:tc>
      </w:tr>
      <w:tr>
        <w:tc>
          <w:tcPr>
            <w:tcW w:type="dxa" w:w="3200"/>
            <w:tcMar>
              <w:top w:type="dxa" w:w="60"/>
              <w:left w:type="dxa" w:w="100"/>
              <w:bottom w:type="dxa" w:w="60"/>
              <w:right w:type="dxa" w:w="100"/>
            </w:tcMar>
          </w:tcPr>
          <w:p>
            <w:r>
              <w:rPr>
                <w:sz w:val="19"/>
                <w:szCs w:val="19"/>
              </w:rPr>
              <w:t xml:space="preserve">get_clinic_info(clinic_id)</w:t>
            </w:r>
          </w:p>
        </w:tc>
        <w:tc>
          <w:tcPr>
            <w:tcW w:type="dxa" w:w="5820"/>
            <w:tcMar>
              <w:top w:type="dxa" w:w="60"/>
              <w:left w:type="dxa" w:w="100"/>
              <w:bottom w:type="dxa" w:w="60"/>
              <w:right w:type="dxa" w:w="100"/>
            </w:tcMar>
          </w:tcPr>
          <w:p>
            <w:r>
              <w:rPr>
                <w:sz w:val="19"/>
                <w:szCs w:val="19"/>
              </w:rPr>
              <w:t xml:space="preserve">Fiche publique d'un cabinet</w:t>
            </w:r>
          </w:p>
        </w:tc>
      </w:tr>
      <w:tr>
        <w:tc>
          <w:tcPr>
            <w:tcW w:type="dxa" w:w="3200"/>
            <w:tcMar>
              <w:top w:type="dxa" w:w="60"/>
              <w:left w:type="dxa" w:w="100"/>
              <w:bottom w:type="dxa" w:w="60"/>
              <w:right w:type="dxa" w:w="100"/>
            </w:tcMar>
          </w:tcPr>
          <w:p>
            <w:r>
              <w:rPr>
                <w:sz w:val="19"/>
                <w:szCs w:val="19"/>
              </w:rPr>
              <w:t xml:space="preserve">get_clinic_team(clinic_id)</w:t>
            </w:r>
          </w:p>
        </w:tc>
        <w:tc>
          <w:tcPr>
            <w:tcW w:type="dxa" w:w="5820"/>
            <w:tcMar>
              <w:top w:type="dxa" w:w="60"/>
              <w:left w:type="dxa" w:w="100"/>
              <w:bottom w:type="dxa" w:w="60"/>
              <w:right w:type="dxa" w:w="100"/>
            </w:tcMar>
          </w:tcPr>
          <w:p>
            <w:r>
              <w:rPr>
                <w:sz w:val="19"/>
                <w:szCs w:val="19"/>
              </w:rPr>
              <w:t xml:space="preserve">Équipe complète (praticiens) d'un cabinet, avec leurs informations publiques</w:t>
            </w:r>
          </w:p>
        </w:tc>
      </w:tr>
      <w:tr>
        <w:tc>
          <w:tcPr>
            <w:tcW w:type="dxa" w:w="3200"/>
            <w:tcMar>
              <w:top w:type="dxa" w:w="60"/>
              <w:left w:type="dxa" w:w="100"/>
              <w:bottom w:type="dxa" w:w="60"/>
              <w:right w:type="dxa" w:w="100"/>
            </w:tcMar>
          </w:tcPr>
          <w:p>
            <w:r>
              <w:rPr>
                <w:sz w:val="19"/>
                <w:szCs w:val="19"/>
              </w:rPr>
              <w:t xml:space="preserve">add_clinic_service(...) / delete_clinic_service(id)</w:t>
            </w:r>
          </w:p>
        </w:tc>
        <w:tc>
          <w:tcPr>
            <w:tcW w:type="dxa" w:w="5820"/>
            <w:tcMar>
              <w:top w:type="dxa" w:w="60"/>
              <w:left w:type="dxa" w:w="100"/>
              <w:bottom w:type="dxa" w:w="60"/>
              <w:right w:type="dxa" w:w="100"/>
            </w:tcMar>
          </w:tcPr>
          <w:p>
            <w:r>
              <w:rPr>
                <w:sz w:val="19"/>
                <w:szCs w:val="19"/>
              </w:rPr>
              <w:t xml:space="preserve">Gestion des tarifs d'un cabinet : chaque praticien gère les siens, l'administrateur (créateur) du cabinet peut tous les supprimer</w:t>
            </w:r>
          </w:p>
        </w:tc>
      </w:tr>
      <w:tr>
        <w:tc>
          <w:tcPr>
            <w:tcW w:type="dxa" w:w="3200"/>
            <w:tcMar>
              <w:top w:type="dxa" w:w="60"/>
              <w:left w:type="dxa" w:w="100"/>
              <w:bottom w:type="dxa" w:w="60"/>
              <w:right w:type="dxa" w:w="100"/>
            </w:tcMar>
          </w:tcPr>
          <w:p>
            <w:r>
              <w:rPr>
                <w:sz w:val="19"/>
                <w:szCs w:val="19"/>
              </w:rPr>
              <w:t xml:space="preserve">remove_clinic_member(id)</w:t>
            </w:r>
          </w:p>
        </w:tc>
        <w:tc>
          <w:tcPr>
            <w:tcW w:type="dxa" w:w="5820"/>
            <w:tcMar>
              <w:top w:type="dxa" w:w="60"/>
              <w:left w:type="dxa" w:w="100"/>
              <w:bottom w:type="dxa" w:w="60"/>
              <w:right w:type="dxa" w:w="100"/>
            </w:tcMar>
          </w:tcPr>
          <w:p>
            <w:r>
              <w:rPr>
                <w:sz w:val="19"/>
                <w:szCs w:val="19"/>
              </w:rPr>
              <w:t xml:space="preserve">Retrait d'un membre du cabinet, réservé au créateur du cabinet, avec interdiction de s'auto-retirer</w:t>
            </w:r>
          </w:p>
        </w:tc>
      </w:tr>
      <w:tr>
        <w:tc>
          <w:tcPr>
            <w:tcW w:type="dxa" w:w="3200"/>
            <w:tcMar>
              <w:top w:type="dxa" w:w="60"/>
              <w:left w:type="dxa" w:w="100"/>
              <w:bottom w:type="dxa" w:w="60"/>
              <w:right w:type="dxa" w:w="100"/>
            </w:tcMar>
          </w:tcPr>
          <w:p>
            <w:r>
              <w:rPr>
                <w:sz w:val="19"/>
                <w:szCs w:val="19"/>
              </w:rPr>
              <w:t xml:space="preserve">get_conversation_partners()</w:t>
            </w:r>
          </w:p>
        </w:tc>
        <w:tc>
          <w:tcPr>
            <w:tcW w:type="dxa" w:w="5820"/>
            <w:tcMar>
              <w:top w:type="dxa" w:w="60"/>
              <w:left w:type="dxa" w:w="100"/>
              <w:bottom w:type="dxa" w:w="60"/>
              <w:right w:type="dxa" w:w="100"/>
            </w:tcMar>
          </w:tcPr>
          <w:p>
            <w:r>
              <w:rPr>
                <w:sz w:val="19"/>
                <w:szCs w:val="19"/>
              </w:rPr>
              <w:t xml:space="preserve">Liste des interlocuteurs de messagerie avec compteur de messages non lus</w:t>
            </w:r>
          </w:p>
        </w:tc>
      </w:tr>
      <w:tr>
        <w:tc>
          <w:tcPr>
            <w:tcW w:type="dxa" w:w="3200"/>
            <w:tcMar>
              <w:top w:type="dxa" w:w="60"/>
              <w:left w:type="dxa" w:w="100"/>
              <w:bottom w:type="dxa" w:w="60"/>
              <w:right w:type="dxa" w:w="100"/>
            </w:tcMar>
          </w:tcPr>
          <w:p>
            <w:r>
              <w:rPr>
                <w:sz w:val="19"/>
                <w:szCs w:val="19"/>
              </w:rPr>
              <w:t xml:space="preserve">notify_new_message()</w:t>
            </w:r>
          </w:p>
        </w:tc>
        <w:tc>
          <w:tcPr>
            <w:tcW w:type="dxa" w:w="5820"/>
            <w:tcMar>
              <w:top w:type="dxa" w:w="60"/>
              <w:left w:type="dxa" w:w="100"/>
              <w:bottom w:type="dxa" w:w="60"/>
              <w:right w:type="dxa" w:w="100"/>
            </w:tcMar>
          </w:tcPr>
          <w:p>
            <w:r>
              <w:rPr>
                <w:sz w:val="19"/>
                <w:szCs w:val="19"/>
              </w:rPr>
              <w:t xml:space="preserve">Trigger de création automatique d'une notification à l'envoi d'un message</w:t>
            </w:r>
          </w:p>
        </w:tc>
      </w:tr>
      <w:tr>
        <w:tc>
          <w:tcPr>
            <w:tcW w:type="dxa" w:w="3200"/>
            <w:tcMar>
              <w:top w:type="dxa" w:w="60"/>
              <w:left w:type="dxa" w:w="100"/>
              <w:bottom w:type="dxa" w:w="60"/>
              <w:right w:type="dxa" w:w="100"/>
            </w:tcMar>
          </w:tcPr>
          <w:p>
            <w:r>
              <w:rPr>
                <w:sz w:val="19"/>
                <w:szCs w:val="19"/>
              </w:rPr>
              <w:t xml:space="preserve">delete_my_account()</w:t>
            </w:r>
          </w:p>
        </w:tc>
        <w:tc>
          <w:tcPr>
            <w:tcW w:type="dxa" w:w="5820"/>
            <w:tcMar>
              <w:top w:type="dxa" w:w="60"/>
              <w:left w:type="dxa" w:w="100"/>
              <w:bottom w:type="dxa" w:w="60"/>
              <w:right w:type="dxa" w:w="100"/>
            </w:tcMar>
          </w:tcPr>
          <w:p>
            <w:r>
              <w:rPr>
                <w:sz w:val="19"/>
                <w:szCs w:val="19"/>
              </w:rPr>
              <w:t xml:space="preserve">Suppression complète et en cascade du compte (voir section 5.3)</w:t>
            </w:r>
          </w:p>
        </w:tc>
      </w:tr>
      <w:tr>
        <w:tc>
          <w:tcPr>
            <w:tcW w:type="dxa" w:w="3200"/>
            <w:tcMar>
              <w:top w:type="dxa" w:w="60"/>
              <w:left w:type="dxa" w:w="100"/>
              <w:bottom w:type="dxa" w:w="60"/>
              <w:right w:type="dxa" w:w="100"/>
            </w:tcMar>
          </w:tcPr>
          <w:p>
            <w:r>
              <w:rPr>
                <w:sz w:val="19"/>
                <w:szCs w:val="19"/>
              </w:rPr>
              <w:t xml:space="preserve">get_clinic_member_doctor_ids()</w:t>
            </w:r>
          </w:p>
        </w:tc>
        <w:tc>
          <w:tcPr>
            <w:tcW w:type="dxa" w:w="5820"/>
            <w:tcMar>
              <w:top w:type="dxa" w:w="60"/>
              <w:left w:type="dxa" w:w="100"/>
              <w:bottom w:type="dxa" w:w="60"/>
              <w:right w:type="dxa" w:w="100"/>
            </w:tcMar>
          </w:tcPr>
          <w:p>
            <w:r>
              <w:rPr>
                <w:sz w:val="19"/>
                <w:szCs w:val="19"/>
              </w:rPr>
              <w:t xml:space="preserve">Retourne les identifiants des praticiens membres d'un cabinet, afin de les exclure des résultats de recherche individuels (voir section 6.4)</w:t>
            </w:r>
          </w:p>
        </w:tc>
      </w:tr>
      <w:tr>
        <w:tc>
          <w:tcPr>
            <w:tcW w:type="dxa" w:w="3200"/>
            <w:tcMar>
              <w:top w:type="dxa" w:w="60"/>
              <w:left w:type="dxa" w:w="100"/>
              <w:bottom w:type="dxa" w:w="60"/>
              <w:right w:type="dxa" w:w="100"/>
            </w:tcMar>
          </w:tcPr>
          <w:p>
            <w:r>
              <w:rPr>
                <w:sz w:val="19"/>
                <w:szCs w:val="19"/>
              </w:rPr>
              <w:t xml:space="preserve">get_doctor_reviews(doctor_id)</w:t>
            </w:r>
          </w:p>
        </w:tc>
        <w:tc>
          <w:tcPr>
            <w:tcW w:type="dxa" w:w="5820"/>
            <w:tcMar>
              <w:top w:type="dxa" w:w="60"/>
              <w:left w:type="dxa" w:w="100"/>
              <w:bottom w:type="dxa" w:w="60"/>
              <w:right w:type="dxa" w:w="100"/>
            </w:tcMar>
          </w:tcPr>
          <w:p>
            <w:r>
              <w:rPr>
                <w:sz w:val="19"/>
                <w:szCs w:val="19"/>
              </w:rPr>
              <w:t xml:space="preserve">Retourne les avis d'un praticien avec les informations publiques de l'auteur, en contournant la policy RLS qui empêche une jointure directe sur profiles pour un tiers</w:t>
            </w:r>
          </w:p>
        </w:tc>
      </w:tr>
    </w:tbl>
    <w:p>
      <w:pPr>
        <w:pStyle w:val="Heading2"/>
        <w:spacing w:after="150" w:before="300"/>
      </w:pPr>
      <w:r>
        <w:t xml:space="preserve">5.2 Accès des praticiens aux dossiers patients</w:t>
      </w:r>
    </w:p>
    <w:p>
      <w:pPr>
        <w:spacing w:after="160" w:line="300"/>
      </w:pPr>
      <w:r>
        <w:t xml:space="preserve">Un praticien obtient un accès en lecture (et en ajout) aux tables animals, vaccines, weight_tracking et health_records d'un animal uniquement lorsqu'il existe, entre lui et le propriétaire de l'animal, un rendez-vous au statut confirmed ou completed. Cette règle est portée par les politiques RLS ajoutées en migration 002 puis étendue au contexte des cabinets par les migrations 026 à 031 (un praticien voit alors aussi les patients de ses confrères du même cabinet, avec des index de performance dédiés).</w:t>
      </w:r>
    </w:p>
    <w:p>
      <w:pPr>
        <w:pStyle w:val="Heading2"/>
        <w:spacing w:after="150" w:before="300"/>
      </w:pPr>
      <w:r>
        <w:t xml:space="preserve">5.3 Suppression de compte</w:t>
      </w:r>
    </w:p>
    <w:p>
      <w:pPr>
        <w:spacing w:after="160" w:line="300"/>
      </w:pPr>
      <w:r>
        <w:t xml:space="preserve">La fonction delete_my_account() supprime, dans l'ordre, selon le rôle du compte : les tarifs, membres et éventuellement le cabinet (s'il en est le créateur) pour un praticien ; les vaccins, suivis de poids, dossiers de santé et animaux (s'il en est propriétaire) ; les rendez-vous (en tant que patient ou que praticien) ; les disponibilités et congés (praticien) ; puis le compte auth.users lui-même, dont la suppression déclenche en cascade celle de users, profiles, doctors, messages, notifications et reviews.</w:t>
      </w:r>
    </w:p>
    <w:p>
      <w:pPr>
        <w:pStyle w:val="Heading2"/>
        <w:spacing w:after="150" w:before="300"/>
      </w:pPr>
      <w:r>
        <w:t xml:space="preserve">5.4 Conformité RGPD : consentement et portabilité</w:t>
      </w:r>
    </w:p>
    <w:p>
      <w:pPr>
        <w:spacing w:after="160" w:line="300"/>
      </w:pPr>
      <w:r>
        <w:t xml:space="preserve">Ajoutés le 21 juillet 2026, en préparation de l'ouverture au public :</w:t>
      </w:r>
    </w:p>
    <w:p>
      <w:pPr>
        <w:pStyle w:val="ListParagraph"/>
        <w:numPr>
          <w:ilvl w:val="0"/>
          <w:numId w:val="2"/>
        </w:numPr>
        <w:spacing w:after="100"/>
      </w:pPr>
      <w:r>
        <w:t xml:space="preserve">users.terms_accepted_at (colonne timestamptz) — preuve horodatée de l'acceptation des CGU et de la politique de confidentialité. Renseignée par handle_new_user() uniquement si le client transmet terms_accepted=true dans les métadonnées d'inscription (RegisterPage.tsx). Auparavant, la case à cocher ne bloquait que la soumission du formulaire côté client, sans aucune trace côté serveur.</w:t>
      </w:r>
    </w:p>
    <w:p>
      <w:pPr>
        <w:pStyle w:val="ListParagraph"/>
        <w:numPr>
          <w:ilvl w:val="0"/>
          <w:numId w:val="2"/>
        </w:numPr>
        <w:spacing w:after="100"/>
      </w:pPr>
      <w:r>
        <w:t xml:space="preserve">export_my_data() — RPC SECURITY DEFINER (droit à la portabilité, RGPD art. 20) agrégeant en un seul objet JSON l'ensemble des données personnelles de l'utilisateur connecté : compte, profil, profil praticien, animaux, vaccins, suivi de poids, dossiers médicaux, documents, rendez-vous (patient et praticien), avis, messages, notifications, disponibilités. Scopée à auth.uid(), impossible d'exporter les données d'un tiers. Bouton « Télécharger mes données » sur /profil et sur l'onglet Profil du tableau de bord praticien, qui déclenche le téléchargement d'un fichier .json.</w:t>
      </w:r>
    </w:p>
    <w:p>
      <w:pPr>
        <w:pStyle w:val="Heading1"/>
        <w:spacing w:after="200" w:before="400"/>
      </w:pPr>
      <w:r>
        <w:t xml:space="preserve">6. Fonctionnalités — Visiteur et Patient</w:t>
      </w:r>
    </w:p>
    <w:p>
      <w:pPr>
        <w:pStyle w:val="Heading2"/>
        <w:spacing w:after="150" w:before="300"/>
      </w:pPr>
      <w:r>
        <w:t xml:space="preserve">6.1 Page d'accueil (/)</w:t>
      </w:r>
    </w:p>
    <w:p>
      <w:pPr>
        <w:spacing w:after="160" w:line="300"/>
      </w:pPr>
      <w:r>
        <w:t xml:space="preserve">Composée de quatre sections empilées verticalement : un héros avec barre de recherche (spécialité + ville, avec autocomplétion sur la spécialité), une section « Comment ça marche » dont le contenu s'adapte selon que le visiteur est un patient (Recherchez / Choisissez / Confirmez) ou un praticien connecté (Créez votre profil / Recevez des demandes / Échangez avec vos patients), une section « Consultez par spécialité » affichant l'ensemble des métiers de la liste fermée (sauf « Autre ») sous forme de grille de cartes cliquables, et enfin un bloc d'appel à l'inscription praticien, visible uniquement pour les visiteurs non connectés (ni patients ni praticiens déjà inscrits ne le voient). Un pied de page (Footer, src/components/ui/Footer.tsx) referme la page : logo et courte description, raccourcis vers la recherche et l'inscription praticien, et liens vers les pages légales (CGU, politique de confidentialité — voir section 6.14).</w:t>
      </w:r>
    </w:p>
    <w:p>
      <w:pPr>
        <w:pStyle w:val="Heading2"/>
        <w:spacing w:after="150" w:before="300"/>
      </w:pPr>
      <w:r>
        <w:t xml:space="preserve">6.2 Inscription (/register)</w:t>
      </w:r>
    </w:p>
    <w:p>
      <w:pPr>
        <w:spacing w:after="160" w:line="300"/>
      </w:pPr>
      <w:r>
        <w:t xml:space="preserve">Formulaire unique avec bascule Propriétaire / Praticien. Champs communs : prénom, nom, email, mot de passe (8 caractères minimum, validation Zod). Si le rôle choisi est praticien, un sélecteur obligatoire de profession apparaît, présentant la liste fermée des métiers sous forme de boutons illustrés d'une icône (voir section 6.7) — aucune saisie libre n'est possible. La validation du formulaire est bloquée tant que la case d'acceptation des CGU et de la politique de confidentialité (liens vers /cgu et /confidentialite, ouverts dans un nouvel onglet) n'est pas cochée. Un widget de vérification anti-bot (Cloudflare Turnstile, section 3.7) doit également être validé avant soumission, si VITE_TURNSTILE_SITE_KEY est configurée. L'inscription utilise supabase.auth.signUp avec les métadonnées transmises au trigger handle_new_user. Un écran de confirmation invite ensuite à valider l'adresse email avant de pouvoir se connecter.</w:t>
      </w:r>
    </w:p>
    <w:p>
      <w:pPr>
        <w:pStyle w:val="Heading2"/>
        <w:spacing w:after="150" w:before="300"/>
      </w:pPr>
      <w:r>
        <w:t xml:space="preserve">6.3 Connexion, mot de passe oublié (/login, /forgot-password, /reset-password)</w:t>
      </w:r>
    </w:p>
    <w:p>
      <w:pPr>
        <w:spacing w:after="160" w:line="300"/>
      </w:pPr>
      <w:r>
        <w:t xml:space="preserve">Connexion standard email/mot de passe avec redirection selon le rôle, protégée par un timeout de 10 secondes et une récupération des données utilisateur avec 3 tentatives et 800 ms de délai entre chacune (getMyUserDataWithRetry). La réinitialisation de mot de passe envoie un email (supabase.auth.resetPasswordForEmail) contenant un lien vers /reset-password ; Supabase établit alors automatiquement une session de récupération temporaire à partir de ce lien, permettant la mise à jour du mot de passe (supabase.auth.updateUser). Les trois formulaires (connexion, inscription, réinitialisation) proposent un bouton de visibilité du mot de passe (icône œil). Sur l'écran de connexion, une erreur d'identifiants distingue désormais le cas d'un email non confirmé (message invitant explicitement à cliquer sur le lien reçu par email) de celui d'un mot de passe réellement incorrect, plutôt que d'afficher un message générique unique dans les deux cas.</w:t>
      </w:r>
    </w:p>
    <w:p>
      <w:pPr>
        <w:pStyle w:val="Heading2"/>
        <w:spacing w:after="150" w:before="300"/>
      </w:pPr>
      <w:r>
        <w:t xml:space="preserve">6.4 Recherche de praticiens (/search)</w:t>
      </w:r>
    </w:p>
    <w:p>
      <w:pPr>
        <w:spacing w:after="160" w:line="300"/>
      </w:pPr>
      <w:r>
        <w:t xml:space="preserve">L'URL est l'unique source de vérité des filtres (specialty, city, maxPrice, minRating, lat, lng, radiusKm, species, homeVisit, availability) : aucun état React dupliqué. Ce choix garantit qu'un retour en arrière depuis une fiche praticien restaure exactement les filtres précédemment appliqués. Tant qu'aucun critère réel n'est renseigné (spécialité, ville, géolocalisation ou l'un des filtres secondaires ci-dessous), aucune requête n'est envoyée et aucun résultat ne s'affiche : un simple réglage du prix ou de la note seuls ne déclenche jamais l'affichage de l'ensemble des praticiens.</w:t>
      </w:r>
    </w:p>
    <w:p>
      <w:pPr>
        <w:spacing w:after="160" w:line="300"/>
      </w:pPr>
      <w:r>
        <w:t xml:space="preserve">Le filtre de prix est un curseur de 0 à 200 € par pas de 10 € (200 signifiant « 200 €+ », sans plafond) ; un curseur réglé à 0 € exclut désormais bien tous les praticiens dont le tarif est supérieur à 0 € — un bug corrigé, la condition initiale du filtre traitant à tort la valeur 0 comme l'absence de filtre. Le filtre de note propose « Toutes les notes », « 4+ étoiles » et « 4.5+ étoiles ».</w:t>
      </w:r>
    </w:p>
    <w:p>
      <w:pPr>
        <w:spacing w:after="160" w:line="300"/>
      </w:pPr>
      <w:r>
        <w:t xml:space="preserve">Un bouton « Autour de moi » (proposé en tête de liste dès le clic dans le champ ville) déclenche la géolocalisation du navigateur, fixe lat/lng dans l'URL et efface le champ ville. La distance à vol d'oiseau (haversineKm, src/lib/geo.ts) est alors calculée côté client pour trier les résultats par proximité ; le filtre de rayon (5 / 10 / 25 / 50 / 100 km) reste toujours visible dans la barre latérale mais désactivé tant qu'aucune position n'est active. Les praticiens et cabinets sans coordonnées géocodées restent affichés en fin de liste, sauf si un rayon précis est choisi. Le géocodage (API BAN, api-adresse.data.gouv.fr) s'exécute automatiquement à chaque enregistrement d'une ville ou d'une adresse par un praticien ou un cabinet (useUpdateDoctor, useUpdateClinic).</w:t>
      </w:r>
    </w:p>
    <w:p>
      <w:pPr>
        <w:spacing w:after="160" w:line="300"/>
      </w:pPr>
      <w:r>
        <w:t xml:space="preserve">Trois filtres supplémentaires (migration 046) complètent la recherche : espèces acceptées (pastilles multi-sélection Chiens / Chats / NAC / Équidés / Oiseaux, colonne accepted_species en tableau texte, filtrée côté serveur via l'opérateur overlaps) ; se déplace à domicile (colonne booléenne home_visit, affichée en badge sur la fiche du praticien dans les résultats) ; et une disponibilité choisie parmi Aujourd'hui ou Dans la semaine, qui recalcule pour chaque praticien s'il reste un créneau réellement libre sur la période (disponibilités récurrentes moins rendez-vous pris moins congés moins battement de 15 minutes), selon la même logique que le calendrier de réservation (useAvailableSlots). Ces trois champs praticien ne sont éditables que depuis la page de profil générique (/profil, voir section 6.13).</w:t>
      </w:r>
    </w:p>
    <w:p>
      <w:pPr>
        <w:spacing w:after="160" w:line="300"/>
      </w:pPr>
      <w:r>
        <w:t xml:space="preserve">Depuis le 21 juillet 2026, seuls les praticiens au statut verification_status = 'verified' apparaissent dans les résultats (voir section 6.15) — un praticien en attente ou rejeté reste absent, même s'il correspond par ailleurs aux critères filtrés. Un praticien membre d'un cabinet n'apparaît jamais comme résultat individuel (RPC get_clinic_member_doctor_ids) : il n'est trouvé qu'en passant par la fiche du cabinet, sauf si la recherche correspond directement à son nom, auquel cas il reste visible. Les résultats affichent séparément les cabinets (useClinicsSearch, RPC search_clinics) puis les praticiens individuels (useDoctors) ; les filtres prix, note, espèces, domicile et disponibilité ne s'appliquent volontairement pas aux cabinets, portant sur un praticien précis et non sur l'établissement dans son ensemble. Un bouton Retour est aligné sur la même ligne que la barre de recherche.</w:t>
      </w:r>
    </w:p>
    <w:p>
      <w:pPr>
        <w:spacing w:after="160" w:line="300"/>
      </w:pPr>
      <w:r>
        <w:t xml:space="preserve">Une fois connecté, l'accès à la recherche ne passe plus par un lien dédié de la barre de navigation (retiré) : la recherche depuis la page d'accueil (barre héros, section 6.1) en est désormais le seul point d'entrée, à l'image d'un Doctolib.</w:t>
      </w:r>
    </w:p>
    <w:p>
      <w:pPr>
        <w:pStyle w:val="Heading2"/>
        <w:spacing w:after="150" w:before="300"/>
      </w:pPr>
      <w:r>
        <w:t xml:space="preserve">6.5 Fiche praticien publique (/doctor/:id)</w:t>
      </w:r>
    </w:p>
    <w:p>
      <w:pPr>
        <w:spacing w:after="160" w:line="300"/>
      </w:pPr>
      <w:r>
        <w:t>Accessible sans connexion. Affiche l'en-tête (avatar, profession, adresse — celle du cabinet si le praticien en est membre, sinon son adresse personnelle —, note moyenne, badge « Vérifié » le cas échéant), la biographie au format HTML enrichi et sanitisé, une carte Leaflet interactive (marqueur en sage-500, zoom, tuiles CARTO Voyager — src/components/doctor/LocationMap.tsx) affichée à partir des coordonnées du cabinet si le praticien en est membre, sinon de ses coordonnées personnelles (même bascule que pour l'adresse affichée juste au-dessus), la liste des avis avec un formulaire de dépôt d'avis (réservé aux patients, sans limite de nombre ni lien obligatoire avec un rendez-vous), et un encart de réservation latéral affichant le tarif et un bouton d'action (redirection vers connexion/inscription si le visiteur n'est pas connecté). Depuis le 21 juillet 2026, un praticien non vérifié affiche « Ce profil n'est pas encore disponible » à tout visiteur autre que le praticien lui-même (cohérent avec son absence des résultats de recherche, voir section 6.15) — sans cette garde, un lien direct aurait pu contourner le filtre de recherche.</w:t>
      </w:r>
    </w:p>
    <w:p>
      <w:pPr>
        <w:pStyle w:val="Heading2"/>
        <w:spacing w:after="150" w:before="300"/>
      </w:pPr>
      <w:r>
        <w:t xml:space="preserve">6.6 Fiche cabinet publique (/cabinet/:id)</w:t>
      </w:r>
    </w:p>
    <w:p>
      <w:pPr>
        <w:spacing w:after="160" w:line="300"/>
      </w:pPr>
      <w:r>
        <w:t xml:space="preserve">Présente l'en-tête du cabinet (logo, nom, adresse, téléphone) puis la liste de l'équipe, chaque membre étant affiché avec ses jours de disponibilité hebdomadaire abrégés et un lien vers sa fiche individuelle.</w:t>
      </w:r>
    </w:p>
    <w:p>
      <w:pPr>
        <w:pStyle w:val="Heading2"/>
        <w:spacing w:after="150" w:before="300"/>
      </w:pPr>
      <w:r>
        <w:t xml:space="preserve">6.7 Liste fermée des métiers praticien</w:t>
      </w:r>
    </w:p>
    <w:p>
      <w:pPr>
        <w:spacing w:after="160" w:line="300"/>
      </w:pPr>
      <w:r>
        <w:t xml:space="preserve">La liste des professions est volontairement fermée (aucun champ de saisie libre) et centralisée dans src/lib/practitionerTypes.ts, utilisée à la fois à l'inscription et dans l'édition du profil praticien (tableau de bord). Chaque métier définit également un jeu de tarifs par défaut (nom de prestation + durée indicative) pré-remplissant l'onglet Tarifs du praticien à la création de son compte :</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00"/>
        <w:gridCol w:w="6220"/>
      </w:tblGrid>
      <w:tr>
        <w:trPr>
          <w:tblHeader/>
        </w:trPr>
        <w:tc>
          <w:tcPr>
            <w:tcW w:type="dxa" w:w="2800"/>
            <w:shd w:fill="F2820F" w:val="clear"/>
            <w:tcMar>
              <w:top w:type="dxa" w:w="80"/>
              <w:left w:type="dxa" w:w="100"/>
              <w:bottom w:type="dxa" w:w="80"/>
              <w:right w:type="dxa" w:w="100"/>
            </w:tcMar>
          </w:tcPr>
          <w:p>
            <w:r>
              <w:rPr>
                <w:b/>
                <w:bCs/>
                <w:color w:val="FFFFFF"/>
                <w:sz w:val="19"/>
                <w:szCs w:val="19"/>
              </w:rPr>
              <w:t xml:space="preserve">Catégorie</w:t>
            </w:r>
          </w:p>
        </w:tc>
        <w:tc>
          <w:tcPr>
            <w:tcW w:type="dxa" w:w="6220"/>
            <w:shd w:fill="F2820F" w:val="clear"/>
            <w:tcMar>
              <w:top w:type="dxa" w:w="80"/>
              <w:left w:type="dxa" w:w="100"/>
              <w:bottom w:type="dxa" w:w="80"/>
              <w:right w:type="dxa" w:w="100"/>
            </w:tcMar>
          </w:tcPr>
          <w:p>
            <w:r>
              <w:rPr>
                <w:b/>
                <w:bCs/>
                <w:color w:val="FFFFFF"/>
                <w:sz w:val="19"/>
                <w:szCs w:val="19"/>
              </w:rPr>
              <w:t xml:space="preserve">Métiers</w:t>
            </w:r>
          </w:p>
        </w:tc>
      </w:tr>
      <w:tr>
        <w:tc>
          <w:tcPr>
            <w:tcW w:type="dxa" w:w="2800"/>
            <w:tcMar>
              <w:top w:type="dxa" w:w="60"/>
              <w:left w:type="dxa" w:w="100"/>
              <w:bottom w:type="dxa" w:w="60"/>
              <w:right w:type="dxa" w:w="100"/>
            </w:tcMar>
          </w:tcPr>
          <w:p>
            <w:r>
              <w:rPr>
                <w:sz w:val="19"/>
                <w:szCs w:val="19"/>
              </w:rPr>
              <w:t xml:space="preserve">Soins vétérinaires et médicaux</w:t>
            </w:r>
          </w:p>
        </w:tc>
        <w:tc>
          <w:tcPr>
            <w:tcW w:type="dxa" w:w="6220"/>
            <w:tcMar>
              <w:top w:type="dxa" w:w="60"/>
              <w:left w:type="dxa" w:w="100"/>
              <w:bottom w:type="dxa" w:w="60"/>
              <w:right w:type="dxa" w:w="100"/>
            </w:tcMar>
          </w:tcPr>
          <w:p>
            <w:r>
              <w:rPr>
                <w:sz w:val="19"/>
                <w:szCs w:val="19"/>
              </w:rPr>
              <w:t xml:space="preserve">Vétérinaire, Auxiliaire spécialisé vétérinaire (ASV), Ostéopathe animalier, Kinésithérapeute animalier, Hydrothérapeute animalier, Dentiste équin, Nutritionniste animalier, Naturopathe animalier</w:t>
            </w:r>
          </w:p>
        </w:tc>
      </w:tr>
      <w:tr>
        <w:tc>
          <w:tcPr>
            <w:tcW w:type="dxa" w:w="2800"/>
            <w:tcMar>
              <w:top w:type="dxa" w:w="60"/>
              <w:left w:type="dxa" w:w="100"/>
              <w:bottom w:type="dxa" w:w="60"/>
              <w:right w:type="dxa" w:w="100"/>
            </w:tcMar>
          </w:tcPr>
          <w:p>
            <w:r>
              <w:rPr>
                <w:sz w:val="19"/>
                <w:szCs w:val="19"/>
              </w:rPr>
              <w:t xml:space="preserve">Comportement et éducation</w:t>
            </w:r>
          </w:p>
        </w:tc>
        <w:tc>
          <w:tcPr>
            <w:tcW w:type="dxa" w:w="6220"/>
            <w:tcMar>
              <w:top w:type="dxa" w:w="60"/>
              <w:left w:type="dxa" w:w="100"/>
              <w:bottom w:type="dxa" w:w="60"/>
              <w:right w:type="dxa" w:w="100"/>
            </w:tcMar>
          </w:tcPr>
          <w:p>
            <w:r>
              <w:rPr>
                <w:sz w:val="19"/>
                <w:szCs w:val="19"/>
              </w:rPr>
              <w:t xml:space="preserve">Comportementaliste animalier, Éducateur canin, Dresseur animalier, Maître-chien</w:t>
            </w:r>
          </w:p>
        </w:tc>
      </w:tr>
      <w:tr>
        <w:tc>
          <w:tcPr>
            <w:tcW w:type="dxa" w:w="2800"/>
            <w:tcMar>
              <w:top w:type="dxa" w:w="60"/>
              <w:left w:type="dxa" w:w="100"/>
              <w:bottom w:type="dxa" w:w="60"/>
              <w:right w:type="dxa" w:w="100"/>
            </w:tcMar>
          </w:tcPr>
          <w:p>
            <w:r>
              <w:rPr>
                <w:sz w:val="19"/>
                <w:szCs w:val="19"/>
              </w:rPr>
              <w:t xml:space="preserve">Bien-être et esthétique</w:t>
            </w:r>
          </w:p>
        </w:tc>
        <w:tc>
          <w:tcPr>
            <w:tcW w:type="dxa" w:w="6220"/>
            <w:tcMar>
              <w:top w:type="dxa" w:w="60"/>
              <w:left w:type="dxa" w:w="100"/>
              <w:bottom w:type="dxa" w:w="60"/>
              <w:right w:type="dxa" w:w="100"/>
            </w:tcMar>
          </w:tcPr>
          <w:p>
            <w:r>
              <w:rPr>
                <w:sz w:val="19"/>
                <w:szCs w:val="19"/>
              </w:rPr>
              <w:t xml:space="preserve">Toiletteur, Masseur canin</w:t>
            </w:r>
          </w:p>
        </w:tc>
      </w:tr>
      <w:tr>
        <w:tc>
          <w:tcPr>
            <w:tcW w:type="dxa" w:w="2800"/>
            <w:tcMar>
              <w:top w:type="dxa" w:w="60"/>
              <w:left w:type="dxa" w:w="100"/>
              <w:bottom w:type="dxa" w:w="60"/>
              <w:right w:type="dxa" w:w="100"/>
            </w:tcMar>
          </w:tcPr>
          <w:p>
            <w:r>
              <w:rPr>
                <w:sz w:val="19"/>
                <w:szCs w:val="19"/>
              </w:rPr>
              <w:t xml:space="preserve">Élevage et garde</w:t>
            </w:r>
          </w:p>
        </w:tc>
        <w:tc>
          <w:tcPr>
            <w:tcW w:type="dxa" w:w="6220"/>
            <w:tcMar>
              <w:top w:type="dxa" w:w="60"/>
              <w:left w:type="dxa" w:w="100"/>
              <w:bottom w:type="dxa" w:w="60"/>
              <w:right w:type="dxa" w:w="100"/>
            </w:tcMar>
          </w:tcPr>
          <w:p>
            <w:r>
              <w:rPr>
                <w:sz w:val="19"/>
                <w:szCs w:val="19"/>
              </w:rPr>
              <w:t xml:space="preserve">Palefrenier, Soigneur animalier, Pet-sitter</w:t>
            </w:r>
          </w:p>
        </w:tc>
      </w:tr>
      <w:tr>
        <w:tc>
          <w:tcPr>
            <w:tcW w:type="dxa" w:w="2800"/>
            <w:tcMar>
              <w:top w:type="dxa" w:w="60"/>
              <w:left w:type="dxa" w:w="100"/>
              <w:bottom w:type="dxa" w:w="60"/>
              <w:right w:type="dxa" w:w="100"/>
            </w:tcMar>
          </w:tcPr>
          <w:p>
            <w:r>
              <w:rPr>
                <w:sz w:val="19"/>
                <w:szCs w:val="19"/>
              </w:rPr>
              <w:t xml:space="preserve">Autre</w:t>
            </w:r>
          </w:p>
        </w:tc>
        <w:tc>
          <w:tcPr>
            <w:tcW w:type="dxa" w:w="6220"/>
            <w:tcMar>
              <w:top w:type="dxa" w:w="60"/>
              <w:left w:type="dxa" w:w="100"/>
              <w:bottom w:type="dxa" w:w="60"/>
              <w:right w:type="dxa" w:w="100"/>
            </w:tcMar>
          </w:tcPr>
          <w:p>
            <w:r>
              <w:rPr>
                <w:sz w:val="19"/>
                <w:szCs w:val="19"/>
              </w:rPr>
              <w:t xml:space="preserve">« Autre » — fourre-tout pour tout métier non listé, toujours en dernière position</w:t>
            </w:r>
          </w:p>
        </w:tc>
      </w:tr>
    </w:tbl>
    <w:p>
      <w:pPr>
        <w:pBdr>
          <w:left w:val="single" w:color="F2820F" w:sz="18"/>
        </w:pBdr>
        <w:shd w:fill="FFF6E6" w:val="clear"/>
        <w:spacing w:after="200" w:before="100"/>
        <w:ind w:left="200"/>
      </w:pPr>
      <w:r>
        <w:rPr>
          <w:i/>
          <w:iCs/>
          <w:color w:val="6B5B3D"/>
          <w:sz w:val="20"/>
          <w:szCs w:val="20"/>
        </w:rPr>
        <w:t xml:space="preserve">Musher, Éleveur et Éthologue ont figuré temporairement dans cette liste avant d'en être retirés à la demande. La catégorie « vente et conseil » (ex. vendeur en animalerie) est volontairement exclue, hors périmètre d'une application de prise de rendez-vous.</w:t>
      </w:r>
    </w:p>
    <w:p>
      <w:pPr>
        <w:pStyle w:val="Heading2"/>
        <w:spacing w:after="150" w:before="300"/>
      </w:pPr>
      <w:r>
        <w:t xml:space="preserve">6.8 Réservation d'un rendez-vous (/book/:doctorId)</w:t>
      </w:r>
    </w:p>
    <w:p>
      <w:pPr>
        <w:spacing w:after="160" w:line="300"/>
      </w:pPr>
      <w:r>
        <w:t xml:space="preserve">Réservée aux patients connectés. Parcours en trois étapes : (1) choix du créneau via un calendrier navigable semaine par semaine, plafonné à 8 semaines dans le futur (composant AvailabilityCalendar) ; (2) sélection du motif parmi six motifs prédéfinis ou saisie libre, sélection obligatoire d'un ou plusieurs animaux du patient concernés par le rendez-vous — si le patient n'a aucun animal enregistré, un message bloquant l'invite à en ajouter un avant de poursuivre —, et dépôt optionnel de documents ou photos, uploadés immédiatement vers le Storage Supabase dès leur sélection ; (3) récapitulatif de confirmation puis soumission. La création du rendez-vous (useCreateAppointment) insère la ligne appointments, crée les liens dans appointment_animals, enregistre les appointment_documents, puis appelle en best-effort (sans bloquer la réservation en cas d'échec) l'Edge Function send-appointment-confirmation.</w:t>
      </w:r>
    </w:p>
    <w:p>
      <w:pPr>
        <w:spacing w:after="160" w:line="300"/>
      </w:pPr>
      <w:r>
        <w:t>Mise à jour du 23 juillet 2026 : sous le calendrier de l'étape 1, un lien « Aucun créneau qui vous convient ? Me prévenir si un créneau se libère » permet de s'inscrire à la liste d'attente du praticien (table waitlist_entries, migration 065). Dès qu'un rendez-vous confirmé chez ce praticien passe au statut annulé, un trigger SQL (notify_waitlist_on_cancellation) envoie une notification in-app à chaque patient inscrit puis supprime son entrée — alerte à usage unique, pas un abonnement permanent aux annulations ; le patient peut se réinscrire librement ensuite.</w:t>
      </w:r>
    </w:p>
    <w:p>
      <w:pPr>
        <w:pStyle w:val="Heading2"/>
        <w:spacing w:after="150" w:before="300"/>
      </w:pPr>
      <w:r>
        <w:t xml:space="preserve">6.9 Tableau de bord patient (/dashboard/patient)</w:t>
      </w:r>
    </w:p>
    <w:p>
      <w:pPr>
        <w:spacing w:after="160" w:line="300"/>
      </w:pPr>
      <w:r>
        <w:t xml:space="preserve">Présente la liste des animaux du patient avec un formulaire de création (photo, espèce — avec placeholder de race adapté à l'espèce choisie et champ libre si « Autre » —, nom, race, date de naissance, poids), une grille de raccourcis (Nouveau RDV, Rappels, Documents), et deux onglets de rendez-vous (à venir / passés).</w:t>
      </w:r>
    </w:p>
    <w:p>
      <w:pPr>
        <w:pStyle w:val="Heading2"/>
        <w:spacing w:after="150" w:before="300"/>
      </w:pPr>
      <w:r>
        <w:t xml:space="preserve">6.10 Dossier de santé d'un animal (/animal/:id)</w:t>
      </w:r>
    </w:p>
    <w:p>
      <w:pPr>
        <w:spacing w:after="160" w:line="300"/>
      </w:pPr>
      <w:r>
        <w:t xml:space="preserve">Accessible aux patients (propriétaire) et aux praticiens ayant un rendez-vous confirmé ou terminé avec cet animal. Cinq onglets : Vue d'ensemble (trois cartes de statistiques), Vaccins (création, modification, suppression, avec rappel calculé sur next_due_date), Poids (CRUD complet et courbe Recharts, dont l'axe Y est plafonné par le poids maximal théorique de l'espèce de l'animal — table SPECIES_MAX_WEIGHT), Dossiers médicaux (CRUD, 7 types fixes listés en 4.3), Documents (CRUD, sélecteur de type de document, affichage du nom du déposant et de l'horodatage, suppression réservée à l'auteur du document). La vue praticien est « lecture majoritaire » : pas d'upload de photo ni d'édition/suppression de l'animal, mais possibilité d'ajouter vaccins, dossiers et documents, avec son propre nom pré-rempli dans les champs administered_by / professional_name.</w:t>
      </w:r>
    </w:p>
    <w:p>
      <w:pPr>
        <w:pStyle w:val="Heading2"/>
        <w:spacing w:after="150" w:before="300"/>
      </w:pPr>
      <w:r>
        <w:t xml:space="preserve">6.11 Documents (/documents, patient uniquement)</w:t>
      </w:r>
    </w:p>
    <w:p>
      <w:pPr>
        <w:spacing w:after="160" w:line="300"/>
      </w:pPr>
      <w:r>
        <w:t xml:space="preserve">Vue agrégée de tous les documents déposés par un praticien dans le dossier de l'un des animaux du patient (fusion de animal_documents filtrés aux dépôts de praticiens et de la totalité des appointment_documents, via le hook usePatientDoctorDocuments) — distincte des documents que le patient a lui-même envoyés, déjà visibles dans l'onglet Documents de chaque animal.</w:t>
      </w:r>
    </w:p>
    <w:p>
      <w:pPr>
        <w:pStyle w:val="Heading2"/>
        <w:spacing w:after="150" w:before="300"/>
      </w:pPr>
      <w:r>
        <w:t xml:space="preserve">6.12 Rappels (/rappels, patient uniquement)</w:t>
      </w:r>
    </w:p>
    <w:p>
      <w:pPr>
        <w:spacing w:after="160" w:line="300"/>
      </w:pPr>
      <w:r>
        <w:t xml:space="preserve">Regroupe en une seule vue les prochains rendez-vous planifiés et les rappels de vaccination à venir ou en retard, tous animaux confondus (hook usePatientReminders).</w:t>
      </w:r>
    </w:p>
    <w:p>
      <w:pPr>
        <w:spacing w:after="160" w:line="300"/>
      </w:pPr>
      <w:r>
        <w:t>Mise à jour du 23 juillet 2026 : ce rappel de vaccin, jusqu'ici purement passif (visible seulement si le patient consultait cette page), déclenche désormais aussi un envoi proactif (email + SMS + notification in-app) dans les 7 jours précédant l'échéance — voir section 9.2.</w:t>
      </w:r>
    </w:p>
    <w:p>
      <w:pPr>
        <w:pStyle w:val="Heading2"/>
        <w:spacing w:after="150" w:before="300"/>
      </w:pPr>
      <w:r>
        <w:t xml:space="preserve">6.13 Profil (/profil)</w:t>
      </w:r>
    </w:p>
    <w:p>
      <w:pPr>
        <w:spacing w:after="160" w:line="300"/>
      </w:pPr>
      <w:r>
        <w:t xml:space="preserve">Page générique de profil, commune aux patients et aux praticiens : informations personnelles, section contact d'urgence, et pour les praticiens un bloc d'informations professionnelles reprenant les mêmes champs et le même composant que l'onglet Profil du tableau de bord praticien (spécialité en liste déroulante fermée, espèces acceptées, déplacement à domicile — harmonisé le 21 juillet 2026, voir section 7.5 et section 13). Une zone « zone dangereuse » permet la suppression définitive du compte : le clic ouvre désormais un écran de confirmation dédié qui liste précisément les données qui seront effacées et n'active le bouton de suppression définitive qu'une fois le mot SUPPRIMER saisi dans un champ dédié, en plus de la simple confirmation initiale.</w:t>
      </w:r>
    </w:p>
    <w:p>
      <w:pPr>
        <w:pStyle w:val="Heading2"/>
        <w:spacing w:after="150" w:before="300"/>
      </w:pPr>
      <w:r>
        <w:t xml:space="preserve">6.14 Pages légales (/cgu, /confidentialite)</w:t>
      </w:r>
    </w:p>
    <w:p>
      <w:pPr>
        <w:spacing w:after="160" w:line="300"/>
      </w:pPr>
      <w:r>
        <w:t xml:space="preserve">Deux pages publiques et accessibles sans connexion, servies par un unique composant (LegalPage.tsx), affichent les Conditions Générales d'Utilisation et la Politique de confidentialité, avec une navigation par ancre (#cgu, #confidentialite) plutôt que par appel réseau. Un bandeau signale que le contenu est un premier jet, établi à partir de la checklist CNIL, en attente de relecture par un professionnel du droit avant publication définitive ; les champs d'identité légale (raison sociale, SIRET, adresse, email de contact) sont encore des espaces réservés. L'acceptation des deux documents est obligatoire à l'inscription (section 6.2) et les liens restent accessibles en permanence depuis le pied de page de la page d'accueil (section 6.1).</w:t>
      </w:r>
    </w:p>
    <w:p>
      <w:pPr>
        <w:pStyle w:val="Heading2"/>
        <w:spacing w:after="150" w:before="300"/>
      </w:pPr>
      <w:r>
        <w:t xml:space="preserve">6.15 Vérification des praticiens par documents justificatifs</w:t>
      </w:r>
    </w:p>
    <w:p>
      <w:pPr>
        <w:spacing w:after="160" w:line="300"/>
      </w:pPr>
      <w:r>
        <w:t xml:space="preserve">Ajoutée le 21 juillet 2026. Un praticien peut utiliser son tableau de bord immédiatement après l'inscription (aucune attente bloquante), mais reste invisible du public — absent des résultats de recherche (section 6.4) et de sa fiche publique directe (section 6.5) — tant que son dossier n'est pas validé par un administrateur. doctors.verification_status vaut 'pending' (défaut), 'verified' ou 'rejected'. Depuis l'onglet Profil du tableau de bord (section 7.5), le praticien dépose un ou plusieurs documents (diplôme, carte professionnelle / numéro d'ordre, pièce d'identité) dans doctor_verification_documents, stockés dans le bucket privé verification-documents (URL signée valable 1 an à l'upload, jamais d'URL publique — contrairement aux buckets avatars/documents). Un trigger before update sur doctors (prevent_self_verification) annule silencieusement toute tentative de modifier verification_status ou verification_rejected_reason par une requête autre qu'émise par un administrateur (is_admin()), empêchant un praticien de s'auto-valider même via un appel API direct.</w:t>
      </w:r>
    </w:p>
    <w:p>
      <w:pPr>
        <w:pStyle w:val="Heading1"/>
        <w:spacing w:after="200" w:before="400"/>
      </w:pPr>
      <w:r>
        <w:t xml:space="preserve">7. Fonctionnalités — Tableau de bord praticien (/dashboard/doctor)</w:t>
      </w:r>
    </w:p>
    <w:p>
      <w:pPr>
        <w:spacing w:after="160" w:line="300"/>
      </w:pPr>
      <w:r>
        <w:t>Le tableau de bord praticien est organisé en huit onglets, pilotés par le paramètre d'URL ?tab= et le type DoctorTab (src/lib/doctorDashboardTabs.ts). Six onglets sont visibles directement dans la barre de navigation (Accueil, Mes patients, Tarifs, Disponibilités, Avis, Statistiques) ; les deux autres (Profil, Messages) sont accessibles via les icônes de la barre de navigation plutôt que par un onglet dédié.</w:t>
      </w:r>
    </w:p>
    <w:p>
      <w:pPr>
        <w:pStyle w:val="Heading2"/>
        <w:spacing w:after="150" w:before="300"/>
      </w:pPr>
      <w:r>
        <w:t xml:space="preserve">7.1 Accueil</w:t>
      </w:r>
    </w:p>
    <w:p>
      <w:pPr>
        <w:spacing w:after="160" w:line="300"/>
      </w:pPr>
      <w:r>
        <w:t xml:space="preserve">Bannière du prochain rendez-vous, quatre cartes d'indicateurs clés (KPI), un mini calendrier de la semaine, une liste de rendez-vous filtrable (aujourd'hui / cette semaine / tous / jour sélectionné) et un encart latéral récapitulant le profil.</w:t>
      </w:r>
    </w:p>
    <w:p>
      <w:pPr>
        <w:pStyle w:val="Heading2"/>
        <w:spacing w:after="150" w:before="300"/>
      </w:pPr>
      <w:r>
        <w:t xml:space="preserve">7.2 Mes patients</w:t>
      </w:r>
    </w:p>
    <w:p>
      <w:pPr>
        <w:spacing w:after="160" w:line="300"/>
      </w:pPr>
      <w:r>
        <w:t xml:space="preserve">Répertoire consultable et filtrable par recherche des animaux appartenant aux patients du praticien. Si le praticien appartient à un cabinet, la liste inclut les patients de l'ensemble du cabinet, avec indication du « praticien référent » pour chaque animal.</w:t>
      </w:r>
    </w:p>
    <w:p>
      <w:pPr>
        <w:pStyle w:val="Heading2"/>
        <w:spacing w:after="150" w:before="300"/>
      </w:pPr>
      <w:r>
        <w:t xml:space="preserve">7.3 Tarifs</w:t>
      </w:r>
    </w:p>
    <w:p>
      <w:pPr>
        <w:spacing w:after="160" w:line="300"/>
      </w:pPr>
      <w:r>
        <w:t xml:space="preserve">Liste des prestations du praticien, pré-remplie à la création du compte à partir des tarifs par défaut de sa profession (voir section 6.7). Si le praticien appartient à un cabinet, la vue regroupe les tarifs par praticien membre — chacun gérant les siens (RPC add_clinic_service / delete_clinic_service), l'administrateur du cabinet pouvant en plus tout supprimer.</w:t>
      </w:r>
    </w:p>
    <w:p>
      <w:pPr>
        <w:pStyle w:val="Heading2"/>
        <w:spacing w:after="150" w:before="300"/>
      </w:pPr>
      <w:r>
        <w:t xml:space="preserve">7.4 Disponibilités</w:t>
      </w:r>
    </w:p>
    <w:p>
      <w:pPr>
        <w:spacing w:after="160" w:line="300"/>
      </w:pPr>
      <w:r>
        <w:t xml:space="preserve">Deux volets : les créneaux hebdomadaires personnels et les congés (blocked_slots) du praticien, et un sous-onglet « Partagées » dédié au cabinet — création d'un nouveau cabinet ou adhésion à un cabinet existant via un code d'invitation, puis, une fois membre, un calendrier d'équipe complet (sélecteur de jour + grille horaire, une colonne par praticien membre, cellules de rendez-vous cliquables ouvrant une fenêtre de détail, jours de congé signalés par l'icône 🌴).</w:t>
      </w:r>
    </w:p>
    <w:p>
      <w:pPr>
        <w:pStyle w:val="Heading2"/>
        <w:spacing w:after="150" w:before="300"/>
      </w:pPr>
      <w:r>
        <w:t xml:space="preserve">7.5 Profil</w:t>
      </w:r>
    </w:p>
    <w:p>
      <w:pPr>
        <w:spacing w:after="160" w:line="300"/>
      </w:pPr>
      <w:r>
        <w:t xml:space="preserve">Trois sections : le profil du cabinet (nom, ville, adresse, téléphone, logo — édition réservée à l'administrateur/créateur du cabinet), le profil personnel (avatar, nom, profession — liste déroulante fermée issue de PRACTITIONER_TYPES, ville/adresse masquées si le praticien appartient à un cabinet, espèces acceptées et déplacement à domicile — alignés sur /profil depuis le 21 juillet 2026, biographie via l'éditeur de texte enrichi, téléphone), un bloc de vérification du profil (dépôt de documents justificatifs, statut en attente/vérifié/rejeté — voir section 6.15) inséré entre le profil personnel et l'export des données, et une zone dangereuse de suppression de compte avec confirmation.</w:t>
      </w:r>
    </w:p>
    <w:p>
      <w:pPr>
        <w:pStyle w:val="Heading2"/>
        <w:spacing w:after="150" w:before="300"/>
      </w:pPr>
      <w:r>
        <w:t xml:space="preserve">7.6 Avis</w:t>
      </w:r>
    </w:p>
    <w:p>
      <w:pPr>
        <w:spacing w:after="160" w:line="300"/>
      </w:pPr>
      <w:r>
        <w:t xml:space="preserve">Liste des avis reçus par le praticien.</w:t>
      </w:r>
    </w:p>
    <w:p>
      <w:pPr>
        <w:pStyle w:val="Heading2"/>
        <w:spacing w:after="150" w:before="300"/>
      </w:pPr>
      <w:r>
        <w:t xml:space="preserve">7.7 Messages</w:t>
      </w:r>
    </w:p>
    <w:p>
      <w:pPr>
        <w:spacing w:after="160" w:line="300"/>
      </w:pPr>
      <w:r>
        <w:t xml:space="preserve">Interface de messagerie complète, reprenant l'essentiel de la page Messages patient mais dans le contexte praticien (voir section 8).</w:t>
      </w:r>
    </w:p>
    <w:p>
      <w:pPr>
        <w:pStyle w:val="Heading2"/>
        <w:spacing w:after="150" w:before="300"/>
      </w:pPr>
      <w:r>
        <w:t>7.8 Statistiques</w:t>
      </w:r>
    </w:p>
    <w:p>
      <w:pPr>
        <w:spacing w:after="160" w:line="300"/>
      </w:pPr>
      <w:r>
        <w:t>Ajouté le 23 juillet 2026. Vue d'ensemble de l'activité du praticien, entièrement calculée côté client à partir des données déjà chargées par le tableau de bord (appointments, availabilities, doctor.consultation_price) — aucune requête ni migration dédiée. Quatre indicateurs : revenu total et sur les 30 derniers jours (somme du tarif de consultation sur les RDV au statut terminé), taux de no-show (no_show / (terminé + no_show) parmi les RDV passés), taux d'annulation (annulé / total RDV passés). Une barre de progression indique en complément le taux de remplissage sur les 30 derniers jours : nombre de RDV non annulés sur cette période, rapporté au nombre théorique de créneaux déductible des disponibilités récurrentes (jour de la semaine × amplitude horaire / slot_duration_minutes) — une estimation qui ne tient pas compte des congés posés (blocked_slots), donc légèrement optimiste. Un bandeau d'avertissement apparaît si le praticien a des RDV passés mais aucun encore clôturé (bouton Terminé/Absent sur AppointmentCard) : sans cette clôture manuelle, revenu et taux de no-show restent à zéro sans que la raison soit évidente pour lui.</w:t>
      </w:r>
    </w:p>
    <w:p>
      <w:pPr>
        <w:pStyle w:val="Heading1"/>
        <w:spacing w:after="200" w:before="400"/>
      </w:pPr>
      <w:r>
        <w:t xml:space="preserve">8. Messagerie et notifications</w:t>
      </w:r>
    </w:p>
    <w:p>
      <w:pPr>
        <w:pStyle w:val="Heading2"/>
        <w:spacing w:after="150" w:before="300"/>
      </w:pPr>
      <w:r>
        <w:t xml:space="preserve">8.1 Messagerie (/messages, patient — praticiens redirigés vers leur onglet dédié)</w:t>
      </w:r>
    </w:p>
    <w:p>
      <w:pPr>
        <w:spacing w:after="160" w:line="300"/>
      </w:pPr>
      <w:r>
        <w:t>La messagerie relie un patient à un praticien. La création d'une nouvelle conversation (« Nouveau message ») est restreinte aux praticiens avec lesquels le patient a déjà eu un rendez-vous passé — impossible de contacter un praticien jamais consulté. Les conversations peuvent être masquées individuellement (stockage localStorage par utilisateur, clé animeaux-hidden-conversations-${userId}) : le masquage est purement côté client, aucun message n'est jamais supprimé de la base ; une conversation masquée réapparaît automatiquement dès qu'un nouveau message y est reçu (comparaison de l'horodatage de masquage avec last_message_at). Le rafraîchissement de la conversation active et de la liste des contacts se fait en temps réel (voir mise à jour du 23 juillet 2026 ci-dessous).</w:t>
      </w:r>
    </w:p>
    <w:p>
      <w:pPr>
        <w:spacing w:after="160" w:line="300"/>
      </w:pPr>
      <w:r>
        <w:t>Mise à jour du 23 juillet 2026 : la messagerie fonctionnait jusque-là par polling toutes les 5 secondes (useConversation et useConversationPartners, src/hooks/useData.ts), remplacé par un abonnement Supabase Realtime aux INSERT sur la table messages (migration 064, qui ajoute messages à la publication supabase_realtime — désactivée table par table par défaut). useConversation filtre sur receiver_id=eq.&lt;id de l'utilisateur&gt; côté serveur (le filtre Realtime ne supporte qu'une seule condition de colonne) puis vérifie l'expéditeur côté client avant d'invalider le cache ; useConversationPartners utilise le même filtre pour rafraîchir instantanément dernier message et compteur de non-lus dans la liste des contacts. Les messages qu'on envoie soi-même restent gérés par l'invalidation optimiste existante de useSendMessage, qui corrige au passage une clé de cache obsolète (invalidait 'message-summaries', une clé qui n'a jamais correspondu à aucune query active, au lieu de 'conversation-partners').</w:t>
      </w:r>
    </w:p>
    <w:p>
      <w:pPr>
        <w:pStyle w:val="Heading2"/>
        <w:spacing w:after="150" w:before="300"/>
      </w:pPr>
      <w:r>
        <w:t xml:space="preserve">8.2 Notifications in-app</w:t>
      </w:r>
    </w:p>
    <w:p>
      <w:pPr>
        <w:spacing w:after="160" w:line="300"/>
      </w:pPr>
      <w:r>
        <w:t xml:space="preserve">Un panneau déroulant (cloche, NotificationBell) liste les notifications avec souscription temps réel et bouton « Tout effacer ». Les notifications de type new_message en sont exclues : elles sont gérées séparément par l'icône enveloppe de la barre de navigation, qui affiche un badge du nombre total de messages non lus tous interlocuteurs confondus.</w:t>
      </w:r>
    </w:p>
    <w:p>
      <w:pPr>
        <w:pStyle w:val="Heading1"/>
        <w:spacing w:after="200" w:before="400"/>
      </w:pPr>
      <w:r>
        <w:t xml:space="preserve">9. Emails transactionnels (Edge Functions Supabase)</w:t>
      </w:r>
    </w:p>
    <w:p>
      <w:pPr>
        <w:pStyle w:val="Heading2"/>
        <w:spacing w:after="150" w:before="300"/>
      </w:pPr>
      <w:r>
        <w:t xml:space="preserve">9.1 send-appointment-confirmation</w:t>
      </w:r>
    </w:p>
    <w:p>
      <w:pPr>
        <w:spacing w:after="160" w:line="300"/>
      </w:pPr>
      <w:r>
        <w:t xml:space="preserve">Appelée en best-effort à la création d'un rendez-vous (n'empêche pas la réservation en cas d'échec). Vérifie que l'appelant correspond bien au patient du rendez-vous, crée une notification in-app de type appointment_confirmed, puis envoie un email HTML via Resend si la variable d'environnement RESEND_API_KEY est configurée côté Supabase. Point critique découvert et corrigé le 21 juillet 2026 : cette fonction existait dans le code depuis longtemps mais n'avait jamais été déployée sur le projet Supabase (les Edge Functions ne se déploient pas automatiquement via git push — voir section 13) ; aucun email de confirmation de rendez-vous n'a donc jamais été envoyé en production jusqu'à cette date, l'appel best-effort échouant silencieusement (404) sans jamais bloquer la réservation.</w:t>
      </w:r>
    </w:p>
    <w:p>
      <w:pPr>
        <w:pStyle w:val="Heading2"/>
        <w:spacing w:after="150" w:before="300"/>
      </w:pPr>
      <w:r>
        <w:t xml:space="preserve">9.2 send-reminders</w:t>
      </w:r>
    </w:p>
    <w:p>
      <w:pPr>
        <w:spacing w:after="160" w:line="300"/>
      </w:pPr>
      <w:r>
        <w:t xml:space="preserve">Fonction destinée à être déclenchée toutes les heures par une tâche planifiée (cron) Supabase. Elle recherche les rendez-vous confirmés dont l'horaire tombe entre 24 et 25 heures dans le futur (fenêtre glissante correspondant à la fréquence horaire du cron) et crée pour chacun une notification in-app de type appointment_reminder. L'appel est sécurisé par comparaison de l'en-tête Authorization avec un secret CRON_SECRET défini en variable d'environnement.</w:t>
      </w:r>
    </w:p>
    <w:p>
      <w:pPr>
        <w:spacing w:after="160" w:line="300"/>
      </w:pPr>
      <w:r>
        <w:t xml:space="preserve">Mise à jour du 21 juillet 2026 : l'envoi de l'email de rappel via Resend est désormais implémenté (auparavant seule la notification in-app était créée), et le bug de résolution de user_id évoqué dans une version antérieure de ce document a été corrigé (user_id = patient_id directement, sans passer par profiles). Surtout, la fonction n'était jamais déployée sur le projet Supabase malgré ces corrections présentes dans le code : elle a été déployée manuellement ce même jour, et un job cron (pg_cron + pg_net, table Integrations → Cron) nommé send-reminders-hourly a été créé pour l'appeler chaque heure via un POST HTTP authentifié par le secret CRON_SECRET — aucun cron n'existait avant cette date, donc aucun rappel n'a jamais été envoyé en production.</w:t>
      </w:r>
    </w:p>
    <w:p>
      <w:pPr>
        <w:spacing w:after="160" w:line="300"/>
      </w:pPr>
      <w:r>
        <w:t>Mise à jour du 23 juillet 2026 : un SMS de rappel est désormais envoyé en plus de l'email et de la notification in-app, si le patient a un numéro de téléphone renseigné dans son profil (normalisé automatiquement au format E.164 quelle que soit la forme saisie). Envoyé via l'API SMS OVH (compte "Standard", service sms-ys52270-1) plutôt que Resend (qui ne fait que de l'email) — authentification propre à OVH par signature (sha1 de la clé secrète + Consumer Key + méthode + URL + corps + un timestamp récupéré depuis l'horloge officielle OVH pour éviter tout rejet lié à un décalage d'horloge). Quatre secrets Edge Functions : OVH_APP_KEY, OVH_APP_SECRET, OVH_CONSUMER_KEY, OVH_SMS_SERVICE_NAME. Comme pour Resend, entièrement best-effort : l'absence d'un secret ou d'un numéro de téléphone n'empêche jamais l'envoi de l'email ni la création de la notification in-app, le SMS est simplement omis silencieusement.</w:t>
      </w:r>
    </w:p>
    <w:p>
      <w:pPr>
        <w:spacing w:after="160" w:line="300"/>
      </w:pPr>
      <w:r>
        <w:t>Complément du 23 juillet 2026 : la même fonction envoie désormais aussi un rappel de vaccin (email + SMS + notification in-app) dans les 7 jours précédant vaccines.next_due_date, saisi par le praticien sur le dossier de santé de l'animal (section 6.10) — jusqu'ici affiché seulement passivement sur /rappels (section 6.12). Un seul envoi par vaccin (colonne reminder_sent_at, migration 066) : la fenêtre de 7 jours ne redéclenche pas l'alerte à chaque exécution horaire du cron.</w:t>
      </w:r>
    </w:p>
    <w:p>
      <w:pPr>
        <w:pStyle w:val="Heading2"/>
        <w:spacing w:after="150" w:before="300"/>
      </w:pPr>
      <w:r>
        <w:t xml:space="preserve">9.3 Domaine d'envoi dédié (monanimeaux.fr)</w:t>
      </w:r>
    </w:p>
    <w:p>
      <w:pPr>
        <w:spacing w:after="160" w:line="300"/>
      </w:pPr>
      <w:r>
        <w:t>Un nom de domaine dédié, monanimeaux.fr (acheté chez OVH le 20 juillet 2026 — animeaux.fr et animeaux.com étant tous deux détenus par des revendeurs tiers à des prix prohibitifs), a été ajouté et configuré sur Resend (DKIM, SPF/MX, DMARC) pour sortir du mode sandbox, qui limitait jusqu'ici l'envoi à la seule adresse du compte Resend. Le domaine est vérifié depuis le 23 juillet 2026 — un premier essai avait échoué (« Invalid DKIM ») car la valeur TXT resend._domainkey configurée chez OVH ne correspondait pas à la clé attendue par Resend (probablement une clé DKIM régénérée entre l'ajout initial du domaine et la configuration DNS), et le champ _dmarc contenait par erreur la clé DKIM au lieu de v=DMARC1; p=none; — les deux corrigés dans la zone DNS OVH. Le secret EMAIL_FROM a été ajouté aux Edge Functions Supabase (contact@monanimeaux.fr) pour remplacer l'expéditeur par défaut onboarding@resend.dev ; les emails transactionnels (confirmation de rendez-vous, rappels, identifiants secrétariat) peuvent désormais atteindre n'importe quel destinataire, plus seulement l'adresse du compte Resend.</w:t>
      </w:r>
    </w:p>
    <w:p>
      <w:pPr>
        <w:spacing w:after="160" w:line="300"/>
      </w:pPr>
      <w:r>
        <w:t>Mise à jour du 23 juillet 2026 : ce même domaine sert désormais aussi à accéder au site lui-même, en plus de son usage pour l'envoi d'emails — https://monanimeaux.fr affiche maintenant l'application (auparavant uniquement accessible via l'URL par défaut anim-aux-a2qn.vercel.app, qui reste également valide). Acheter un nom de domaine ne le connecte pas automatiquement à Vercel : la connexion a nécessité npx vercel domains add monanimeaux.fr, puis l'ajout d'un enregistrement DNS de type A (@ → 76.76.21.21) dans la zone OVH existante. Le choix a été fait de ne pas changer les serveurs de noms (nameservers) vers ceux de Vercel — cela aurait effacé toute la configuration DNS email déjà en place (DKIM, SPF, DMARC, voir ci-dessus) ; ajouter un simple enregistrement A préserve les autres enregistrements existants. Un ancien enregistrement A par défaut d'OVH (@ → 213.186.33.5) entrait en conflit avec le nouveau et a dû être supprimé dans la zone DNS pour que Vercel valide la configuration. Le certificat SSL (Let's Encrypt) a été généré automatiquement par Vercel quelques minutes après la validation DNS.</w:t>
      </w:r>
    </w:p>
    <w:p>
      <w:pPr>
        <w:spacing w:after="160" w:line="300"/>
      </w:pPr>
      <w:r>
        <w:t>Complément du 23 juillet 2026 : après la connexion du domaine, le captcha Cloudflare Turnstile (formulaires de connexion/inscription, composant src/components/ui/Turnstile.tsx) restait bloqué spécifiquement sur monanimeaux.fr, alors que le DNS et le certificat SSL fonctionnaient correctement (vérifié : dig depuis 4 résolveurs différents ne renvoyait qu'un seul enregistrement A, et curl confirmait un HTTP 200 systématique). Cause : Turnstile restreint chaque clé de site à une liste de noms d'hôte autorisés, configurée dans le dashboard Cloudflare (Application security &gt; Turnstile) — le widget "Animéaux" n'avait que localhost et anim-aux-a2qn.vercel.app dans sa liste, jamais mise à jour lors de l'ajout du domaine personnalisé. Corrigé en ajoutant monanimeaux.fr à la liste des hostnames autorisés du widget (aucun redéploiement nécessaire, la vérification se fait côté Cloudflare à chaque chargement).</w:t>
      </w:r>
    </w:p>
    <w:p>
      <w:pPr>
        <w:spacing w:after="160" w:line="300"/>
      </w:pPr>
      <w:r>
        <w:t>Complément du 23 juillet 2026 (suite) : deux autres réglages dépendant du domaine ont dû être mis à jour manuellement après la connexion de monanimeaux.fr, même catégorie de problème que le captcha Turnstile ci-dessus (une liste d'autorisation externe qui ne connaissait que l'ancien domaine .vercel.app). D'une part, la liste des Redirect URLs de Supabase Auth (Authentication &gt; URL Configuration) ne contenait pas monanimeaux.fr : sans cet ajout (https://monanimeaux.fr/**), le lien de réinitialisation de mot de passe (ForgotPassword.tsx, qui construit pourtant son URL dynamiquement via window.location.origin) aurait pu être rejeté silencieusement par Supabase pour quiconque utilise ce domaine. D'autre part, la fonction Edge invite-clinic-secretary construit le lien de connexion envoyé à un nouveau compte secrétariat à partir d'un secret APP_URL, avec un repli codé en dur sur https://anim-aux-a2qn.vercel.app si ce secret n'est pas défini — mis à jour vers https://monanimeaux.fr pour que ces emails pointent vers le bon domaine (secret ajouté dans Edge Functions &gt; Secrets, aucun redéploiement de la fonction nécessaire, les secrets sont lus à chaque exécution).</w:t>
      </w:r>
    </w:p>
    <w:p>
      <w:pPr>
        <w:pStyle w:val="Heading1"/>
        <w:spacing w:after="200" w:before="400"/>
      </w:pPr>
      <w:r>
        <w:t xml:space="preserve">10. Tableau de bord administrateur (/dashboard/admin)</w:t>
      </w:r>
    </w:p>
    <w:p>
      <w:pPr>
        <w:spacing w:after="160" w:line="300"/>
      </w:pPr>
      <w:r>
        <w:t>Depuis le 22 juillet 2026, le tableau de bord admin est complet. Vue d'ensemble : une rangée de cartes de statistiques générales (propriétaires, praticiens par statut de vérification, secrétariats, cabinets, rendez-vous, avis), puis trois graphiques Recharts — évolution des inscriptions praticiens/propriétaires sur 8 semaines, répartition des praticiens par statut de vérification (donut), rendez-vous par statut (barres) — alimentés par admin_platform_stats(). Trois onglets Praticiens (En attente / Validés / Rejetés) listent chaque praticien via admin_list_doctors_by_status(p_status) (profil résumé + documents, quel que soit le statut, contrairement à admin_list_pending_doctors() qui reste restreinte aux dossiers en attente et alimente toujours l'onglet En attente). Une recherche par nom, email ou spécialité est disponible sur les onglets Validés et Rejetés. Cliquer sur un praticien ouvre sa fiche complète (/dashboard/admin?doctor=&lt;id&gt;, RPC admin_doctor_detail) : coordonnées (email, téléphone, adresse), cabinet d'appartenance, n° RPPS, tarif de consultation, espèces acceptées, déplacement à domicile, biographie, statistiques de rendez-vous détaillées (total, à venir, terminés, annulés, note moyenne), documents justificatifs, et actions Valider/Rejeter/Contacter (lien mailto) — disponibles depuis n'importe quel statut, ce qui permet de corriger une décision a posteriori. Modération et reporting avancé : voir mise à jour du 23 juillet 2026 ci-dessous. La carte « Avis publiés » de la vue d'ensemble est cliquable (/dashboard/admin?view=reviews, RPC admin_list_reviews) : liste de tous les avis de la plateforme avec le praticien et le propriétaire associés, filtre rapide « Négatifs (≤2★) », filtre par note, tri (date, note), recherche libre, et mise en évidence visuelle des avis à 1-2 étoiles. La carte « Propriétaires » est elle aussi cliquable (/dashboard/admin?view=patients, RPC admin_list_patients) : liste recherchable de tous les comptes patient, chacun ouvrant une fiche détaillée (/dashboard/admin?patient=&lt;id&gt;, RPC admin_patient_detail — coordonnées, animaux, statistiques de rendez-vous, avis rédigés, contact). Profils patients et praticiens sont ainsi tous deux consultables depuis l'espace admin. Enfin, la carte « Cabinets » est cliquable elle aussi (/dashboard/admin?view=clinics, RPC admin_list_clinics) : liste recherchable de tous les cabinets, chacun ouvrant une fiche détaillée (/dashboard/admin?clinic=&lt;id&gt;, RPC admin_clinic_detail — coordonnées, propriétaire, praticiens membres avec leur statut de vérification et un lien direct vers leur propre dossier, comptes secrétariat rattachés, nombre de rendez-vous). Les trois types de profils de la plateforme — praticiens, propriétaires d'animaux, cabinets — sont ainsi tous consultables depuis l'espace admin. Les deux dernières cartes sont désormais cliquables elles aussi : « Secrétariats » (RPC admin_list_secretaries) liste tous les comptes secrétariat, chacun renvoyant vers la fiche de son cabinet ; « RDV à venir » et « RDV au total » (RPC admin_list_appointments, plafonnée aux 500 rendez-vous les plus récents) ouvrent une liste filtrable par statut avec recherche par praticien ou propriétaire. Toutes les cartes de la vue d'ensemble mènent donc désormais à un dossier ou une liste détaillée. Les cartes « Praticiens vérifiés / en attente / rejetés » de la vue d'ensemble sont elles aussi cliquables : chacune fait défiler la page vers la section des dossiers praticiens en sélectionnant l'onglet correspondant. Toutes les RPC sont SECURITY DEFINER et vérifient is_admin() côté serveur, indépendamment de ce qu'envoie le client. Accès réservé de fait : is_admin ne peut être activé que manuellement en base (UPDATE direct sur users.is_admin, voir section 2.3) ; il n'a plus de lien avec le role du compte depuis la migration 055, un compte is_admin étant en pratique dédié à l'administration (LoginPage redirige directement vers /dashboard/admin, la navbar masque le lien vers un dashboard propriétaire d'animal — voir section 3.5). Point d'attention historique : l'introduction du statut de vérification le 21 juillet 2026 a rendu 'pending' par défaut tous les praticiens déjà inscrits avant cette date (aucun n'avait de statut de vérification formel auparavant) — ils ont donc temporairement disparu des résultats de recherche jusqu'à validation manuelle a posteriori par un administrateur.</w:t>
      </w:r>
    </w:p>
    <w:p>
      <w:pPr>
        <w:spacing w:after="160" w:line="300"/>
      </w:pPr>
      <w:r>
        <w:t>Mise à jour du 23 juillet 2026 : modération avancée ajoutée (migration 063). Tout utilisateur connecté peut signaler un avis (lien discret sous chaque avis) ou un praticien (lien en bas de la sidebar de prise de RDV) via create_report(), en indiquant un motif libre. Une nouvelle carte « Signalements en attente » sur la vue d'ensemble (mise en évidence en rouge si non nulle) ouvre /dashboard/admin?view=reports (RPC admin_list_reports) : liste triée signalements en attente d'abord, avec aperçu de la cible (note et commentaire pour un avis, nom et spécialité pour un praticien), nom du signalant, et actions « Traité » / « Rejeter le signalement » (RPC admin_resolve_report, avec note admin optionnelle non visible des utilisateurs). Depuis la vue « Avis publiés », chaque avis peut désormais être supprimé définitivement (RPC admin_delete_review) — la moyenne et le nombre d'avis du praticien sont recalculés manuellement dans la fonction, le trigger trg_update_rating existant ne couvrant que insert/update, jamais delete. Les fiches praticien et propriétaire ont chacune un bouton Suspendre/Réactiver le compte (RPC admin_suspend_user / admin_unsuspend_user, avec motif optionnel) : un compte suspendu (users.is_suspended) est déconnecté de force dès la prochaine vérification de session (App.tsx à l'hydratation, ou immédiatement si la suspension survient pendant la tentative de connexion elle-même dans LoginPage.tsx) et redirigé vers /login avec le motif affiché ; impossible de suspendre son propre compte admin. Enfin, un journal d'actions admin (table admin_actions_log, lien discret « Journal d'actions admin » sous les cartes de la vue d'ensemble, RPC admin_list_actions_log plafonnée aux 300 entrées les plus récentes) trace qui a supprimé un avis, suspendu/réactivé un compte, ou traité un signalement, et quand — utile si plusieurs personnes obtiennent un jour un accès admin. Les tables reports et admin_actions_log ont RLS activé sans aucune policy cliente : tout accès passe exclusivement par des RPC SECURITY DEFINER vérifiant is_admin(), même principe que le reste de l'espace admin.</w:t>
      </w:r>
    </w:p>
    <w:p>
      <w:pPr>
        <w:pStyle w:val="Heading1"/>
        <w:spacing w:after="200" w:before="400"/>
      </w:pPr>
      <w:r>
        <w:t xml:space="preserve">11. Charte graphique et design system</w:t>
      </w:r>
    </w:p>
    <w:p>
      <w:pPr>
        <w:pStyle w:val="Heading2"/>
        <w:spacing w:after="150" w:before="300"/>
      </w:pPr>
      <w:r>
        <w:t xml:space="preserve">11.1 Couleurs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1820"/>
      </w:tblGrid>
      <w:tr>
        <w:trPr>
          <w:tblHeader/>
        </w:trPr>
        <w:tc>
          <w:tcPr>
            <w:tcW w:type="dxa" w:w="2400"/>
            <w:shd w:fill="F2820F" w:val="clear"/>
            <w:tcMar>
              <w:top w:type="dxa" w:w="80"/>
              <w:left w:type="dxa" w:w="100"/>
              <w:bottom w:type="dxa" w:w="80"/>
              <w:right w:type="dxa" w:w="100"/>
            </w:tcMar>
          </w:tcPr>
          <w:p>
            <w:r>
              <w:rPr>
                <w:b/>
                <w:bCs/>
                <w:color w:val="FFFFFF"/>
                <w:sz w:val="19"/>
                <w:szCs w:val="19"/>
              </w:rPr>
              <w:t xml:space="preserve">Nom du token</w:t>
            </w:r>
          </w:p>
        </w:tc>
        <w:tc>
          <w:tcPr>
            <w:tcW w:type="dxa" w:w="4800"/>
            <w:shd w:fill="F2820F" w:val="clear"/>
            <w:tcMar>
              <w:top w:type="dxa" w:w="80"/>
              <w:left w:type="dxa" w:w="100"/>
              <w:bottom w:type="dxa" w:w="80"/>
              <w:right w:type="dxa" w:w="100"/>
            </w:tcMar>
          </w:tcPr>
          <w:p>
            <w:r>
              <w:rPr>
                <w:b/>
                <w:bCs/>
                <w:color w:val="FFFFFF"/>
                <w:sz w:val="19"/>
                <w:szCs w:val="19"/>
              </w:rPr>
              <w:t xml:space="preserve">Usage</w:t>
            </w:r>
          </w:p>
        </w:tc>
        <w:tc>
          <w:tcPr>
            <w:tcW w:type="dxa" w:w="1820"/>
            <w:shd w:fill="F2820F" w:val="clear"/>
            <w:tcMar>
              <w:top w:type="dxa" w:w="80"/>
              <w:left w:type="dxa" w:w="100"/>
              <w:bottom w:type="dxa" w:w="80"/>
              <w:right w:type="dxa" w:w="100"/>
            </w:tcMar>
          </w:tcPr>
          <w:p>
            <w:r>
              <w:rPr>
                <w:b/>
                <w:bCs/>
                <w:color w:val="FFFFFF"/>
                <w:sz w:val="19"/>
                <w:szCs w:val="19"/>
              </w:rPr>
              <w:t xml:space="preserve">Couleur principale</w:t>
            </w:r>
          </w:p>
        </w:tc>
      </w:tr>
      <w:tr>
        <w:tc>
          <w:tcPr>
            <w:tcW w:type="dxa" w:w="2400"/>
            <w:tcMar>
              <w:top w:type="dxa" w:w="60"/>
              <w:left w:type="dxa" w:w="100"/>
              <w:bottom w:type="dxa" w:w="60"/>
              <w:right w:type="dxa" w:w="100"/>
            </w:tcMar>
          </w:tcPr>
          <w:p>
            <w:r>
              <w:rPr>
                <w:sz w:val="19"/>
                <w:szCs w:val="19"/>
              </w:rPr>
              <w:t xml:space="preserve">sage</w:t>
            </w:r>
          </w:p>
        </w:tc>
        <w:tc>
          <w:tcPr>
            <w:tcW w:type="dxa" w:w="4800"/>
            <w:tcMar>
              <w:top w:type="dxa" w:w="60"/>
              <w:left w:type="dxa" w:w="100"/>
              <w:bottom w:type="dxa" w:w="60"/>
              <w:right w:type="dxa" w:w="100"/>
            </w:tcMar>
          </w:tcPr>
          <w:p>
            <w:r>
              <w:rPr>
                <w:sz w:val="19"/>
                <w:szCs w:val="19"/>
              </w:rPr>
              <w:t xml:space="preserve">Couleur de marque principale (malgré son nom, une palette orange — nom conservé pour des raisons historiques)</w:t>
            </w:r>
          </w:p>
        </w:tc>
        <w:tc>
          <w:tcPr>
            <w:tcW w:type="dxa" w:w="1820"/>
            <w:tcMar>
              <w:top w:type="dxa" w:w="60"/>
              <w:left w:type="dxa" w:w="100"/>
              <w:bottom w:type="dxa" w:w="60"/>
              <w:right w:type="dxa" w:w="100"/>
            </w:tcMar>
          </w:tcPr>
          <w:p>
            <w:r>
              <w:rPr>
                <w:sz w:val="19"/>
                <w:szCs w:val="19"/>
              </w:rPr>
              <w:t xml:space="preserve">#F2820F (sage-500)</w:t>
            </w:r>
          </w:p>
        </w:tc>
      </w:tr>
      <w:tr>
        <w:tc>
          <w:tcPr>
            <w:tcW w:type="dxa" w:w="2400"/>
            <w:tcMar>
              <w:top w:type="dxa" w:w="60"/>
              <w:left w:type="dxa" w:w="100"/>
              <w:bottom w:type="dxa" w:w="60"/>
              <w:right w:type="dxa" w:w="100"/>
            </w:tcMar>
          </w:tcPr>
          <w:p>
            <w:r>
              <w:rPr>
                <w:sz w:val="19"/>
                <w:szCs w:val="19"/>
              </w:rPr>
              <w:t xml:space="preserve">moss</w:t>
            </w:r>
          </w:p>
        </w:tc>
        <w:tc>
          <w:tcPr>
            <w:tcW w:type="dxa" w:w="4800"/>
            <w:tcMar>
              <w:top w:type="dxa" w:w="60"/>
              <w:left w:type="dxa" w:w="100"/>
              <w:bottom w:type="dxa" w:w="60"/>
              <w:right w:type="dxa" w:w="100"/>
            </w:tcMar>
          </w:tcPr>
          <w:p>
            <w:r>
              <w:rPr>
                <w:sz w:val="19"/>
                <w:szCs w:val="19"/>
              </w:rPr>
              <w:t xml:space="preserve">Couleur secondaire, utilisée pour les données/étiquettes de statut</w:t>
            </w:r>
          </w:p>
        </w:tc>
        <w:tc>
          <w:tcPr>
            <w:tcW w:type="dxa" w:w="1820"/>
            <w:tcMar>
              <w:top w:type="dxa" w:w="60"/>
              <w:left w:type="dxa" w:w="100"/>
              <w:bottom w:type="dxa" w:w="60"/>
              <w:right w:type="dxa" w:w="100"/>
            </w:tcMar>
          </w:tcPr>
          <w:p>
            <w:r>
              <w:rPr>
                <w:sz w:val="19"/>
                <w:szCs w:val="19"/>
              </w:rPr>
              <w:t xml:space="preserve">vert, ex. moss-100 / moss-700</w:t>
            </w:r>
          </w:p>
        </w:tc>
      </w:tr>
      <w:tr>
        <w:tc>
          <w:tcPr>
            <w:tcW w:type="dxa" w:w="2400"/>
            <w:tcMar>
              <w:top w:type="dxa" w:w="60"/>
              <w:left w:type="dxa" w:w="100"/>
              <w:bottom w:type="dxa" w:w="60"/>
              <w:right w:type="dxa" w:w="100"/>
            </w:tcMar>
          </w:tcPr>
          <w:p>
            <w:r>
              <w:rPr>
                <w:sz w:val="19"/>
                <w:szCs w:val="19"/>
              </w:rPr>
              <w:t xml:space="preserve">primary</w:t>
            </w:r>
          </w:p>
        </w:tc>
        <w:tc>
          <w:tcPr>
            <w:tcW w:type="dxa" w:w="4800"/>
            <w:tcMar>
              <w:top w:type="dxa" w:w="60"/>
              <w:left w:type="dxa" w:w="100"/>
              <w:bottom w:type="dxa" w:w="60"/>
              <w:right w:type="dxa" w:w="100"/>
            </w:tcMar>
          </w:tcPr>
          <w:p>
            <w:r>
              <w:rPr>
                <w:sz w:val="19"/>
                <w:szCs w:val="19"/>
              </w:rPr>
              <w:t xml:space="preserve">Token vert hérité, non utilisé dans l'interface actuelle</w:t>
            </w:r>
          </w:p>
        </w:tc>
        <w:tc>
          <w:tcPr>
            <w:tcW w:type="dxa" w:w="1820"/>
            <w:tcMar>
              <w:top w:type="dxa" w:w="60"/>
              <w:left w:type="dxa" w:w="100"/>
              <w:bottom w:type="dxa" w:w="60"/>
              <w:right w:type="dxa" w:w="100"/>
            </w:tcMar>
          </w:tcPr>
          <w:p>
            <w:r>
              <w:rPr>
                <w:sz w:val="19"/>
                <w:szCs w:val="19"/>
              </w:rPr>
              <w:t xml:space="preserve">—</w:t>
            </w:r>
          </w:p>
        </w:tc>
      </w:tr>
    </w:tbl>
    <w:p>
      <w:pPr>
        <w:spacing w:after="160" w:line="300"/>
      </w:pPr>
      <w:r>
        <w:t xml:space="preserve">Police : Inter. Rayons de bordure étendus (2xl, 3xl) pour l'aspect arrondi caractéristique des cartes et boutons. Fond de page dominant : #FFFAF0 (blanc cassé chaleureux).</w:t>
      </w:r>
    </w:p>
    <w:p>
      <w:pPr>
        <w:pStyle w:val="Heading2"/>
        <w:spacing w:after="150" w:before="300"/>
      </w:pPr>
      <w:r>
        <w:t xml:space="preserve">11.2 Composants réutilisables (src/index.css)</w:t>
      </w:r>
    </w:p>
    <w:p>
      <w:pPr>
        <w:pStyle w:val="ListParagraph"/>
        <w:numPr>
          <w:ilvl w:val="0"/>
          <w:numId w:val="2"/>
        </w:numPr>
        <w:spacing w:after="100"/>
      </w:pPr>
      <w:r>
        <w:t xml:space="preserve">.btn-primary, .btn-secondary, .btn-danger — boutons</w:t>
      </w:r>
    </w:p>
    <w:p>
      <w:pPr>
        <w:pStyle w:val="ListParagraph"/>
        <w:numPr>
          <w:ilvl w:val="0"/>
          <w:numId w:val="2"/>
        </w:numPr>
        <w:spacing w:after="100"/>
      </w:pPr>
      <w:r>
        <w:t xml:space="preserve">.input — champs de formulaire</w:t>
      </w:r>
    </w:p>
    <w:p>
      <w:pPr>
        <w:pStyle w:val="ListParagraph"/>
        <w:numPr>
          <w:ilvl w:val="0"/>
          <w:numId w:val="2"/>
        </w:numPr>
        <w:spacing w:after="100"/>
      </w:pPr>
      <w:r>
        <w:t xml:space="preserve">.card — conteneur de carte</w:t>
      </w:r>
    </w:p>
    <w:p>
      <w:pPr>
        <w:pStyle w:val="ListParagraph"/>
        <w:numPr>
          <w:ilvl w:val="0"/>
          <w:numId w:val="2"/>
        </w:numPr>
        <w:spacing w:after="100"/>
      </w:pPr>
      <w:r>
        <w:t xml:space="preserve">.badge et ses 5 variantes de couleur — étiquettes de statut</w:t>
      </w:r>
    </w:p>
    <w:p>
      <w:pPr>
        <w:pStyle w:val="Heading1"/>
        <w:spacing w:after="200" w:before="400"/>
      </w:pPr>
      <w:r>
        <w:t xml:space="preserve">12. Table des routes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0"/>
      </w:tblGrid>
      <w:tr>
        <w:trPr>
          <w:tblHeader/>
        </w:trPr>
        <w:tc>
          <w:tcPr>
            <w:tcW w:type="dxa" w:w="2600"/>
            <w:shd w:fill="F2820F" w:val="clear"/>
            <w:tcMar>
              <w:top w:type="dxa" w:w="80"/>
              <w:left w:type="dxa" w:w="100"/>
              <w:bottom w:type="dxa" w:w="80"/>
              <w:right w:type="dxa" w:w="100"/>
            </w:tcMar>
          </w:tcPr>
          <w:p>
            <w:r>
              <w:rPr>
                <w:b/>
                <w:bCs/>
                <w:color w:val="FFFFFF"/>
                <w:sz w:val="19"/>
                <w:szCs w:val="19"/>
              </w:rPr>
              <w:t xml:space="preserve">Route</w:t>
            </w:r>
          </w:p>
        </w:tc>
        <w:tc>
          <w:tcPr>
            <w:tcW w:type="dxa" w:w="2600"/>
            <w:shd w:fill="F2820F" w:val="clear"/>
            <w:tcMar>
              <w:top w:type="dxa" w:w="80"/>
              <w:left w:type="dxa" w:w="100"/>
              <w:bottom w:type="dxa" w:w="80"/>
              <w:right w:type="dxa" w:w="100"/>
            </w:tcMar>
          </w:tcPr>
          <w:p>
            <w:r>
              <w:rPr>
                <w:b/>
                <w:bCs/>
                <w:color w:val="FFFFFF"/>
                <w:sz w:val="19"/>
                <w:szCs w:val="19"/>
              </w:rPr>
              <w:t xml:space="preserve">Accès</w:t>
            </w:r>
          </w:p>
        </w:tc>
        <w:tc>
          <w:tcPr>
            <w:tcW w:type="dxa" w:w="3820"/>
            <w:shd w:fill="F2820F" w:val="clear"/>
            <w:tcMar>
              <w:top w:type="dxa" w:w="80"/>
              <w:left w:type="dxa" w:w="100"/>
              <w:bottom w:type="dxa" w:w="80"/>
              <w:right w:type="dxa" w:w="100"/>
            </w:tcMar>
          </w:tcPr>
          <w:p>
            <w:r>
              <w:rPr>
                <w:b/>
                <w:bCs/>
                <w:color w:val="FFFFFF"/>
                <w:sz w:val="19"/>
                <w:szCs w:val="19"/>
              </w:rPr>
              <w:t xml:space="preserve">Page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LandingPage</w:t>
            </w:r>
          </w:p>
        </w:tc>
      </w:tr>
      <w:tr>
        <w:tc>
          <w:tcPr>
            <w:tcW w:type="dxa" w:w="2600"/>
            <w:tcMar>
              <w:top w:type="dxa" w:w="60"/>
              <w:left w:type="dxa" w:w="100"/>
              <w:bottom w:type="dxa" w:w="60"/>
              <w:right w:type="dxa" w:w="100"/>
            </w:tcMar>
          </w:tcPr>
          <w:p>
            <w:r>
              <w:rPr>
                <w:sz w:val="19"/>
                <w:szCs w:val="19"/>
              </w:rPr>
              <w:t xml:space="preserve">/search</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SearchPage</w:t>
            </w:r>
          </w:p>
        </w:tc>
      </w:tr>
      <w:tr>
        <w:tc>
          <w:tcPr>
            <w:tcW w:type="dxa" w:w="2600"/>
            <w:tcMar>
              <w:top w:type="dxa" w:w="60"/>
              <w:left w:type="dxa" w:w="100"/>
              <w:bottom w:type="dxa" w:w="60"/>
              <w:right w:type="dxa" w:w="100"/>
            </w:tcMar>
          </w:tcPr>
          <w:p>
            <w:r>
              <w:rPr>
                <w:sz w:val="19"/>
                <w:szCs w:val="19"/>
              </w:rPr>
              <w:t xml:space="preserve">/doctor/:id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DoctorPage</w:t>
            </w:r>
          </w:p>
        </w:tc>
      </w:tr>
      <w:tr>
        <w:tc>
          <w:tcPr>
            <w:tcW w:type="dxa" w:w="2600"/>
            <w:tcMar>
              <w:top w:type="dxa" w:w="60"/>
              <w:left w:type="dxa" w:w="100"/>
              <w:bottom w:type="dxa" w:w="60"/>
              <w:right w:type="dxa" w:w="100"/>
            </w:tcMar>
          </w:tcPr>
          <w:p>
            <w:r>
              <w:rPr>
                <w:sz w:val="19"/>
                <w:szCs w:val="19"/>
              </w:rPr>
              <w:t xml:space="preserve">/cabinet/:id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ClinicPage</w:t>
            </w:r>
          </w:p>
        </w:tc>
      </w:tr>
      <w:tr>
        <w:tc>
          <w:tcPr>
            <w:tcW w:type="dxa" w:w="2600"/>
            <w:tcMar>
              <w:top w:type="dxa" w:w="60"/>
              <w:left w:type="dxa" w:w="100"/>
              <w:bottom w:type="dxa" w:w="60"/>
              <w:right w:type="dxa" w:w="100"/>
            </w:tcMar>
          </w:tcPr>
          <w:p>
            <w:r>
              <w:rPr>
                <w:sz w:val="19"/>
                <w:szCs w:val="19"/>
              </w:rPr>
              <w:t xml:space="preserve">/login</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LoginPage</w:t>
            </w:r>
          </w:p>
        </w:tc>
      </w:tr>
      <w:tr>
        <w:tc>
          <w:tcPr>
            <w:tcW w:type="dxa" w:w="2600"/>
            <w:tcMar>
              <w:top w:type="dxa" w:w="60"/>
              <w:left w:type="dxa" w:w="100"/>
              <w:bottom w:type="dxa" w:w="60"/>
              <w:right w:type="dxa" w:w="100"/>
            </w:tcMar>
          </w:tcPr>
          <w:p>
            <w:r>
              <w:rPr>
                <w:sz w:val="19"/>
                <w:szCs w:val="19"/>
              </w:rPr>
              <w:t xml:space="preserve">/register</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RegisterPage</w:t>
            </w:r>
          </w:p>
        </w:tc>
      </w:tr>
      <w:tr>
        <w:tc>
          <w:tcPr>
            <w:tcW w:type="dxa" w:w="2600"/>
            <w:tcMar>
              <w:top w:type="dxa" w:w="60"/>
              <w:left w:type="dxa" w:w="100"/>
              <w:bottom w:type="dxa" w:w="60"/>
              <w:right w:type="dxa" w:w="100"/>
            </w:tcMar>
          </w:tcPr>
          <w:p>
            <w:r>
              <w:rPr>
                <w:sz w:val="19"/>
                <w:szCs w:val="19"/>
              </w:rPr>
              <w:t xml:space="preserve">/forgot-password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ForgotPassword</w:t>
            </w:r>
          </w:p>
        </w:tc>
      </w:tr>
      <w:tr>
        <w:tc>
          <w:tcPr>
            <w:tcW w:type="dxa" w:w="2600"/>
            <w:tcMar>
              <w:top w:type="dxa" w:w="60"/>
              <w:left w:type="dxa" w:w="100"/>
              <w:bottom w:type="dxa" w:w="60"/>
              <w:right w:type="dxa" w:w="100"/>
            </w:tcMar>
          </w:tcPr>
          <w:p>
            <w:r>
              <w:rPr>
                <w:sz w:val="19"/>
                <w:szCs w:val="19"/>
              </w:rPr>
              <w:t xml:space="preserve">/reset-password</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ResetPassword</w:t>
            </w:r>
          </w:p>
        </w:tc>
      </w:tr>
      <w:tr>
        <w:tc>
          <w:tcPr>
            <w:tcW w:type="dxa" w:w="2600"/>
            <w:tcMar>
              <w:top w:type="dxa" w:w="60"/>
              <w:left w:type="dxa" w:w="100"/>
              <w:bottom w:type="dxa" w:w="60"/>
              <w:right w:type="dxa" w:w="100"/>
            </w:tcMar>
          </w:tcPr>
          <w:p>
            <w:r>
              <w:rPr>
                <w:sz w:val="19"/>
                <w:szCs w:val="19"/>
              </w:rPr>
              <w:t xml:space="preserve">/book/:doctorId</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BookPage</w:t>
            </w:r>
          </w:p>
        </w:tc>
      </w:tr>
      <w:tr>
        <w:tc>
          <w:tcPr>
            <w:tcW w:type="dxa" w:w="2600"/>
            <w:tcMar>
              <w:top w:type="dxa" w:w="60"/>
              <w:left w:type="dxa" w:w="100"/>
              <w:bottom w:type="dxa" w:w="60"/>
              <w:right w:type="dxa" w:w="100"/>
            </w:tcMar>
          </w:tcPr>
          <w:p>
            <w:r>
              <w:rPr>
                <w:sz w:val="19"/>
                <w:szCs w:val="19"/>
              </w:rPr>
              <w:t xml:space="preserve">/dashboard/patient</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PatientDashboard</w:t>
            </w:r>
          </w:p>
        </w:tc>
      </w:tr>
      <w:tr>
        <w:tc>
          <w:tcPr>
            <w:tcW w:type="dxa" w:w="2600"/>
            <w:tcMar>
              <w:top w:type="dxa" w:w="60"/>
              <w:left w:type="dxa" w:w="100"/>
              <w:bottom w:type="dxa" w:w="60"/>
              <w:right w:type="dxa" w:w="100"/>
            </w:tcMar>
          </w:tcPr>
          <w:p>
            <w:r>
              <w:rPr>
                <w:sz w:val="19"/>
                <w:szCs w:val="19"/>
              </w:rPr>
              <w:t xml:space="preserve">/dashboard/doctor</w:t>
            </w:r>
          </w:p>
        </w:tc>
        <w:tc>
          <w:tcPr>
            <w:tcW w:type="dxa" w:w="2600"/>
            <w:tcMar>
              <w:top w:type="dxa" w:w="60"/>
              <w:left w:type="dxa" w:w="100"/>
              <w:bottom w:type="dxa" w:w="60"/>
              <w:right w:type="dxa" w:w="100"/>
            </w:tcMar>
          </w:tcPr>
          <w:p>
            <w:r>
              <w:rPr>
                <w:sz w:val="19"/>
                <w:szCs w:val="19"/>
              </w:rPr>
              <w:t xml:space="preserve">Praticien</w:t>
            </w:r>
          </w:p>
        </w:tc>
        <w:tc>
          <w:tcPr>
            <w:tcW w:type="dxa" w:w="3820"/>
            <w:tcMar>
              <w:top w:type="dxa" w:w="60"/>
              <w:left w:type="dxa" w:w="100"/>
              <w:bottom w:type="dxa" w:w="60"/>
              <w:right w:type="dxa" w:w="100"/>
            </w:tcMar>
          </w:tcPr>
          <w:p>
            <w:r>
              <w:rPr>
                <w:sz w:val="19"/>
                <w:szCs w:val="19"/>
              </w:rPr>
              <w:t xml:space="preserve">DoctorDashboard</w:t>
            </w:r>
          </w:p>
        </w:tc>
      </w:tr>
      <w:tr>
        <w:tc>
          <w:tcPr>
            <w:tcW w:type="dxa" w:w="2600"/>
            <w:tcMar>
              <w:top w:type="dxa" w:w="60"/>
              <w:left w:type="dxa" w:w="100"/>
              <w:bottom w:type="dxa" w:w="60"/>
              <w:right w:type="dxa" w:w="100"/>
            </w:tcMar>
          </w:tcPr>
          <w:p>
            <w:r>
              <w:rPr>
                <w:sz w:val="19"/>
                <w:szCs w:val="19"/>
              </w:rPr>
              <w:t xml:space="preserve">/dashboard/admin</w:t>
            </w:r>
          </w:p>
        </w:tc>
        <w:tc>
          <w:tcPr>
            <w:tcW w:type="dxa" w:w="2600"/>
            <w:tcMar>
              <w:top w:type="dxa" w:w="60"/>
              <w:left w:type="dxa" w:w="100"/>
              <w:bottom w:type="dxa" w:w="60"/>
              <w:right w:type="dxa" w:w="100"/>
            </w:tcMar>
          </w:tcPr>
          <w:p>
            <w:r>
              <w:rPr>
                <w:sz w:val="19"/>
                <w:szCs w:val="19"/>
              </w:rPr>
              <w:t xml:space="preserve">Admin</w:t>
            </w:r>
          </w:p>
        </w:tc>
        <w:tc>
          <w:tcPr>
            <w:tcW w:type="dxa" w:w="3820"/>
            <w:tcMar>
              <w:top w:type="dxa" w:w="60"/>
              <w:left w:type="dxa" w:w="100"/>
              <w:bottom w:type="dxa" w:w="60"/>
              <w:right w:type="dxa" w:w="100"/>
            </w:tcMar>
          </w:tcPr>
          <w:p>
            <w:r>
              <w:rPr>
                <w:sz w:val="19"/>
                <w:szCs w:val="19"/>
              </w:rPr>
              <w:t xml:space="preserve">AdminDashboard</w:t>
            </w:r>
          </w:p>
        </w:tc>
      </w:tr>
      <w:tr>
        <w:tc>
          <w:tcPr>
            <w:tcW w:type="dxa" w:w="2600"/>
            <w:tcMar>
              <w:top w:type="dxa" w:w="60"/>
              <w:left w:type="dxa" w:w="100"/>
              <w:bottom w:type="dxa" w:w="60"/>
              <w:right w:type="dxa" w:w="100"/>
            </w:tcMar>
          </w:tcPr>
          <w:p>
            <w:r>
              <w:rPr>
                <w:sz w:val="19"/>
                <w:szCs w:val="19"/>
              </w:rPr>
              <w:t xml:space="preserve">/messages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MessagesPage</w:t>
            </w:r>
          </w:p>
        </w:tc>
      </w:tr>
      <w:tr>
        <w:tc>
          <w:tcPr>
            <w:tcW w:type="dxa" w:w="2600"/>
            <w:tcMar>
              <w:top w:type="dxa" w:w="60"/>
              <w:left w:type="dxa" w:w="100"/>
              <w:bottom w:type="dxa" w:w="60"/>
              <w:right w:type="dxa" w:w="100"/>
            </w:tcMar>
          </w:tcPr>
          <w:p>
            <w:r>
              <w:rPr>
                <w:sz w:val="19"/>
                <w:szCs w:val="19"/>
              </w:rPr>
              <w:t xml:space="preserve">/animal/:id</w:t>
            </w:r>
          </w:p>
        </w:tc>
        <w:tc>
          <w:tcPr>
            <w:tcW w:type="dxa" w:w="2600"/>
            <w:tcMar>
              <w:top w:type="dxa" w:w="60"/>
              <w:left w:type="dxa" w:w="100"/>
              <w:bottom w:type="dxa" w:w="60"/>
              <w:right w:type="dxa" w:w="100"/>
            </w:tcMar>
          </w:tcPr>
          <w:p>
            <w:r>
              <w:rPr>
                <w:sz w:val="19"/>
                <w:szCs w:val="19"/>
              </w:rPr>
              <w:t xml:space="preserve">Patient + Praticien</w:t>
            </w:r>
          </w:p>
        </w:tc>
        <w:tc>
          <w:tcPr>
            <w:tcW w:type="dxa" w:w="3820"/>
            <w:tcMar>
              <w:top w:type="dxa" w:w="60"/>
              <w:left w:type="dxa" w:w="100"/>
              <w:bottom w:type="dxa" w:w="60"/>
              <w:right w:type="dxa" w:w="100"/>
            </w:tcMar>
          </w:tcPr>
          <w:p>
            <w:r>
              <w:rPr>
                <w:sz w:val="19"/>
                <w:szCs w:val="19"/>
              </w:rPr>
              <w:t xml:space="preserve">AnimalHealthPage</w:t>
            </w:r>
          </w:p>
        </w:tc>
      </w:tr>
      <w:tr>
        <w:tc>
          <w:tcPr>
            <w:tcW w:type="dxa" w:w="2600"/>
            <w:tcMar>
              <w:top w:type="dxa" w:w="60"/>
              <w:left w:type="dxa" w:w="100"/>
              <w:bottom w:type="dxa" w:w="60"/>
              <w:right w:type="dxa" w:w="100"/>
            </w:tcMar>
          </w:tcPr>
          <w:p>
            <w:r>
              <w:rPr>
                <w:sz w:val="19"/>
                <w:szCs w:val="19"/>
              </w:rPr>
              <w:t xml:space="preserve">/documents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PatientDocumentsPage</w:t>
            </w:r>
          </w:p>
        </w:tc>
      </w:tr>
      <w:tr>
        <w:tc>
          <w:tcPr>
            <w:tcW w:type="dxa" w:w="2600"/>
            <w:tcMar>
              <w:top w:type="dxa" w:w="60"/>
              <w:left w:type="dxa" w:w="100"/>
              <w:bottom w:type="dxa" w:w="60"/>
              <w:right w:type="dxa" w:w="100"/>
            </w:tcMar>
          </w:tcPr>
          <w:p>
            <w:r>
              <w:rPr>
                <w:sz w:val="19"/>
                <w:szCs w:val="19"/>
              </w:rPr>
              <w:t xml:space="preserve">/rappels</w:t>
            </w:r>
          </w:p>
        </w:tc>
        <w:tc>
          <w:tcPr>
            <w:tcW w:type="dxa" w:w="2600"/>
            <w:tcMar>
              <w:top w:type="dxa" w:w="60"/>
              <w:left w:type="dxa" w:w="100"/>
              <w:bottom w:type="dxa" w:w="60"/>
              <w:right w:type="dxa" w:w="100"/>
            </w:tcMar>
          </w:tcPr>
          <w:p>
            <w:r>
              <w:rPr>
                <w:sz w:val="19"/>
                <w:szCs w:val="19"/>
              </w:rPr>
              <w:t xml:space="preserve">Patient</w:t>
            </w:r>
          </w:p>
        </w:tc>
        <w:tc>
          <w:tcPr>
            <w:tcW w:type="dxa" w:w="3820"/>
            <w:tcMar>
              <w:top w:type="dxa" w:w="60"/>
              <w:left w:type="dxa" w:w="100"/>
              <w:bottom w:type="dxa" w:w="60"/>
              <w:right w:type="dxa" w:w="100"/>
            </w:tcMar>
          </w:tcPr>
          <w:p>
            <w:r>
              <w:rPr>
                <w:sz w:val="19"/>
                <w:szCs w:val="19"/>
              </w:rPr>
              <w:t xml:space="preserve">RemindersPage</w:t>
            </w:r>
          </w:p>
        </w:tc>
      </w:tr>
      <w:tr>
        <w:tc>
          <w:tcPr>
            <w:tcW w:type="dxa" w:w="2600"/>
            <w:tcMar>
              <w:top w:type="dxa" w:w="60"/>
              <w:left w:type="dxa" w:w="100"/>
              <w:bottom w:type="dxa" w:w="60"/>
              <w:right w:type="dxa" w:w="100"/>
            </w:tcMar>
          </w:tcPr>
          <w:p>
            <w:r>
              <w:rPr>
                <w:sz w:val="19"/>
                <w:szCs w:val="19"/>
              </w:rPr>
              <w:t xml:space="preserve">/profil</w:t>
            </w:r>
          </w:p>
        </w:tc>
        <w:tc>
          <w:tcPr>
            <w:tcW w:type="dxa" w:w="2600"/>
            <w:tcMar>
              <w:top w:type="dxa" w:w="60"/>
              <w:left w:type="dxa" w:w="100"/>
              <w:bottom w:type="dxa" w:w="60"/>
              <w:right w:type="dxa" w:w="100"/>
            </w:tcMar>
          </w:tcPr>
          <w:p>
            <w:r>
              <w:rPr>
                <w:sz w:val="19"/>
                <w:szCs w:val="19"/>
              </w:rPr>
              <w:t xml:space="preserve">Connecté (tout rôle)</w:t>
            </w:r>
          </w:p>
        </w:tc>
        <w:tc>
          <w:tcPr>
            <w:tcW w:type="dxa" w:w="3820"/>
            <w:tcMar>
              <w:top w:type="dxa" w:w="60"/>
              <w:left w:type="dxa" w:w="100"/>
              <w:bottom w:type="dxa" w:w="60"/>
              <w:right w:type="dxa" w:w="100"/>
            </w:tcMar>
          </w:tcPr>
          <w:p>
            <w:r>
              <w:rPr>
                <w:sz w:val="19"/>
                <w:szCs w:val="19"/>
              </w:rPr>
              <w:t xml:space="preserve">ProfilPage</w:t>
            </w:r>
          </w:p>
        </w:tc>
      </w:tr>
      <w:tr>
        <w:tc>
          <w:tcPr>
            <w:tcW w:type="dxa" w:w="2600"/>
            <w:tcMar>
              <w:top w:type="dxa" w:w="60"/>
              <w:left w:type="dxa" w:w="100"/>
              <w:bottom w:type="dxa" w:w="60"/>
              <w:right w:type="dxa" w:w="100"/>
            </w:tcMar>
          </w:tcPr>
          <w:p>
            <w:r>
              <w:rPr>
                <w:sz w:val="19"/>
                <w:szCs w:val="19"/>
              </w:rPr>
              <w:t xml:space="preserve">/cgu</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/confidentialite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LegalPage</w:t>
            </w:r>
          </w:p>
        </w:tc>
      </w:tr>
      <w:tr>
        <w:tc>
          <w:tcPr>
            <w:tcW w:type="dxa" w:w="2600"/>
            <w:tcMar>
              <w:top w:type="dxa" w:w="60"/>
              <w:left w:type="dxa" w:w="100"/>
              <w:bottom w:type="dxa" w:w="60"/>
              <w:right w:type="dxa" w:w="100"/>
            </w:tcMar>
          </w:tcPr>
          <w:p>
            <w:r>
              <w:rPr>
                <w:sz w:val="19"/>
                <w:szCs w:val="19"/>
              </w:rPr>
              <w:t xml:space="preserve">/logo-preview</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LogoPreview (page technique)</w:t>
            </w:r>
          </w:p>
        </w:tc>
      </w:tr>
      <w:tr>
        <w:tc>
          <w:tcPr>
            <w:tcW w:type="dxa" w:w="2600"/>
            <w:tcMar>
              <w:top w:type="dxa" w:w="60"/>
              <w:left w:type="dxa" w:w="100"/>
              <w:bottom w:type="dxa" w:w="60"/>
              <w:right w:type="dxa" w:w="100"/>
            </w:tcMar>
          </w:tcPr>
          <w:p>
            <w:r>
              <w:rPr>
                <w:sz w:val="19"/>
                <w:szCs w:val="19"/>
              </w:rPr>
              <w:t xml:space="preserve">*</w:t>
            </w:r>
          </w:p>
        </w:tc>
        <w:tc>
          <w:tcPr>
            <w:tcW w:type="dxa" w:w="2600"/>
            <w:tcMar>
              <w:top w:type="dxa" w:w="60"/>
              <w:left w:type="dxa" w:w="100"/>
              <w:bottom w:type="dxa" w:w="60"/>
              <w:right w:type="dxa" w:w="100"/>
            </w:tcMar>
          </w:tcPr>
          <w:p>
            <w:r>
              <w:rPr>
                <w:sz w:val="19"/>
                <w:szCs w:val="19"/>
              </w:rPr>
              <w:t xml:space="preserve">Public</w:t>
            </w:r>
          </w:p>
        </w:tc>
        <w:tc>
          <w:tcPr>
            <w:tcW w:type="dxa" w:w="3820"/>
            <w:tcMar>
              <w:top w:type="dxa" w:w="60"/>
              <w:left w:type="dxa" w:w="100"/>
              <w:bottom w:type="dxa" w:w="60"/>
              <w:right w:type="dxa" w:w="100"/>
            </w:tcMar>
          </w:tcPr>
          <w:p>
            <w:r>
              <w:rPr>
                <w:sz w:val="19"/>
                <w:szCs w:val="19"/>
              </w:rPr>
              <w:t xml:space="preserve">Redirection vers /</w:t>
            </w:r>
          </w:p>
        </w:tc>
      </w:tr>
    </w:tbl>
    <w:p>
      <w:pPr>
        <w:spacing w:after="160" w:line="300"/>
      </w:pPr>
      <w:r>
        <w:t xml:space="preserve">La Navbar est gérée de façon centralisée dans le composant Layout de App.tsx et ne doit jamais être importée directement dans une page individuelle. Elle est masquée sur les routes /, /login, /register et /forgot-password.</w:t>
      </w:r>
    </w:p>
    <w:p>
      <w:pPr>
        <w:pStyle w:val="Heading1"/>
        <w:spacing w:after="200" w:before="400"/>
      </w:pPr>
      <w:r>
        <w:t xml:space="preserve">13. Points d'attention pour un développeur reprenant le projet</w:t>
      </w:r>
    </w:p>
    <w:p>
      <w:pPr>
        <w:pStyle w:val="ListParagraph"/>
        <w:numPr>
          <w:ilvl w:val="0"/>
          <w:numId w:val="2"/>
        </w:numPr>
        <w:spacing w:after="100"/>
      </w:pPr>
      <w:r>
        <w:t xml:space="preserve">Ne jamais interroger directement les tables users ou profiles depuis le client pour un autre utilisateur que soi-même : ces requêtes provoquent des timeouts à cause de politiques RLS récursives. Toujours passer par le RPC get_my_user_data() ou par les RPC dédiées listées en section 5.1.</w:t>
      </w:r>
    </w:p>
    <w:p>
      <w:pPr>
        <w:pStyle w:val="ListParagraph"/>
        <w:numPr>
          <w:ilvl w:val="0"/>
          <w:numId w:val="2"/>
        </w:numPr>
        <w:spacing w:after="100"/>
      </w:pPr>
      <w:r>
        <w:t xml:space="preserve">Sept tables (animals, vaccines, weight_tracking, health_records, clinics, clinic_members, clinic_services) ne sont pas dans les migrations committées : leur schéma doit être exporté depuis le projet Supabase existant ou recréé à partir de la section 4 de ce document.</w:t>
      </w:r>
    </w:p>
    <w:p>
      <w:pPr>
        <w:pStyle w:val="ListParagraph"/>
        <w:numPr>
          <w:ilvl w:val="0"/>
          <w:numId w:val="2"/>
        </w:numPr>
        <w:spacing w:after="100"/>
      </w:pPr>
      <w:r>
        <w:t xml:space="preserve">Les Edge Functions Supabase ne se déploient jamais automatiquement via git push (contrairement au site, déployé sur Vercel à chaque push) : toute nouvelle fonction ou modification doit être déployée manuellement, via la CLI Supabase ou l'éditeur en ligne du dashboard (Edge Functions → Deploy a new function → Via Editor). C'est ce qui explique que send-appointment-confirmation et send-reminders soient restées absentes de la production pendant des semaines malgré un code correct — seule invite-clinic-secretary avait été déployée. Un rappel systématique après toute modification d'une Edge Function : vérifier sa présence dans Edge Functions → Functions sur le dashboard Supabase.</w:t>
      </w:r>
    </w:p>
    <w:p>
      <w:pPr>
        <w:pStyle w:val="ListParagraph"/>
        <w:numPr>
          <w:ilvl w:val="0"/>
          <w:numId w:val="2"/>
        </w:numPr>
        <w:spacing w:after="100"/>
      </w:pPr>
      <w:r>
        <w:t xml:space="preserve">Résolu le 21 juillet 2026 : le champ spécialité (déjà corrigé en amont de cette session, commit dee4020) et les champs espèces acceptées / déplacement à domicile (ajoutés à l'onglet Profil du tableau de bord praticien à cette date) sont désormais cohérents entre /profil et /dashboard/doctor?tab=profil — les deux pages utilisent les mêmes composants et enregistrent les mêmes colonnes via useUpdateDoctor.</w:t>
      </w:r>
    </w:p>
    <w:p>
      <w:pPr>
        <w:pStyle w:val="ListParagraph"/>
        <w:numPr>
          <w:ilvl w:val="0"/>
          <w:numId w:val="2"/>
        </w:numPr>
        <w:spacing w:after="100"/>
      </w:pPr>
      <w:r>
        <w:t>Résolu le 23 juillet 2026 : la fiche praticien affiche désormais une vraie carte Leaflet (src/components/doctor/LocationMap.tsx) au lieu du placeholder texte, avec le correctif habituel pour les icônes de marqueur (chemins d'images par défaut de Leaflet non résolus par le bundler Vite — réassignés vers le CDN unpkg).</w:t>
      </w:r>
    </w:p>
    <w:p>
      <w:pPr>
        <w:pStyle w:val="ListParagraph"/>
        <w:numPr>
          <w:ilvl w:val="0"/>
          <w:numId w:val="2"/>
        </w:numPr>
        <w:spacing w:after="100"/>
      </w:pPr>
      <w:r>
        <w:t xml:space="preserve">Résolu le 23 juillet 2026 : les colonnes clinics.lat/lng (migration 038, censée les ajouter et mettre à jour search_clinics/get_clinic_info en conséquence) n'avaient en réalité jamais été appliquées en production — la migration existait dans le code mais n'avait jamais été exécutée. Conséquences en cascade, découvertes en testant la carte praticien : get_doctor_clinic() ne remontait aucune coordonnée pour un cabinet (la carte restait vide pour tout praticien membre d'un cabinet), et "Autour de moi" ne calculait jamais de distance pour les cabinets. Les trois fonctions ont été redéployées, la colonne ajoutée, puis les cabinets/praticiens déjà créés avant ce correctif ont été géocodés rétroactivement à la main (API Adresse gratuite du gouvernement, la même que celle utilisée par geocodeAddress côté client) : toute nouvelle mise à jour de profil déclenche déjà le géocodage automatiquement, seuls les profils jamais resauvegardés depuis l'ajout de cette fonctionnalité restaient concernés.</w:t>
      </w:r>
    </w:p>
    <w:p>
      <w:pPr>
        <w:pStyle w:val="ListParagraph"/>
        <w:numPr>
          <w:ilvl w:val="0"/>
          <w:numId w:val="2"/>
        </w:numPr>
        <w:spacing w:after="100"/>
      </w:pPr>
      <w:r>
        <w:t xml:space="preserve">Le nom de package npm (« pawcare ») diffère du nom commercial (« Animéaux ») ; purement cosmétique.</w:t>
      </w:r>
    </w:p>
    <w:p>
      <w:pPr>
        <w:pStyle w:val="ListParagraph"/>
        <w:numPr>
          <w:ilvl w:val="0"/>
          <w:numId w:val="2"/>
        </w:numPr>
        <w:spacing w:after="100"/>
      </w:pPr>
      <w:r>
        <w:t xml:space="preserve">Toute modification du modèle de données passe par une nouvelle migration numérotée dans supabase/migrations/, exécutée manuellement dans Supabase → SQL Editor pour les tables citées ci-dessus qui ne sont pas encore committées.</w:t>
      </w:r>
    </w:p>
    <w:p>
      <w:pPr>
        <w:pStyle w:val="ListParagraph"/>
        <w:numPr>
          <w:ilvl w:val="0"/>
          <w:numId w:val="2"/>
        </w:numPr>
        <w:spacing w:after="100"/>
      </w:pPr>
      <w:r>
        <w:t xml:space="preserve">Le contenu des pages légales (/cgu, /confidentialite, section 6.14) est un premier jet non validé juridiquement : il ne doit pas être considéré comme définitif tant qu'il n'a pas été relu par un professionnel du droit, et les champs d'identité légale (SIRET, adresse, email de contact) restent à compléter avant toute mise en production réelle.</w:t>
      </w:r>
    </w:p>
    <w:p>
      <w:pPr>
        <w:pStyle w:val="ListParagraph"/>
        <w:numPr>
          <w:ilvl w:val="0"/>
          <w:numId w:val="2"/>
        </w:numPr>
        <w:spacing w:after="100"/>
      </w:pPr>
      <w:r>
        <w:t xml:space="preserve">Les clés Turnstile et Sentry (section 3.7) sont propres au compte Cloudflare/Sentry de la fondatrice du projet : un développeur reprenant le projet devra créer ses propres comptes (gratuits) et régénérer VITE_TURNSTILE_SITE_KEY, la clé secrète Turnstile côté Supabase, et VITE_SENTRY_DSN.</w:t>
      </w:r>
    </w:p>
    <w:p>
      <w:pPr>
        <w:pStyle w:val="ListParagraph"/>
        <w:numPr>
          <w:ilvl w:val="0"/>
          <w:numId w:val="2"/>
        </w:numPr>
        <w:spacing w:after="100"/>
      </w:pPr>
      <w:r>
        <w:t xml:space="preserve">Si la protection captcha Supabase Auth (Attack Protection) est activée, toute page appelant supabase.auth.signUp, signInWithPassword ou resetPasswordForEmail doit inclure le widget Turnstile et transmettre options.captchaToken — sans quoi la requête échoue avec captcha_failed (voir section 3.7, bug critique corrigé le 21 juillet 2026 sur /login et /forgot-password).</w:t>
      </w:r>
    </w:p>
    <w:p>
      <w:pPr>
        <w:pStyle w:val="ListParagraph"/>
        <w:numPr>
          <w:ilvl w:val="0"/>
          <w:numId w:val="2"/>
        </w:numPr>
        <w:spacing w:after="100"/>
      </w:pPr>
      <w:r>
        <w:t xml:space="preserve">Toute fonction PostgreSQL SECURITY DEFINER doit fixer explicitement search_path (ex. set search_path = public dans sa définition) et qualifier ses types par leur schéma (public.user_role plutôt que user_role). Son omission dans handle_new_user() a cassé toutes les inscriptions (patient et praticien) en production le 21 juillet 2026 pendant plusieurs heures : le rôle technique supabase_auth_admin, qui exécute ce trigger à chaque inscription, n'a pas 'public' dans son search_path par défaut, provoquant l'erreur 'type "user_role" does not exist' et un message générique 'Database error saving new user' côté client — sans lien apparent avec la cause réelle. Diagnostiqué via Logs → Postgres Logs dans le dashboard Supabase (pas via les logs applicatifs).</w:t>
      </w:r>
    </w:p>
    <w:p>
      <w:pPr>
        <w:pStyle w:val="ListParagraph"/>
        <w:numPr>
          <w:ilvl w:val="0"/>
          <w:numId w:val="2"/>
        </w:numPr>
        <w:spacing w:after="100"/>
      </w:pPr>
      <w:r>
        <w:t xml:space="preserve">Le résultat d'un CASE WHEN sur des littéraux texte est résolu en type text par Postgres : l'insérer directement dans une colonne enum (ex. notifications.type) échoue avec 'column is of type X but expression is of type text', contrairement à un littéral direct qui bénéficie d'une coercion implicite. Caster explicitement (...)::mon_enum.</w:t>
      </w:r>
    </w:p>
    <w:p>
      <w:pPr>
        <w:pStyle w:val="ListParagraph"/>
        <w:numPr>
          <w:ilvl w:val="0"/>
          <w:numId w:val="2"/>
        </w:numPr>
        <w:spacing w:after="100"/>
      </w:pPr>
      <w:r>
        <w:t xml:space="preserve">Résolu le 22 juillet 2026 : l'espace secrétariat rattachait un accès «Espace secrétariat» à un compte praticien/patient/admin existant lorsque l'email invité correspondait à un compte déjà créé (simple lien ajouté à la navbar, sans nouveaux identifiants) — perçu comme un onglet du dashboard praticien plutôt qu'un espace réellement séparé. L'Edge Function invite-clinic-secretary refuse désormais tout email déjà utilisé par un autre compte Animéaux et crée systématiquement un compte dédié (role secretary, identifiants propres) ; le raccourci de navbar bolt-on est retiré, useMyClinicStaffInfo et la route /dashboard/secretariat sont restreints au rôle secretary.</w:t>
      </w:r>
    </w:p>
    <w:p>
      <w:pPr>
        <w:pStyle w:val="ListParagraph"/>
        <w:numPr>
          <w:ilvl w:val="0"/>
          <w:numId w:val="2"/>
        </w:numPr>
        <w:spacing w:after="100"/>
      </w:pPr>
      <w:r>
        <w:t xml:space="preserve">Résolu le 22 juillet 2026 : mettre un compte personnel en role = 'admin' pour lui donner accès au tableau de bord admin lui faisait perdre son tableau de bord habituel (role est une valeur unique, incompatible avec 'patient'). is_admin est désormais une colonne booléenne indépendante sur users (migration 055) : is_admin() et get_my_user_data() la lisent directement, ProtectedRoute contourne les vérifications de rôle sur is_admin plutôt que sur role = 'admin'.</w:t>
      </w:r>
    </w:p>
    <w:p>
      <w:pPr>
        <w:pStyle w:val="ListParagraph"/>
        <w:numPr>
          <w:ilvl w:val="0"/>
          <w:numId w:val="2"/>
        </w:numPr>
        <w:spacing w:after="100"/>
      </w:pPr>
      <w:r>
        <w:t xml:space="preserve">Le 23 juillet 2026, l'identifiant de connexion du compte secrétariat est devenu un code généré (ex. CAB4X9QZ) plutôt que l'email tapé par le praticien à l'invitation : Supabase Auth exige un champ email valide, donc ce code est transformé en email synthétique (code@secretariat.animeaux.internal, domaine non résolvable, jamais utilisé pour un envoi réel) uniquement pour satisfaire cette contrainte technique. L'email réellement saisi par le praticien ne sert plus qu'au routage Resend (destinataire de l'email d'identifiants), plus jamais à l'identité du compte.</w:t>
      </w:r>
    </w:p>
    <w:p>
      <w:pPr>
        <w:pStyle w:val="ListParagraph"/>
        <w:numPr>
          <w:ilvl w:val="0"/>
          <w:numId w:val="2"/>
        </w:numPr>
        <w:spacing w:after="100"/>
      </w:pPr>
      <w:r>
        <w:t>Résolu le 23 juillet 2026 : la messagerie (MessagesPage.tsx, DoctorDashboard.tsx) gérait déjà son propre temps réel via des canaux Supabase ('msgs' / 'doctor-msgs', écoute postgres_changes sur messages) — invisible en lisant seulement useConversation/useConversationPartners dans useData.ts, dont le rafraîchissement toutes les 5 secondes ressemblait à un simple polling sans alternative. Une tentative d'ajouter du temps réel au niveau des hooks (en plus de celui déjà présent au niveau des pages) a fait planter la page Messages en production sur mobile juste après déploiement (« Une erreur est survenue », capturée par Sentry) — annulée immédiatement, retour au polling existant. Leçon : avant d'ajouter une fonctionnalité dans la couche données (useData.ts), vérifier que le composant qui l'utilise ne la gère pas déjà lui-même.</w:t>
      </w:r>
    </w:p>
    <w:p>
      <w:pPr>
        <w:pStyle w:val="ListParagraph"/>
        <w:numPr>
          <w:ilvl w:val="0"/>
          <w:numId w:val="2"/>
        </w:numPr>
        <w:spacing w:after="100"/>
      </w:pPr>
      <w:r>
        <w:t>Résolu le 23 juillet 2026 : deux réglages dépendant du nom de domaine devaient être mis à jour après la connexion de monanimeaux.fr (voir section 9.3) — la liste des Redirect URLs de Supabase Auth (Authentication &gt; URL Configuration) et le secret APP_URL de la fonction Edge invite-clinic-secretary (qui retombait sur l'ancienne URL .vercel.app par défaut). À refaire pour tout futur domaine ou sous-domaine ajouté au projet.</w:t>
      </w:r>
    </w:p>
    <w:p>
      <w:pPr>
        <w:pStyle w:val="ListParagraph"/>
        <w:numPr>
          <w:ilvl w:val="0"/>
          <w:numId w:val="2"/>
        </w:numPr>
        <w:spacing w:after="100"/>
      </w:pPr>
      <w:r>
        <w:t>Ajouté le 23 juillet 2026 : mise en place de Vitest + Testing Library (jsdom), le projet n'ayant jusqu'ici aucune infrastructure de test (npm run test / npm run test:watch, config dans vite.config.ts). Réflexe permanent depuis cette date : toute nouvelle fonction pure ajoutée au projet doit venir avec son test, quitte à extraire une logique inline dans un composant vers son propre module src/lib/ spécifiquement pour la rendre testable (c'est ce qui a été fait pour les statistiques praticien et la génération de créneaux). 46 tests au total sur 6 fichiers : sanitizeHtml.ts (anti-XSS de la bio praticien, publique sans connexion), geo.ts (distance haversine, géocodage avec réseau mocké), doctorStats.ts (revenu, no-show, annulation, taux de remplissage — extrait de DoctorDashboard.tsx), slots.ts (génération des créneaux réservables d'une journée — extrait de useAvailableSlots dans useData.ts), et des tests d'intégrité sur les données statiques animalSpecies.ts / practitionerTypes.ts (pas de doublon d'id/nom, pas de clé orpheline dans les tables de correspondance). Complément du 23 juillet 2026 : ajout de src/test/supabaseMock.ts, un mock réutilisable du client Supabase (query builder chaînable "thenable", rpc, auth, storage, channel), permettant de tester la couche hooks (useData.ts) sans réseau ni compte de test — 7 premiers tests sur useAvailabilities, useMyWaitlistEntry, useJoinWaitlist et useConversationPartners (succès, erreurs Supabase, hook désactivé sans utilisateur connecté). 53 tests au total. Complément du 23 juillet 2026 (fin) : premiers tests de composants React avec Testing Library — StarRating.tsx (remplissage des étoiles sur note décimale, bornes 0-100%, mode interactif vs affichage), BackButton.tsx (historique de navigation vs fallback, react-router-dom mocké), et AvailabilityCalendar.tsx (sélection de jour, créneaux affichés/exclus, callback onSelect — via le mock Supabase). Corrigé au passage : tailwind.config.js scannait aussi les fichiers *.test.tsx pour générer les classes utilitaires de production, faisant dériver légèrement le CSS buildé à chaque nouveau test sans changement fonctionnel réel — exclus du content glob. 68 tests au total, la pyramide de tests (fonctions pures → intégrité des données → hooks Supabase mockés → composants React) couvre désormais chaque niveau au moins une fois ; à étoffer au fil de l'eau plutôt qu'en viser une couverture exhaustive d'un coup.</w:t>
      </w:r>
    </w:p>
    <w:p>
      <w:pPr>
        <w:pStyle w:val="ListParagraph"/>
        <w:numPr>
          <w:ilvl w:val="0"/>
          <w:numId w:val="2"/>
        </w:numPr>
        <w:spacing w:after="100"/>
      </w:pPr>
      <w:r>
        <w:t>Complément du 24 juillet 2026 : le reste de src/lib couvert — supabase.ts (getMyUserDataWithRetry : retry sur erreur logique et sur exception réseau, abandon après 3 échecs, timeout par tentative, testé avec de faux timers pour rester rapide malgré les délais réels de 800ms/8s), authStore.ts (setters, signOut), doctorDashboardTabs.ts (intégrité des données). Quatre hooks mutations supplémentaires testés dans useData.ts : useLeaveWaitlist, useSendMessage, useUpdateAppointmentStatus, useCreateReview. Plus aucun fichier de src/lib sans test. 85 tests au total, à étoffer au fil de l'eau plutôt qu'en viser une couverture exhaustive d'un coup.</w:t>
      </w:r>
    </w:p>
    <w:p>
      <w:pPr>
        <w:pStyle w:val="ListParagraph"/>
        <w:numPr>
          <w:ilvl w:val="0"/>
          <w:numId w:val="2"/>
        </w:numPr>
        <w:spacing w:after="100"/>
      </w:pPr>
      <w:r>
        <w:t>Complément du 28 juillet 2026 : couverture de tests étendue jusqu'à son terme naturel — les 105 hooks exportés par useData.ts sont désormais tous testés (vérifié par diff automatique entre les exports du fichier et les hooks couverts), répartis sur une douzaine de fichiers par domaine (recherche, animaux/vaccins/poids, notifications, rendez-vous, disponibilités, documents, cabinets, compte, admin). Côté composants React, ajout de ProtectedRoute, PasswordInput, DoctorCard, ClinicCard, SpeciesSelect, SearchBar, AppointmentCard, NotificationBell, Navbar, Footer, Turnstile, RichTextEditor et LocationMap (react-leaflet mocké) — seul AnimalBackground.tsx (motif SVG décoratif sans props ni logique) reste volontairement sans test, n'ayant rien de significatif à vérifier. 317 tests au total. Bug de timing corrigé au passage dans SearchBar.test.tsx : les suggestions de spécialité sont recalculées depuis une ref synchronisée par un useEffect une fois useSpecialties() résolue — taper avant cette résolution, ou l'attendre par un simple délai fixe, passait sous charge (suite complète) ; le test attend désormais explicitement la résolution de la promesse du mock Supabase avant de simuler la frappe. Bilan de la marche : toutes les fonctions pures de src/lib, tous les hooks Supabase et la quasi-totalité des composants React sont couverts ; à maintenir au fil de l'eau (chaque nouvelle fonction pure vient avec son test) plutôt qu'à ré-auditer en bloc.</w:t>
      </w:r>
    </w:p>
    <w:p>
      <w:pPr>
        <w:pStyle w:val="ListParagraph"/>
        <w:numPr>
          <w:ilvl w:val="0"/>
          <w:numId w:val="2"/>
        </w:numPr>
        <w:spacing w:after="100"/>
      </w:pPr>
      <w:r>
        <w:t>Ajouté le 28 juillet 2026 : code-splitting par route (React.lazy + Suspense dans App.tsx) — chaque page n'est plus incluse dans le bundle principal mais chargée à la demande. Le bundle JS principal passe de 1 521 Ko à 513 Ko (gzip : 422 Ko → 153 Ko) ; un visiteur de la page de connexion ne télécharge plus le code du dashboard praticien, de l'admin ou des statistiques. ProtectedRoute reste en import statique (composant léger utilisé par la quasi-totalité des routes protégées). Complément du même jour : mise en place d'une PWA installable via vite-plugin-pwa (service worker généré au build, manifest.webmanifest avec les icônes public/pwa-192.png et pwa-512.png générées depuis favicon.svg via sips, app shell précaché pour un démarrage minimal hors-ligne — les données restent dépendantes du réseau, seule l'interface se charge sans connexion). Vérifié en local avec npm run preview : le service worker s'enregistre et s'active, le manifeste est correctement servi. Les icônes ne sont pas déclarées « maskable » : le logo va jusqu'aux bords du carré (oreilles proches des coins), un recadrage en cercle de sécurité couperait probablement le motif.</w:t>
      </w:r>
    </w:p>
    <w:p>
      <w:pPr>
        <w:pStyle w:val="ListParagraph"/>
        <w:numPr>
          <w:ilvl w:val="0"/>
          <w:numId w:val="2"/>
        </w:numPr>
        <w:spacing w:after="100"/>
      </w:pPr>
      <w:r>
        <w:t>Ajouté le 29 juillet 2026 : le domaine monanimeaux.fr est maintenant indexé par Google (confirmé par une recherche directe le jour même, après soumission du sitemap dans Search Console — la propriété avait été vérifiée par TXT DNS chez OVH, voir plus haut). Complément SEO : ajout de public/robots.txt et public/sitemap.xml (pages publiques statiques uniquement — les fiches praticien/cabinet, dynamiques, n'y figurent pas encore), d'une meta description dans index.html, et d'un favicon multi-format (favicon-32.png, favicon-16.png, favicon.ico en plus du SVG existant) car Google n'affiche l'icône du site dans les résultats de recherche que s'il trouve un format raster standard, pas seulement du SVG — la mise à jour de cette icône côté Google reste plus lente que l'indexation elle-même, sans action possible pour l'accélérer. Complément performance du même jour : le bundle JS principal, jusque-là un seul bloc de 513 Ko, est découpé en chunks vendor séparés (react/react-dom/react-router-dom, @tanstack/react-query, @supabase/supabase-js) via manualChunks dans vite.config.ts, pour que les visiteurs récurrents réutilisent le cache navigateur des libs tierces (rarement modifiées) même après un déploiement qui ne touche que le code applicatif — fait aussi disparaître l'avertissement Vite « chunk supérieur à 500 Ko ». Le logo utilisé dans Navbar/Footer/pages d'authentification passait de 107 Ko : c'était en réalité un SVG enveloppant un PNG encodé en base64, sans aucun vecteur réel dedans. Remplacé par un WebP de 40 Ko (même image, recompressée) — logo-navbar.png, logo-navbar.svg et le doublon logo-full.{png,svg} (jamais importé nulle part) ont été supprimés.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Animéaux — Cahier des charges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F2820F" w:sz="8"/>
      </w:pBdr>
      <w:spacing w:after="200" w:before="400"/>
    </w:pPr>
    <w:rPr>
      <w:rFonts w:ascii="Calibri" w:cs="Calibri" w:eastAsia="Calibri" w:hAnsi="Calibri"/>
      <w:b/>
      <w:bCs/>
      <w:color w:val="5A3A22"/>
      <w:sz w:val="32"/>
      <w:szCs w:val="32"/>
    </w:rPr>
  </w:style>
  <w:style w:type="paragraph" w:styleId="Heading2">
    <w:name w:val="Heading 2"/>
    <w:basedOn w:val="Normal"/>
    <w:next w:val="Normal"/>
    <w:qFormat/>
    <w:pPr>
      <w:spacing w:after="150" w:before="300"/>
    </w:pPr>
    <w:rPr>
      <w:rFonts w:ascii="Calibri" w:cs="Calibri" w:eastAsia="Calibri" w:hAnsi="Calibri"/>
      <w:b/>
      <w:bCs/>
      <w:color w:val="F2820F"/>
      <w:sz w:val="26"/>
      <w:szCs w:val="26"/>
    </w:rPr>
  </w:style>
  <w:style w:type="paragraph" w:styleId="Heading3">
    <w:name w:val="Heading 3"/>
    <w:basedOn w:val="Normal"/>
    <w:next w:val="Normal"/>
    <w:qFormat/>
    <w:pPr>
      <w:spacing w:after="100" w:before="200"/>
    </w:pPr>
    <w:rPr>
      <w:rFonts w:ascii="Calibri" w:cs="Calibri" w:eastAsia="Calibri" w:hAnsi="Calibri"/>
      <w:b/>
      <w:bCs/>
      <w:color w:val="6B5B3D"/>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2026-07-13T16:14:28.618Z</dcterms:created>
  <dcterms:modified xsi:type="dcterms:W3CDTF">2026-07-13T16:14:28.618Z</dcterms:modified>
</cp:coreProperties>
</file>

<file path=docProps/custom.xml><?xml version="1.0" encoding="utf-8"?>
<Properties xmlns="http://schemas.openxmlformats.org/officeDocument/2006/custom-properties" xmlns:vt="http://schemas.openxmlformats.org/officeDocument/2006/docPropsVTypes"/>
</file>