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 xml:space="preserve">Version 1.4 — document mis à jour avec les évolutions de juillet 2026 (déploiement des fonctions email manquantes, domaine d’envoi dédié)</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 xml:space="preserve">Le rôle admin existe dans le modèle de données et contourne les vérifications de rôle des routes protégées (ProtectedRoute), mais son tableau de bord dédié (/dashboard/admin) est aujourd'hui un stub : trois cartes de métriques affichant des tirets (—) sans données réelles, avec une note invitant à utiliser directement le tableau de bord Supabase. Aucune fonctionnalité d'administration n'est implémentée côté interface (voir section 12).</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 xml:space="preserve">ProtectedRoute (src/components/auth/ProtectedRoute.tsx) protège les routes par rôle : redirection vers /login si non connecté, vers / si le rôle ne correspond pas à la route (une route peut accepter un tableau de rôles, par exemple /animal/:id accessible aux patients et aux praticiens). Le rôle admin contourne systématiquement ces vérifications.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où le champ spécialité est ici une saisie libre (&lt;input&gt;) — une incohérence par rapport au tableau de bord praticien, qui utilise une liste déroulante fermée pour ce même champ (voir section 7.5). Ce bloc praticien est aussi le seul endroit de l'application où sont éditables les espèces acceptées (pastilles multi-sélection Chiens / Chats / NAC / Équidés / Oiseaux) et le fait de se déplacer à domicile — deux champs utilisés par les nouveaux filtres de recherche (section 6.4) mais absents de l'onglet Profil du tableau de bord praticien (section 7.5).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biographie via l'éditeur de texte enrichi, téléphone),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 xml:space="preserve">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La vérification du domaine était encore en attente (« Pending ») au moment de la rédaction ; une fois validée, la variable EMAIL_FROM devra être ajoutée aux secrets des Edge Functions avec une adresse sur ce domaine (ex. contact@monanimeaux.fr) pour remplacer l'expéditeur par défaut onboarding@resend.dev.</w:t>
      </w:r>
    </w:p>
    <w:p>
      <w:pPr>
        <w:pStyle w:val="Heading1"/>
        <w:spacing w:after="200" w:before="400"/>
      </w:pPr>
      <w:r>
        <w:t xml:space="preserve">10. Tableau de bord administrateur (/dashboard/admin)</w:t>
      </w:r>
    </w:p>
    <w:p>
      <w:pPr>
        <w:spacing w:after="160" w:line="300"/>
      </w:pPr>
      <w:r>
        <w:t xml:space="preserve">Le tableau de bord admin est un stub non fonctionnel : la page affiche trois cartes de métriques dont la valeur est systématiquement un tiret (—), accompagnées d'une note invitant l'administrateur à se rendre directement dans le tableau de bord Supabase pour toute opération d'administration. Aucune fonctionnalité de modération, de gestion des utilisateurs ou de reporting n'est implémentée côté interface.</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Le champ « spécialité » du praticien est éditable en liste fermée dans le tableau de bord praticien (/dashboard/doctor?tab=profil) mais en saisie libre dans la page de profil générique (/profil) — incohérence à trancher lors d'une éventuelle refonte.</w:t>
      </w:r>
    </w:p>
    <w:p>
      <w:pPr>
        <w:pStyle w:val="ListParagraph"/>
        <w:numPr>
          <w:ilvl w:val="0"/>
          <w:numId w:val="2"/>
        </w:numPr>
        <w:spacing w:after="100"/>
      </w:pPr>
      <w:r>
        <w:t xml:space="preserve">Les champs praticien espèces acceptées et se déplace à domicile (utilisés par les filtres de recherche, section 6.4) ne sont éditables que depuis /profil et absents de l'onglet Profil du tableau de bord praticien (/dashboard/doctor?tab=profil) — même famille d'incohérence que le champ spécialité ci-dessus.</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