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 xml:space="preserve">Version 1.3 — document mis à jour avec les évolutions de juillet 2026 (protection anti-bot à l’inscription, monitoring d’erreurs)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 xml:space="preserve">Le rôle admin existe dans le modèle de données et contourne les vérifications de rôle des routes protégées (ProtectedRoute), mais son tableau de bord dédié (/dashboard/admin) est aujourd'hui un stub : trois cartes de métriques affichant des tirets (—) sans données réelles, avec une note invitant à utiliser directement le tableau de bord Supabase. Aucune fonctionnalité d'administration n'est implémentée côté interface (voir section 12).</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 xml:space="preserve">ProtectedRoute (src/components/auth/ProtectedRoute.tsx) protège les routes par rôle : redirection vers /login si non connecté, vers / si le rôle ne correspond pas à la route (une route peut accepter un tableau de rôles, par exemple /animal/:id accessible aux patients et aux praticiens). Le rôle admin contourne systématiquement ces vérifications.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où le champ spécialité est ici une saisie libre (&lt;input&gt;) — une incohérence par rapport au tableau de bord praticien, qui utilise une liste déroulante fermée pour ce même champ (voir section 7.5). Ce bloc praticien est aussi le seul endroit de l'application où sont éditables les espèces acceptées (pastilles multi-sélection Chiens / Chats / NAC / Équidés / Oiseaux) et le fait de se déplacer à domicile — deux champs utilisés par les nouveaux filtres de recherche (section 6.4) mais absents de l'onglet Profil du tableau de bord praticien (section 7.5).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biographie via l'éditeur de texte enrichi, téléphone),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pBdr>
          <w:left w:val="single" w:color="F2820F" w:sz="18"/>
        </w:pBdr>
        <w:shd w:fill="FFF6E6" w:val="clear"/>
        <w:spacing w:after="200" w:before="100"/>
        <w:ind w:left="200"/>
      </w:pPr>
      <w:r>
        <w:rPr>
          <w:i/>
          <w:iCs/>
          <w:color w:val="6B5B3D"/>
          <w:sz w:val="20"/>
          <w:szCs w:val="20"/>
        </w:rPr>
        <w:t xml:space="preserve">L'envoi effectif de l'email de rappel via Resend est présent en commentaire dans le code (TODO explicite) mais n'est pas implémenté : seule la notification in-app est créée. Autre point relevé à la lecture du code : la ligne user_id de la notification est calculée à partir de appt.profiles?.user_id, alors que profiles n'a pas de colonne user_id dans ce contexte de sélection (elle est jointe via patient_id) — un développeur reprenant cette fonction devra vérifier et corriger cette valeur avant de l'activer en production.</w:t>
      </w:r>
    </w:p>
    <w:p>
      <w:pPr>
        <w:pStyle w:val="Heading1"/>
        <w:spacing w:after="200" w:before="400"/>
      </w:pPr>
      <w:r>
        <w:t xml:space="preserve">10. Tableau de bord administrateur (/dashboard/admin)</w:t>
      </w:r>
    </w:p>
    <w:p>
      <w:pPr>
        <w:spacing w:after="160" w:line="300"/>
      </w:pPr>
      <w:r>
        <w:t xml:space="preserve">Le tableau de bord admin est un stub non fonctionnel : la page affiche trois cartes de métriques dont la valeur est systématiquement un tiret (—), accompagnées d'une note invitant l'administrateur à se rendre directement dans le tableau de bord Supabase pour toute opération d'administration. Aucune fonctionnalité de modération, de gestion des utilisateurs ou de reporting n'est implémentée côté interface.</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La fonction send-reminders contient un bug potentiel sur la résolution de user_id (voir section 9.2) et n'envoie pas encore d'email malgré son nom.</w:t>
      </w:r>
    </w:p>
    <w:p>
      <w:pPr>
        <w:pStyle w:val="ListParagraph"/>
        <w:numPr>
          <w:ilvl w:val="0"/>
          <w:numId w:val="2"/>
        </w:numPr>
        <w:spacing w:after="100"/>
      </w:pPr>
      <w:r>
        <w:t xml:space="preserve">Le champ « spécialité » du praticien est éditable en liste fermée dans le tableau de bord praticien (/dashboard/doctor?tab=profil) mais en saisie libre dans la page de profil générique (/profil) — incohérence à trancher lors d'une éventuelle refonte.</w:t>
      </w:r>
    </w:p>
    <w:p>
      <w:pPr>
        <w:pStyle w:val="ListParagraph"/>
        <w:numPr>
          <w:ilvl w:val="0"/>
          <w:numId w:val="2"/>
        </w:numPr>
        <w:spacing w:after="100"/>
      </w:pPr>
      <w:r>
        <w:t xml:space="preserve">Les champs praticien espèces acceptées et se déplace à domicile (utilisés par les filtres de recherche, section 6.4) ne sont éditables que depuis /profil et absents de l'onglet Profil du tableau de bord praticien (/dashboard/doctor?tab=profil) — même famille d'incohérence que le champ spécialité ci-dessus.</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