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CDC 가이드: Oracle → PostgreSQL (Kafka · Debezium)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개요</w:t>
      </w:r>
    </w:p>
    <w:p>
      <w:pPr/>
      <w:r>
        <w:t xml:space="preserve">Oracle의 변경 로그를 Debezium이 읽어 Kafka 토픽으로 보내고, JDBC Sink 커넥터가 그 토픽을 PostgreSQL에 반영하는 로그 기반 CDC 구성을 기준으로 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구성 요소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Oracle</w:t>
            </w:r>
          </w:p>
        </w:tc>
        <w:tc>
          <w:tcPr>
            <w:tcW w:w="3120" w:type="dxa"/>
          </w:tcPr>
          <w:p>
            <w:pPr/>
            <w:r>
              <w:t xml:space="preserve">원천 DB, redo·archive 로그 제공</w:t>
            </w:r>
          </w:p>
        </w:tc>
        <w:tc>
          <w:tcPr>
            <w:tcW w:w="3120" w:type="dxa"/>
          </w:tcPr>
          <w:p>
            <w:pPr/>
            <w:r>
              <w:t xml:space="preserve">ARCHIVELOG 모드, 보충 로깅 활성화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Debezium Oracle Connector</w:t>
            </w:r>
          </w:p>
        </w:tc>
        <w:tc>
          <w:tcPr>
            <w:tcW w:w="3120" w:type="dxa"/>
          </w:tcPr>
          <w:p>
            <w:pPr/>
            <w:r>
              <w:t xml:space="preserve">LogMiner로 변경 이벤트 추출</w:t>
            </w:r>
          </w:p>
        </w:tc>
        <w:tc>
          <w:tcPr>
            <w:tcW w:w="3120" w:type="dxa"/>
          </w:tcPr>
          <w:p>
            <w:pPr/>
            <w:r>
              <w:t xml:space="preserve">Kafka Connect 위에서 동작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Apache Kafka</w:t>
            </w:r>
          </w:p>
        </w:tc>
        <w:tc>
          <w:tcPr>
            <w:tcW w:w="3120" w:type="dxa"/>
          </w:tcPr>
          <w:p>
            <w:pPr/>
            <w:r>
              <w:t xml:space="preserve">변경 이벤트 저장·전달</w:t>
            </w:r>
          </w:p>
        </w:tc>
        <w:tc>
          <w:tcPr>
            <w:tcW w:w="3120" w:type="dxa"/>
          </w:tcPr>
          <w:p>
            <w:pPr/>
            <w:r>
              <w:t xml:space="preserve">KRaft 모드 클러스터 (Kafka 4.0부터 ZooKeeper 제거)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Schema Registry (선택)</w:t>
            </w:r>
          </w:p>
        </w:tc>
        <w:tc>
          <w:tcPr>
            <w:tcW w:w="3120" w:type="dxa"/>
          </w:tcPr>
          <w:p>
            <w:pPr/>
            <w:r>
              <w:t xml:space="preserve">이벤트 스키마 관리 (Avro 등)</w:t>
            </w:r>
          </w:p>
        </w:tc>
        <w:tc>
          <w:tcPr>
            <w:tcW w:w="3120" w:type="dxa"/>
          </w:tcPr>
          <w:p>
            <w:pPr/>
            <w:r>
              <w:t xml:space="preserve">스키마 변경 이력 관리 시 권장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Debezium JDBC Sink Connector</w:t>
            </w:r>
          </w:p>
        </w:tc>
        <w:tc>
          <w:tcPr>
            <w:tcW w:w="3120" w:type="dxa"/>
          </w:tcPr>
          <w:p>
            <w:pPr/>
            <w:r>
              <w:t xml:space="preserve">이벤트를 PostgreSQL에 upsert·delete</w:t>
            </w:r>
          </w:p>
        </w:tc>
        <w:tc>
          <w:tcPr>
            <w:tcW w:w="3120" w:type="dxa"/>
          </w:tcPr>
          <w:p>
            <w:pPr/>
            <w:r>
              <w:t xml:space="preserve">Debezium 이벤트를 변환 없이 바로 처리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PostgreSQL</w:t>
            </w:r>
          </w:p>
        </w:tc>
        <w:tc>
          <w:tcPr>
            <w:tcW w:w="3120" w:type="dxa"/>
          </w:tcPr>
          <w:p>
            <w:pPr/>
            <w:r>
              <w:t xml:space="preserve">대상 DB</w:t>
            </w:r>
          </w:p>
        </w:tc>
        <w:tc>
          <w:tcPr>
            <w:tcW w:w="3120" w:type="dxa"/>
          </w:tcPr>
          <w:p>
            <w:pPr/>
            <w:r>
              <w:t xml:space="preserve">원천과 같은 PK 구조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적용 시나리오</w:t>
      </w:r>
      <w:r>
        <w:t xml:space="preserve">: Oracle → PostgreSQL 무중단 이관(전환 전 병행 동기화), 분석용 복제 DB 구성, 차세대 전환 기간의 양쪽 데이터 유지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버전</w:t>
      </w:r>
      <w:r>
        <w:t xml:space="preserve">: Debezium은 릴리스마다 설정 이름이 바뀌는 경우가 있으므로, 이 가이드의 설정 예시는 적용하는 버전의 공식 문서와 대조한다.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라이선스</w:t>
      </w:r>
      <w:r>
        <w:t xml:space="preserve">: Oracle JDBC 드라이버(ojdbc)는 Debezium 배포판에 포함되지 않으므로 Kafka Connect 플러그인 경로에 따로 넣는다. XStream 방식은 Oracle GoldenGate 라이선스가 필요하므로, 이 가이드는 LogMiner 방식을 쓴다.</w:t>
      </w:r>
    </w:p>
    <w:p>
      <w:pPr/>
      <w:r>
        <w:t xml:space="preserve">구축·운영 단계의 세부 기준(클러스터 설정, 타입·시간대, 초기 적재, 튜닝, 장애 런북)은 </w:t>
      </w:r>
      <w:r>
        <w:t xml:space="preserve">실무 가이드</w:t>
      </w:r>
      <w:r>
        <w:t xml:space="preserve"> 탭에 있다.</w:t>
      </w:r>
    </w:p>
    <w:p>
      <w:pPr>
        <w:pStyle w:val="Heading2"/>
      </w:pPr>
      <w:r>
        <w:t xml:space="preserve">파이프라인 아키텍처</w:t>
      </w:r>
    </w:p>
    <w:p>
      <w:pPr/>
      <w:r>
        <w:t xml:space="preserve">변경 이벤트는 항상 Kafka를 거치므로, 원천과 대상이 서로를 직접 모르고 각자 멈추거나 재시작할 수 있다.</w:t>
      </w:r>
    </w:p>
    <w:p>
      <w:pPr/>
      <w:r>
        <w:drawing>
          <wp:inline distT="0" distB="0" distL="0" distR="0">
            <wp:extent cx="5486400" cy="2449285"/>
            <wp:docPr id="1" name="image1" descr="Oracle → PostgreSQL CDC 파이프라인 · 주요 5단계와 보조 구성 3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racle → PostgreSQL CDC 파이프라인 · 주요 5단계와 보조 구성 3종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Oracle → PostgreSQL CDC 파이프라인 · 주요 5단계와 보조 구성 3종</w:t>
      </w:r>
    </w:p>
    <w:p>
      <w:pPr/>
      <w:r>
        <w:t xml:space="preserve">대상 쪽이 멈춰도 이벤트는 Kafka 보존 기간 동안 토픽에 남고, 원천 쪽이 멈춰도 archive 로그가 남아 있는 동안은 마지막 오프셋부터 이어서 읽는다.</w:t>
      </w:r>
    </w:p>
    <w:p>
      <w:pPr>
        <w:pStyle w:val="Heading2"/>
      </w:pPr>
      <w:r>
        <w:t xml:space="preserve">Oracle 사전 준비</w:t>
      </w:r>
    </w:p>
    <w:p>
      <w:pPr/>
      <w:r>
        <w:t xml:space="preserve">CDC는 redo 로그에 의존하므로, 시작 전에 ARCHIVELOG 모드와 보충 로깅을 켜고 전용 계정을 만든다. 운영 DB 설정 변경이므로 DBA 작업 계획으로 진행한다.</w:t>
      </w:r>
    </w:p>
    <w:p>
      <w:pPr>
        <w:pStyle w:val="Heading3"/>
      </w:pPr>
      <w:r>
        <w:t xml:space="preserve">1. ARCHIVELOG 모드와 보충 로깅</w:t>
      </w:r>
    </w:p>
    <w:p>
      <w:pPr>
        <w:pStyle w:val="Code"/>
      </w:pPr>
      <w:bookmarkStart w:id="1" w:name="bongo_lang_sql_1"/>
      <w:bookmarkEnd w:id="1"/>
      <w:r>
        <w:t xml:space="preserve">-- 현재 모드 확인</w:t>
        <w:br/>
        <w:t xml:space="preserve">SELECT LOG_MODE FROM V$DATABASE;</w:t>
        <w:br/>
        <w:br/>
        <w:t xml:space="preserve">-- ARCHIVELOG 전환 (DB 재기동 필요, 작업 시간 확보)</w:t>
        <w:br/>
        <w:t xml:space="preserve">SHUTDOWN IMMEDIATE;</w:t>
        <w:br/>
        <w:t xml:space="preserve">STARTUP MOUNT;</w:t>
        <w:br/>
        <w:t xml:space="preserve">ALTER DATABASE ARCHIVELOG;</w:t>
        <w:br/>
        <w:t xml:space="preserve">ALTER DATABASE OPEN;</w:t>
        <w:br/>
        <w:br/>
        <w:t xml:space="preserve">-- 데이터베이스 수준 최소 보충 로깅</w:t>
        <w:br/>
        <w:t xml:space="preserve">ALTER DATABASE ADD SUPPLEMENTAL LOG DATA;</w:t>
        <w:br/>
        <w:br/>
        <w:t xml:space="preserve">-- 대상 테이블별 전체 컬럼 보충 로깅</w:t>
        <w:br/>
        <w:t xml:space="preserve">ALTER TABLE CVL.TB_CCV_CP_RC ADD SUPPLEMENTAL LOG DATA (ALL) COLUMNS;</w:t>
      </w:r>
    </w:p>
    <w:p>
      <w:pPr>
        <w:pStyle w:val="Heading3"/>
      </w:pPr>
      <w:r>
        <w:t xml:space="preserve">2. 로그 보존 기준</w:t>
      </w:r>
    </w:p>
    <w:p>
      <w:pPr>
        <w:pStyle w:val="ListParagraph"/>
        <w:numPr>
          <w:ilvl w:val="0"/>
          <w:numId w:val="3"/>
        </w:numPr>
      </w:pPr>
      <w:r>
        <w:t xml:space="preserve">archive 로그는 커넥터가 장애로 멈춘 시간 동안에도 지워지면 안 된다. 최소 보존 기간을 "예상 최대 장애 복구 시간 + 여유"로 정하고, RMAN 삭제 정책과 맞춘다.</w:t>
      </w:r>
    </w:p>
    <w:p>
      <w:pPr>
        <w:pStyle w:val="ListParagraph"/>
        <w:numPr>
          <w:ilvl w:val="0"/>
          <w:numId w:val="3"/>
        </w:numPr>
      </w:pPr>
      <w:r>
        <w:t xml:space="preserve">보충 로깅을 켜면 redo 발생량이 늘어나므로, 적용 전후 redo 생성량과 archive 저장 공간을 측정한다.</w:t>
      </w:r>
    </w:p>
    <w:p>
      <w:pPr>
        <w:pStyle w:val="Heading3"/>
      </w:pPr>
      <w:r>
        <w:t xml:space="preserve">3. CDC 전용 계정</w:t>
      </w:r>
    </w:p>
    <w:p>
      <w:pPr>
        <w:pStyle w:val="ListParagraph"/>
        <w:numPr>
          <w:ilvl w:val="0"/>
          <w:numId w:val="4"/>
        </w:numPr>
      </w:pPr>
      <w:r>
        <w:t xml:space="preserve">Debezium 전용 계정을 만들고, LogMiner 실행과 대상 테이블 조회에 필요한 권한만 준다. 필요한 권한 목록은 버전과 CDB/PDB 구성에 따라 다르므로 Debezium 공식 문서의 Oracle 준비 절차를 그대로 따른다.</w:t>
      </w:r>
    </w:p>
    <w:p>
      <w:pPr>
        <w:pStyle w:val="ListParagraph"/>
        <w:numPr>
          <w:ilvl w:val="0"/>
          <w:numId w:val="4"/>
        </w:numPr>
      </w:pPr>
      <w:r>
        <w:t xml:space="preserve">멀티테넌트(CDB/PDB) 환경은 공통 사용자(C##)로 만들고, 커넥터에 CDB 이름과 PDB 이름을 함께 지정한다.</w:t>
      </w:r>
    </w:p>
    <w:p>
      <w:pPr>
        <w:pStyle w:val="ListParagraph"/>
        <w:numPr>
          <w:ilvl w:val="0"/>
          <w:numId w:val="4"/>
        </w:numPr>
      </w:pPr>
      <w:r>
        <w:t xml:space="preserve">계정 비밀번호는 커넥터 설정 파일에 평문으로 두지 않고 Kafka Connect의 외부 설정 제공자(시크릿 관리)를 쓴다.</w:t>
      </w:r>
    </w:p>
    <w:p>
      <w:pPr>
        <w:pStyle w:val="Heading2"/>
      </w:pPr>
      <w:r>
        <w:t xml:space="preserve">커넥터 설정</w:t>
      </w:r>
    </w:p>
    <w:p>
      <w:pPr/>
      <w:r>
        <w:t xml:space="preserve">소스 커넥터는 테이블마다 토픽 하나를 만들고, 싱크 커넥터는 그 토픽들을 PK 기준 upsert로 PostgreSQL에 반영한다. 아래는 Kafka Connect REST API로 등록하는 설정의 골격이다.</w:t>
      </w:r>
    </w:p>
    <w:p>
      <w:pPr>
        <w:pStyle w:val="Heading3"/>
      </w:pPr>
      <w:r>
        <w:t xml:space="preserve">Debezium Oracle Source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"name": "ora-cvl-source",</w:t>
        <w:br/>
        <w:t xml:space="preserve">  "config": {</w:t>
        <w:br/>
        <w:t xml:space="preserve">    "connector.class": "io.debezium.connector.oracle.OracleConnector",</w:t>
        <w:br/>
        <w:t xml:space="preserve">    "tasks.max": "1",</w:t>
        <w:br/>
        <w:t xml:space="preserve">    "database.hostname": "ora-prod.internal",</w:t>
        <w:br/>
        <w:t xml:space="preserve">    "database.port": "1521",</w:t>
        <w:br/>
        <w:t xml:space="preserve">    "database.user": "c##dbzuser",</w:t>
        <w:br/>
        <w:t xml:space="preserve">    "database.password": "${secrets:ora/dbz:password}",</w:t>
        <w:br/>
        <w:t xml:space="preserve">    "database.dbname": "ORCLCDB",</w:t>
        <w:br/>
        <w:t xml:space="preserve">    "database.pdb.name": "ORCLPDB1",</w:t>
        <w:br/>
        <w:t xml:space="preserve">    "topic.prefix": "ora",</w:t>
        <w:br/>
        <w:t xml:space="preserve">    "table.include.list": "CVL.TB_CCV_CP_RC,CVL.TB_CCV_AP",</w:t>
        <w:br/>
        <w:t xml:space="preserve">    "snapshot.mode": "initial",</w:t>
        <w:br/>
        <w:t xml:space="preserve">    "log.mining.strategy": "online_catalog",</w:t>
        <w:br/>
        <w:t xml:space="preserve">    "decimal.handling.mode": "precise",</w:t>
        <w:br/>
        <w:t xml:space="preserve">    "schema.history.internal.kafka.bootstrap.servers": "kafka:9092",</w:t>
        <w:br/>
        <w:t xml:space="preserve">    "schema.history.internal.kafka.topic": "schema-history.ora"</w:t>
        <w:br/>
        <w:t xml:space="preserve">  }</w:t>
        <w:br/>
        <w:t xml:space="preserve">}</w:t>
      </w:r>
    </w:p>
    <w:p>
      <w:pPr>
        <w:pStyle w:val="Heading3"/>
      </w:pPr>
      <w:r>
        <w:t xml:space="preserve">Debezium JDBC Sink (PostgreSQL)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"name": "pg-cvl-sink",</w:t>
        <w:br/>
        <w:t xml:space="preserve">  "config": {</w:t>
        <w:br/>
        <w:t xml:space="preserve">    "connector.class": "io.debezium.connector.jdbc.JdbcSinkConnector",</w:t>
        <w:br/>
        <w:t xml:space="preserve">    "tasks.max": "1",</w:t>
        <w:br/>
        <w:t xml:space="preserve">    "topics.regex": "ora\\.CVL\\..*",</w:t>
        <w:br/>
        <w:t xml:space="preserve">    "connection.url": "jdbc:postgresql://pg-target.internal:5432/cvl",</w:t>
        <w:br/>
        <w:t xml:space="preserve">    "connection.username": "cdc_writer",</w:t>
        <w:br/>
        <w:t xml:space="preserve">    "connection.password": "${secrets:pg/cdc:password}",</w:t>
        <w:br/>
        <w:t xml:space="preserve">    "insert.mode": "upsert",</w:t>
        <w:br/>
        <w:t xml:space="preserve">    "primary.key.mode": "record_key",</w:t>
        <w:br/>
        <w:t xml:space="preserve">    "delete.enabled": "true",</w:t>
        <w:br/>
        <w:t xml:space="preserve">    "schema.evolution": "basic"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의미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snapshot.mode=initial</w:t>
            </w:r>
          </w:p>
        </w:tc>
        <w:tc>
          <w:tcPr>
            <w:tcW w:w="3120" w:type="dxa"/>
          </w:tcPr>
          <w:p>
            <w:pPr/>
            <w:r>
              <w:t xml:space="preserve">최초 1회 전체 적재 후 변경분 스트리밍</w:t>
            </w:r>
          </w:p>
        </w:tc>
        <w:tc>
          <w:tcPr>
            <w:tcW w:w="3120" w:type="dxa"/>
          </w:tcPr>
          <w:p>
            <w:pPr/>
            <w:r>
              <w:t xml:space="preserve">대용량 테이블은 스냅샷 시간과 undo 보존 시간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log.mining.strategy</w:t>
            </w:r>
          </w:p>
        </w:tc>
        <w:tc>
          <w:tcPr>
            <w:tcW w:w="3120" w:type="dxa"/>
          </w:tcPr>
          <w:p>
            <w:pPr/>
            <w:r>
              <w:t xml:space="preserve">LogMiner 사전(dictionary) 위치</w:t>
            </w:r>
          </w:p>
        </w:tc>
        <w:tc>
          <w:tcPr>
            <w:tcW w:w="3120" w:type="dxa"/>
          </w:tcPr>
          <w:p>
            <w:pPr/>
            <w:r>
              <w:t xml:space="preserve">online_catalog는 빠르지만 DDL 변경 추적에 제약이 있어, DDL이 잦으면 redo_log_catalog 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decimal.handling.mode=precise</w:t>
            </w:r>
          </w:p>
        </w:tc>
        <w:tc>
          <w:tcPr>
            <w:tcW w:w="3120" w:type="dxa"/>
          </w:tcPr>
          <w:p>
            <w:pPr/>
            <w:r>
              <w:t xml:space="preserve">NUMBER를 정밀도 손실 없이 전달</w:t>
            </w:r>
          </w:p>
        </w:tc>
        <w:tc>
          <w:tcPr>
            <w:tcW w:w="3120" w:type="dxa"/>
          </w:tcPr>
          <w:p>
            <w:pPr/>
            <w:r>
              <w:t xml:space="preserve">double로 바꾸면 금액 오차 위험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insert.mode=upsert</w:t>
            </w:r>
          </w:p>
        </w:tc>
        <w:tc>
          <w:tcPr>
            <w:tcW w:w="3120" w:type="dxa"/>
          </w:tcPr>
          <w:p>
            <w:pPr/>
            <w:r>
              <w:t xml:space="preserve">같은 PK가 다시 오면 갱신</w:t>
            </w:r>
          </w:p>
        </w:tc>
        <w:tc>
          <w:tcPr>
            <w:tcW w:w="3120" w:type="dxa"/>
          </w:tcPr>
          <w:p>
            <w:pPr/>
            <w:r>
              <w:t xml:space="preserve">재처리 시 중복 방지의 핵심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schema.evolution=basic</w:t>
            </w:r>
          </w:p>
        </w:tc>
        <w:tc>
          <w:tcPr>
            <w:tcW w:w="3120" w:type="dxa"/>
          </w:tcPr>
          <w:p>
            <w:pPr/>
            <w:r>
              <w:t xml:space="preserve">새 컬럼을 대상 테이블에 자동 추가</w:t>
            </w:r>
          </w:p>
        </w:tc>
        <w:tc>
          <w:tcPr>
            <w:tcW w:w="3120" w:type="dxa"/>
          </w:tcPr>
          <w:p>
            <w:pPr/>
            <w:r>
              <w:t xml:space="preserve">운영에서는 none으로 두고 표준 DDL로 먼저 반영하는 방식도 검토</w:t>
            </w:r>
          </w:p>
        </w:tc>
      </w:tr>
    </w:tbl>
    <w:p>
      <w:pPr/>
      <w:r>
        <w:t xml:space="preserve">대상 테이블 이름 형식, 토픽 이름 변환 등 일부 설정은 Debezium 버전에 따라 이름이 달라졌으므로, 적용 버전의 문서에서 확인한다.</w:t>
      </w:r>
    </w:p>
    <w:p>
      <w:pPr>
        <w:pStyle w:val="Heading2"/>
      </w:pPr>
      <w:r>
        <w:t xml:space="preserve">타입 매핑과 대상 테이블 설계</w:t>
      </w:r>
    </w:p>
    <w:p>
      <w:pPr/>
      <w:r>
        <w:t xml:space="preserve">대상 테이블은 싱크 커넥터의 자동 생성에 맡기지 말고, 표준 도메인 기준으로 PostgreSQL DDL을 먼저 만들어 두는 것을 기본으로 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Oracle (표준 원천)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PostgreSQL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NUMBER(p,0), p ≤ 9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범위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NUMBER(p,0), p ≤ 18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NUMBER(p,s)</w:t>
            </w:r>
          </w:p>
        </w:tc>
        <w:tc>
          <w:tcPr>
            <w:tcW w:w="3120" w:type="dxa"/>
          </w:tcPr>
          <w:p>
            <w:pPr/>
            <w:r>
              <w:t xml:space="preserve">numeric(p,s)</w:t>
            </w:r>
          </w:p>
        </w:tc>
        <w:tc>
          <w:tcPr>
            <w:tcW w:w="3120" w:type="dxa"/>
          </w:tcPr>
          <w:p>
            <w:pPr/>
            <w:r>
              <w:t xml:space="preserve">금액·비율은 반드시 numeric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VARCHAR2(n CHAR)</w:t>
            </w:r>
          </w:p>
        </w:tc>
        <w:tc>
          <w:tcPr>
            <w:tcW w:w="3120" w:type="dxa"/>
          </w:tcPr>
          <w:p>
            <w:pPr/>
            <w:r>
              <w:t xml:space="preserve">varchar(n)</w:t>
            </w:r>
          </w:p>
        </w:tc>
        <w:tc>
          <w:tcPr>
            <w:tcW w:w="3120" w:type="dxa"/>
          </w:tcPr>
          <w:p>
            <w:pPr/>
            <w:r>
              <w:t xml:space="preserve">PostgreSQL의 n은 문자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VARCHAR2(1) 여부 (_YN)</w:t>
            </w:r>
          </w:p>
        </w:tc>
        <w:tc>
          <w:tcPr>
            <w:tcW w:w="3120" w:type="dxa"/>
          </w:tcPr>
          <w:p>
            <w:pPr/>
            <w:r>
              <w:t xml:space="preserve">varchar(1) NOT NULL DEFAULT 'N'</w:t>
            </w:r>
          </w:p>
        </w:tc>
        <w:tc>
          <w:tcPr>
            <w:tcW w:w="3120" w:type="dxa"/>
          </w:tcPr>
          <w:p>
            <w:pPr/>
            <w:r>
              <w:t xml:space="preserve">STD-06을 대상에도 같게 적용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DATE 일자 (시각 00:00:00)</w:t>
            </w:r>
          </w:p>
        </w:tc>
        <w:tc>
          <w:tcPr>
            <w:tcW w:w="3120" w:type="dxa"/>
          </w:tcPr>
          <w:p>
            <w:pPr/>
            <w:r>
              <w:t xml:space="preserve">date</w:t>
            </w:r>
          </w:p>
        </w:tc>
        <w:tc>
          <w:tcPr>
            <w:tcW w:w="3120" w:type="dxa"/>
          </w:tcPr>
          <w:p>
            <w:pPr/>
            <w:r>
              <w:t xml:space="preserve">STD-02, 시각이 0인지 품질 점검 후 적용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DATE 일시 (국내 서비스)</w:t>
            </w:r>
          </w:p>
        </w:tc>
        <w:tc>
          <w:tcPr>
            <w:tcW w:w="3120" w:type="dxa"/>
          </w:tcPr>
          <w:p>
            <w:pPr/>
            <w:r>
              <w:t xml:space="preserve">timestamp(0)</w:t>
            </w:r>
          </w:p>
        </w:tc>
        <w:tc>
          <w:tcPr>
            <w:tcW w:w="3120" w:type="dxa"/>
          </w:tcPr>
          <w:p>
            <w:pPr/>
            <w:r>
              <w:t xml:space="preserve">STD-02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DATE 일시 (글로벌 서비스, UTC 저장)</w:t>
            </w:r>
          </w:p>
        </w:tc>
        <w:tc>
          <w:tcPr>
            <w:tcW w:w="3120" w:type="dxa"/>
          </w:tcPr>
          <w:p>
            <w:pPr/>
            <w:r>
              <w:t xml:space="preserve">timestamptz</w:t>
            </w:r>
          </w:p>
        </w:tc>
        <w:tc>
          <w:tcPr>
            <w:tcW w:w="3120" w:type="dxa"/>
          </w:tcPr>
          <w:p>
            <w:pPr/>
            <w:r>
              <w:t xml:space="preserve">STD-07, 싱크 접속 세션 시간대를 UTC로 고정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CLOB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커넥터 LOB 지원 설정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BLOB, RAW</w:t>
            </w:r>
          </w:p>
        </w:tc>
        <w:tc>
          <w:tcPr>
            <w:tcW w:w="3120" w:type="dxa"/>
          </w:tcPr>
          <w:p>
            <w:pPr/>
            <w:r>
              <w:t xml:space="preserve">bytea</w:t>
            </w:r>
          </w:p>
        </w:tc>
        <w:tc>
          <w:tcPr>
            <w:tcW w:w="3120" w:type="dxa"/>
          </w:tcPr>
          <w:p>
            <w:pPr/>
            <w:r>
              <w:t xml:space="preserve">대용량은 동기화 대상에서 제외 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CHAR(n), TIMESTAMP, 문자형 날짜 (표준 이전 레거시만)</w:t>
            </w:r>
          </w:p>
        </w:tc>
        <w:tc>
          <w:tcPr>
            <w:tcW w:w="3120" w:type="dxa"/>
          </w:tcPr>
          <w:p>
            <w:pPr/>
            <w:r>
              <w:t xml:space="preserve">varchar(n), timestamp, date</w:t>
            </w:r>
          </w:p>
        </w:tc>
        <w:tc>
          <w:tcPr>
            <w:tcW w:w="3120" w:type="dxa"/>
          </w:tcPr>
          <w:p>
            <w:pPr/>
            <w:r>
              <w:t xml:space="preserve">표준 원천에는 없어야 함 (STD-01·02). 레거시는 CHAR 뒤 공백 제거, 문자 날짜는 날짜형으로 변환 후 적재</w:t>
            </w:r>
          </w:p>
        </w:tc>
      </w:tr>
    </w:tbl>
    <w:p>
      <w:pPr/>
      <w:r>
        <w:t xml:space="preserve">날짜 타입 변환(일자 → date, 글로벌 일시 → timestamptz)은 싱크 커넥터의 타입 처리에 따라 결과가 달라질 수 있으므로, 대표 테이블로 변환 결과를 먼저 시험한다.</w:t>
      </w:r>
    </w:p>
    <w:p>
      <w:pPr>
        <w:pStyle w:val="Heading3"/>
      </w:pPr>
      <w:r>
        <w:t xml:space="preserve">대상 테이블 기준</w:t>
      </w:r>
    </w:p>
    <w:p>
      <w:pPr>
        <w:pStyle w:val="ListParagraph"/>
        <w:numPr>
          <w:ilvl w:val="0"/>
          <w:numId w:val="5"/>
        </w:numPr>
      </w:pPr>
      <w:r>
        <w:t xml:space="preserve">원천과 같은 PK를 둔다. PK가 없는 원천 테이블은 upsert와 delete를 정확히 처리할 수 없으므로 CDC 전에 PK를 정하거나 대상에서 뺀다.</w:t>
      </w:r>
    </w:p>
    <w:p>
      <w:pPr>
        <w:pStyle w:val="ListParagraph"/>
        <w:numPr>
          <w:ilvl w:val="0"/>
          <w:numId w:val="5"/>
        </w:numPr>
      </w:pPr>
      <w:r>
        <w:t xml:space="preserve">테이블·컬럼명은 소문자로 만든다. Oracle의 대문자 이름을 그대로 쓰면 PostgreSQL에서 매번 큰따옴표가 필요해진다.</w:t>
      </w:r>
    </w:p>
    <w:p>
      <w:pPr>
        <w:pStyle w:val="ListParagraph"/>
        <w:numPr>
          <w:ilvl w:val="0"/>
          <w:numId w:val="5"/>
        </w:numPr>
      </w:pPr>
      <w:r>
        <w:t xml:space="preserve">동기화 메타 컬럼(원천 변경 시각, 반영 시각, 연산 유형)을 둘지 정한다. 둘 경우 Debezium 이벤트의 source 정보를 SMT로 꺼내 넣는다.</w:t>
      </w:r>
    </w:p>
    <w:p>
      <w:pPr>
        <w:pStyle w:val="ListParagraph"/>
        <w:numPr>
          <w:ilvl w:val="0"/>
          <w:numId w:val="5"/>
        </w:numPr>
      </w:pPr>
      <w:r>
        <w:t xml:space="preserve">Oracle의 빈 문자열은 NULL로 저장되므로, PostgreSQL 쪽 NOT NULL 제약과 애플리케이션 비교 로직을 함께 점검한다.</w:t>
      </w:r>
    </w:p>
    <w:p>
      <w:pPr>
        <w:pStyle w:val="ListParagraph"/>
        <w:numPr>
          <w:ilvl w:val="0"/>
          <w:numId w:val="6"/>
        </w:numPr>
      </w:pPr>
      <w:r>
        <w:t xml:space="preserve">시스템 컬럼 4종(STD-05)은 원천 값을 그대로 복제한다. 대상 DDL에도 같은 이름과 순서로 맨 끝에 두고, 기본값은 PostgreSQL 식(DEFAULT 'ADMIN', DEFAULT now())으로 만든다.</w:t>
      </w:r>
    </w:p>
    <w:p>
      <w:pPr>
        <w:pStyle w:val="ListParagraph"/>
        <w:numPr>
          <w:ilvl w:val="0"/>
          <w:numId w:val="6"/>
        </w:numPr>
      </w:pPr>
      <w:r>
        <w:t xml:space="preserve">PK와 인덱스 이름도 STD-03·04를 소문자로 따른다 (pk_tb_ccv_cp_rc, x_tb_ccv_cp_rc_01, PK 포함 테이블당 최대 5개).</w:t>
      </w:r>
    </w:p>
    <w:p>
      <w:pPr>
        <w:pStyle w:val="ListParagraph"/>
        <w:numPr>
          <w:ilvl w:val="0"/>
          <w:numId w:val="7"/>
        </w:numPr>
      </w:pPr>
      <w:r>
        <w:t xml:space="preserve">대상 DB에도 FK 제약조건을 만들지 않는다 (STD-08). 싱크 커넥터는 토픽(테이블)별로 독립 반영하므로, FK가 있으면 부모보다 자식 이벤트가 먼저 도착할 때 반영이 실패한다. 참조 무결성은 정합성 대사와 품질진단으로 확인한다.</w:t>
      </w:r>
    </w:p>
    <w:p>
      <w:pPr>
        <w:pStyle w:val="Heading2"/>
      </w:pPr>
      <w:r>
        <w:t xml:space="preserve">운영</w:t>
      </w:r>
    </w:p>
    <w:p>
      <w:pPr/>
      <w:r>
        <w:t xml:space="preserve">운영의 핵심은 지연을 상시 측정하고, 커넥터가 멈춰도 로그가 남아 있는 동안 재개할 수 있게 하며, 주기적으로 양쪽 데이터를 대사하는 것이다.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방법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초기 적재</w:t>
            </w:r>
          </w:p>
        </w:tc>
        <w:tc>
          <w:tcPr>
            <w:tcW w:w="3120" w:type="dxa"/>
          </w:tcPr>
          <w:p>
            <w:pPr/>
            <w:r>
              <w:t xml:space="preserve">대용량 테이블은 업무 외 시간에 스냅샷</w:t>
            </w:r>
          </w:p>
        </w:tc>
        <w:tc>
          <w:tcPr>
            <w:tcW w:w="3120" w:type="dxa"/>
          </w:tcPr>
          <w:p>
            <w:pPr/>
            <w:r>
              <w:t xml:space="preserve">스냅샷 대상 쿼리 범위 조정, 증분 스냅샷(시그널 테이블) 활용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지연 모니터링</w:t>
            </w:r>
          </w:p>
        </w:tc>
        <w:tc>
          <w:tcPr>
            <w:tcW w:w="3120" w:type="dxa"/>
          </w:tcPr>
          <w:p>
            <w:pPr/>
            <w:r>
              <w:t xml:space="preserve">원천 변경 → 대상 반영 지연 목표치 설정</w:t>
            </w:r>
          </w:p>
        </w:tc>
        <w:tc>
          <w:tcPr>
            <w:tcW w:w="3120" w:type="dxa"/>
          </w:tcPr>
          <w:p>
            <w:pPr/>
            <w:r>
              <w:t xml:space="preserve">Debezium JMX 지표(MilliSecondsBehindSource 등), 싱크 컨슈머 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처리량</w:t>
            </w:r>
          </w:p>
        </w:tc>
        <w:tc>
          <w:tcPr>
            <w:tcW w:w="3120" w:type="dxa"/>
          </w:tcPr>
          <w:p>
            <w:pPr/>
            <w:r>
              <w:t xml:space="preserve">피크 시간 redo 발생량 대비 처리 속도 확인</w:t>
            </w:r>
          </w:p>
        </w:tc>
        <w:tc>
          <w:tcPr>
            <w:tcW w:w="3120" w:type="dxa"/>
          </w:tcPr>
          <w:p>
            <w:pPr/>
            <w:r>
              <w:t xml:space="preserve">LogMiner 배치 크기·조회 간격 조정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DDL 변경</w:t>
            </w:r>
          </w:p>
        </w:tc>
        <w:tc>
          <w:tcPr>
            <w:tcW w:w="3120" w:type="dxa"/>
          </w:tcPr>
          <w:p>
            <w:pPr/>
            <w:r>
              <w:t xml:space="preserve">원천 컬럼 추가는 대상에 먼저 반영</w:t>
            </w:r>
          </w:p>
        </w:tc>
        <w:tc>
          <w:tcPr>
            <w:tcW w:w="3120" w:type="dxa"/>
          </w:tcPr>
          <w:p>
            <w:pPr/>
            <w:r>
              <w:t xml:space="preserve">표준 변경 절차 → PostgreSQL DDL → Oracle DDL 순서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장애 재개</w:t>
            </w:r>
          </w:p>
        </w:tc>
        <w:tc>
          <w:tcPr>
            <w:tcW w:w="3120" w:type="dxa"/>
          </w:tcPr>
          <w:p>
            <w:pPr/>
            <w:r>
              <w:t xml:space="preserve">커넥터는 마지막 오프셋부터 재시작</w:t>
            </w:r>
          </w:p>
        </w:tc>
        <w:tc>
          <w:tcPr>
            <w:tcW w:w="3120" w:type="dxa"/>
          </w:tcPr>
          <w:p>
            <w:pPr/>
            <w:r>
              <w:t xml:space="preserve">archive 로그가 보존 기간 안에 있어야 함, 넘으면 재스냅샷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오류 이벤트</w:t>
            </w:r>
          </w:p>
        </w:tc>
        <w:tc>
          <w:tcPr>
            <w:tcW w:w="3120" w:type="dxa"/>
          </w:tcPr>
          <w:p>
            <w:pPr/>
            <w:r>
              <w:t xml:space="preserve">반영 실패 이벤트를 따로 보관</w:t>
            </w:r>
          </w:p>
        </w:tc>
        <w:tc>
          <w:tcPr>
            <w:tcW w:w="3120" w:type="dxa"/>
          </w:tcPr>
          <w:p>
            <w:pPr/>
            <w:r>
              <w:t xml:space="preserve">errors.tolerance와 Dead Letter Queue 토픽 설정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정합성 검증</w:t>
            </w:r>
          </w:p>
        </w:tc>
        <w:tc>
          <w:tcPr>
            <w:tcW w:w="3120" w:type="dxa"/>
          </w:tcPr>
          <w:p>
            <w:pPr/>
            <w:r>
              <w:t xml:space="preserve">일 1회 건수, 주 1회 키·합계 대사</w:t>
            </w:r>
          </w:p>
        </w:tc>
        <w:tc>
          <w:tcPr>
            <w:tcW w:w="3120" w:type="dxa"/>
          </w:tcPr>
          <w:p>
            <w:pPr/>
            <w:r>
              <w:t xml:space="preserve">테이블별 건수, 금액 합계, PK 해시 비교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보안</w:t>
            </w:r>
          </w:p>
        </w:tc>
        <w:tc>
          <w:tcPr>
            <w:tcW w:w="3120" w:type="dxa"/>
          </w:tcPr>
          <w:p>
            <w:pPr/>
            <w:r>
              <w:t xml:space="preserve">전송 구간 암호화, 계정 분리</w:t>
            </w:r>
          </w:p>
        </w:tc>
        <w:tc>
          <w:tcPr>
            <w:tcW w:w="3120" w:type="dxa"/>
          </w:tcPr>
          <w:p>
            <w:pPr/>
            <w:r>
              <w:t xml:space="preserve">Kafka TLS·인증, 토픽 ACL, 커넥터별 DB 계정</w:t>
            </w:r>
          </w:p>
        </w:tc>
      </w:tr>
    </w:tbl>
    <w:p>
      <w:pPr>
        <w:pStyle w:val="Heading3"/>
      </w:pPr>
      <w:r>
        <w:t xml:space="preserve">전환(컷오버) 체크리스트</w:t>
      </w:r>
    </w:p>
    <w:p>
      <w:pPr>
        <w:pStyle w:val="ListParagraph"/>
        <w:numPr>
          <w:ilvl w:val="0"/>
          <w:numId w:val="8"/>
        </w:numPr>
      </w:pPr>
      <w:r>
        <w:t xml:space="preserve">☐ 지연이 목표치 이하로 안정적으로 유지된다</w:t>
      </w:r>
    </w:p>
    <w:p>
      <w:pPr>
        <w:pStyle w:val="ListParagraph"/>
        <w:numPr>
          <w:ilvl w:val="0"/>
          <w:numId w:val="8"/>
        </w:numPr>
      </w:pPr>
      <w:r>
        <w:t xml:space="preserve">☐ 전 테이블 건수·합계 대사가 일치한다</w:t>
      </w:r>
    </w:p>
    <w:p>
      <w:pPr>
        <w:pStyle w:val="ListParagraph"/>
        <w:numPr>
          <w:ilvl w:val="0"/>
          <w:numId w:val="8"/>
        </w:numPr>
      </w:pPr>
      <w:r>
        <w:t xml:space="preserve">☐ 원천 쓰기를 멈춘 뒤 마지막 변경까지 반영됐음을 확인한다</w:t>
      </w:r>
    </w:p>
    <w:p>
      <w:pPr>
        <w:pStyle w:val="ListParagraph"/>
        <w:numPr>
          <w:ilvl w:val="0"/>
          <w:numId w:val="8"/>
        </w:numPr>
      </w:pPr>
      <w:r>
        <w:t xml:space="preserve">☐ 애플리케이션 연결을 PostgreSQL로 바꾸고, 역방향 동기화(필요 시) 계획을 준비한다</w:t>
      </w:r>
    </w:p>
    <w:p>
      <w:pPr>
        <w:pStyle w:val="ListParagraph"/>
        <w:numPr>
          <w:ilvl w:val="0"/>
          <w:numId w:val="8"/>
        </w:numPr>
      </w:pPr>
      <w:r>
        <w:t xml:space="preserve">☐ 커넥터 중지와 Oracle 보충 로깅 해제 시점을 정한다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CDC 가이드 Oracle → PostgreSQL (Kafka · Debezium)</dc:title>
  <dc:description>Claude Docs node/b69e7c27-42d7@15 docx-w6</dc:description>
  <cp:revision>15</cp:revision>
</cp:coreProperties>
</file>