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466DD6"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Yes — your list is a strong </w:t>
      </w:r>
      <w:r w:rsidRPr="00B33EA7">
        <w:rPr>
          <w:rFonts w:ascii="Segoe UI" w:eastAsia="Times New Roman" w:hAnsi="Segoe UI" w:cs="Segoe UI"/>
          <w:b/>
          <w:bCs/>
          <w:kern w:val="0"/>
          <w:sz w:val="21"/>
          <w:szCs w:val="21"/>
          <w14:ligatures w14:val="none"/>
        </w:rPr>
        <w:t>technical specification outline</w:t>
      </w:r>
      <w:r w:rsidRPr="00B33EA7">
        <w:rPr>
          <w:rFonts w:ascii="Segoe UI" w:eastAsia="Times New Roman" w:hAnsi="Segoe UI" w:cs="Segoe UI"/>
          <w:kern w:val="0"/>
          <w:sz w:val="21"/>
          <w:szCs w:val="21"/>
          <w14:ligatures w14:val="none"/>
        </w:rPr>
        <w:t xml:space="preserve">, but for a patent to have the best chance of allowance, you should add several </w:t>
      </w:r>
      <w:r w:rsidRPr="00B33EA7">
        <w:rPr>
          <w:rFonts w:ascii="Segoe UI" w:eastAsia="Times New Roman" w:hAnsi="Segoe UI" w:cs="Segoe UI"/>
          <w:b/>
          <w:bCs/>
          <w:kern w:val="0"/>
          <w:sz w:val="21"/>
          <w:szCs w:val="21"/>
          <w14:ligatures w14:val="none"/>
        </w:rPr>
        <w:t>legal, procedural, and claim-support sections</w:t>
      </w:r>
      <w:r w:rsidRPr="00B33EA7">
        <w:rPr>
          <w:rFonts w:ascii="Segoe UI" w:eastAsia="Times New Roman" w:hAnsi="Segoe UI" w:cs="Segoe UI"/>
          <w:kern w:val="0"/>
          <w:sz w:val="21"/>
          <w:szCs w:val="21"/>
          <w14:ligatures w14:val="none"/>
        </w:rPr>
        <w:t xml:space="preserve">. No one can guarantee approval, because the USPTO examiner will evaluate patent-eligible subject matter, novelty, non-obviousness, utility, and disclosure quality during examination. The USPTO’s utility application guide lists required parts such as specification, claims, abstract, drawings, oath/declaration, application data sheet, and fees, while MPEP Chapter 2100 covers patentability examination including eligibility, utility, novelty, and obviousness issues. </w:t>
      </w:r>
      <w:hyperlink r:id="rId7" w:history="1">
        <w:r w:rsidRPr="00B33EA7">
          <w:rPr>
            <w:rFonts w:ascii="Segoe UI" w:eastAsia="Times New Roman" w:hAnsi="Segoe UI" w:cs="Segoe UI"/>
            <w:color w:val="464FEB"/>
            <w:kern w:val="0"/>
            <w:sz w:val="21"/>
            <w:szCs w:val="21"/>
            <w14:ligatures w14:val="none"/>
          </w:rPr>
          <w:t>[uspto.gov]</w:t>
        </w:r>
      </w:hyperlink>
      <w:r w:rsidRPr="00B33EA7">
        <w:rPr>
          <w:rFonts w:ascii="Segoe UI" w:eastAsia="Times New Roman" w:hAnsi="Segoe UI" w:cs="Segoe UI"/>
          <w:kern w:val="0"/>
          <w:sz w:val="21"/>
          <w:szCs w:val="21"/>
          <w14:ligatures w14:val="none"/>
        </w:rPr>
        <w:t xml:space="preserve">, </w:t>
      </w:r>
      <w:hyperlink r:id="rId8" w:history="1">
        <w:r w:rsidRPr="00B33EA7">
          <w:rPr>
            <w:rFonts w:ascii="Segoe UI" w:eastAsia="Times New Roman" w:hAnsi="Segoe UI" w:cs="Segoe UI"/>
            <w:color w:val="464FEB"/>
            <w:kern w:val="0"/>
            <w:sz w:val="21"/>
            <w:szCs w:val="21"/>
            <w14:ligatures w14:val="none"/>
          </w:rPr>
          <w:t>[uspto.gov]</w:t>
        </w:r>
      </w:hyperlink>
    </w:p>
    <w:p w14:paraId="7BF0974F"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Below is a </w:t>
      </w:r>
      <w:r w:rsidRPr="00B33EA7">
        <w:rPr>
          <w:rFonts w:ascii="Segoe UI" w:eastAsia="Times New Roman" w:hAnsi="Segoe UI" w:cs="Segoe UI"/>
          <w:b/>
          <w:bCs/>
          <w:kern w:val="0"/>
          <w:sz w:val="21"/>
          <w:szCs w:val="21"/>
          <w14:ligatures w14:val="none"/>
        </w:rPr>
        <w:t>complete one-shot patent application structure</w:t>
      </w:r>
      <w:r w:rsidRPr="00B33EA7">
        <w:rPr>
          <w:rFonts w:ascii="Segoe UI" w:eastAsia="Times New Roman" w:hAnsi="Segoe UI" w:cs="Segoe UI"/>
          <w:kern w:val="0"/>
          <w:sz w:val="21"/>
          <w:szCs w:val="21"/>
          <w14:ligatures w14:val="none"/>
        </w:rPr>
        <w:t xml:space="preserve"> I would recommend for your AFC / wireless / standard-power invention.</w:t>
      </w:r>
    </w:p>
    <w:p w14:paraId="57E9B98B" w14:textId="77777777" w:rsidR="00B33EA7" w:rsidRPr="00B33EA7" w:rsidRDefault="00B17214" w:rsidP="00B33EA7">
      <w:pPr>
        <w:spacing w:after="0" w:line="300" w:lineRule="atLeast"/>
        <w:rPr>
          <w:rFonts w:ascii="Segoe UI" w:eastAsia="Times New Roman" w:hAnsi="Segoe UI" w:cs="Segoe UI"/>
          <w:kern w:val="0"/>
          <w:sz w:val="21"/>
          <w:szCs w:val="21"/>
          <w14:ligatures w14:val="none"/>
        </w:rPr>
      </w:pPr>
      <w:r w:rsidRPr="00B17214">
        <w:rPr>
          <w:rFonts w:ascii="Segoe UI" w:eastAsia="Times New Roman" w:hAnsi="Segoe UI" w:cs="Segoe UI"/>
          <w:noProof/>
          <w:kern w:val="0"/>
          <w:sz w:val="21"/>
          <w:szCs w:val="21"/>
        </w:rPr>
        <w:pict w14:anchorId="12A314A8">
          <v:rect id="_x0000_i1055" alt="" style="width:468pt;height:.05pt;mso-width-percent:0;mso-height-percent:0;mso-width-percent:0;mso-height-percent:0" o:hralign="center" o:hrstd="t" o:hr="t" fillcolor="#a0a0a0" stroked="f"/>
        </w:pict>
      </w:r>
    </w:p>
    <w:p w14:paraId="3C7FEF79" w14:textId="77777777" w:rsidR="00B33EA7" w:rsidRPr="00B33EA7" w:rsidRDefault="00B33EA7" w:rsidP="00B33EA7">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33EA7">
        <w:rPr>
          <w:rFonts w:ascii="Segoe UI" w:eastAsia="Times New Roman" w:hAnsi="Segoe UI" w:cs="Segoe UI"/>
          <w:b/>
          <w:bCs/>
          <w:kern w:val="36"/>
          <w:sz w:val="48"/>
          <w:szCs w:val="48"/>
          <w14:ligatures w14:val="none"/>
        </w:rPr>
        <w:t>Complete Patent Application Structure</w:t>
      </w:r>
    </w:p>
    <w:p w14:paraId="1312D6F7"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1. Front Matter / Filing Documents</w:t>
      </w:r>
    </w:p>
    <w:p w14:paraId="54CD8BAF"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these in addition to the technical document:</w:t>
      </w:r>
    </w:p>
    <w:p w14:paraId="6C749D20"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Title of the invention</w:t>
      </w:r>
    </w:p>
    <w:p w14:paraId="50BCCBAF"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Inventor list</w:t>
      </w:r>
      <w:r w:rsidRPr="00B33EA7">
        <w:rPr>
          <w:rFonts w:ascii="Segoe UI" w:eastAsia="Times New Roman" w:hAnsi="Segoe UI" w:cs="Segoe UI"/>
          <w:kern w:val="0"/>
          <w:sz w:val="21"/>
          <w:szCs w:val="21"/>
          <w14:ligatures w14:val="none"/>
        </w:rPr>
        <w:t xml:space="preserve"> — you and the 3 colleagues</w:t>
      </w:r>
    </w:p>
    <w:p w14:paraId="75DEEA8A"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Applicant / assignee</w:t>
      </w:r>
      <w:r w:rsidRPr="00B33EA7">
        <w:rPr>
          <w:rFonts w:ascii="Segoe UI" w:eastAsia="Times New Roman" w:hAnsi="Segoe UI" w:cs="Segoe UI"/>
          <w:kern w:val="0"/>
          <w:sz w:val="21"/>
          <w:szCs w:val="21"/>
          <w14:ligatures w14:val="none"/>
        </w:rPr>
        <w:t xml:space="preserve"> — your company</w:t>
      </w:r>
    </w:p>
    <w:p w14:paraId="03D8948A"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Application Data Sheet (ADS)</w:t>
      </w:r>
    </w:p>
    <w:p w14:paraId="26C734E5"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Inventor oath or declaration</w:t>
      </w:r>
    </w:p>
    <w:p w14:paraId="434508F6"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Assignment documents to company</w:t>
      </w:r>
    </w:p>
    <w:p w14:paraId="4A75A20E"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Power of attorney, if using patent counsel</w:t>
      </w:r>
    </w:p>
    <w:p w14:paraId="1DD6C104"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Fee transmittal / entity status</w:t>
      </w:r>
    </w:p>
    <w:p w14:paraId="52B76655"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Information Disclosure Statement (IDS)</w:t>
      </w:r>
      <w:r w:rsidRPr="00B33EA7">
        <w:rPr>
          <w:rFonts w:ascii="Segoe UI" w:eastAsia="Times New Roman" w:hAnsi="Segoe UI" w:cs="Segoe UI"/>
          <w:kern w:val="0"/>
          <w:sz w:val="21"/>
          <w:szCs w:val="21"/>
          <w14:ligatures w14:val="none"/>
        </w:rPr>
        <w:t xml:space="preserve"> listing known prior art</w:t>
      </w:r>
    </w:p>
    <w:p w14:paraId="60DDA757" w14:textId="77777777" w:rsidR="00B33EA7" w:rsidRPr="00B33EA7" w:rsidRDefault="00B33EA7" w:rsidP="00B33EA7">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Cross-reference to related applications</w:t>
      </w:r>
      <w:r w:rsidRPr="00B33EA7">
        <w:rPr>
          <w:rFonts w:ascii="Segoe UI" w:eastAsia="Times New Roman" w:hAnsi="Segoe UI" w:cs="Segoe UI"/>
          <w:kern w:val="0"/>
          <w:sz w:val="21"/>
          <w:szCs w:val="21"/>
          <w14:ligatures w14:val="none"/>
        </w:rPr>
        <w:t>, if any</w:t>
      </w:r>
    </w:p>
    <w:p w14:paraId="326993FE"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The USPTO filing guide identifies the application data sheet, specification, claims, abstract, drawings, oath/declaration, and appropriate fees as expected parts of a nonprovisional utility application. </w:t>
      </w:r>
      <w:hyperlink r:id="rId9" w:history="1">
        <w:r w:rsidRPr="00B33EA7">
          <w:rPr>
            <w:rFonts w:ascii="Segoe UI" w:eastAsia="Times New Roman" w:hAnsi="Segoe UI" w:cs="Segoe UI"/>
            <w:color w:val="464FEB"/>
            <w:kern w:val="0"/>
            <w:sz w:val="21"/>
            <w:szCs w:val="21"/>
            <w14:ligatures w14:val="none"/>
          </w:rPr>
          <w:t>[uspto.gov]</w:t>
        </w:r>
      </w:hyperlink>
    </w:p>
    <w:p w14:paraId="175F338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11732347">
          <v:rect id="_x0000_i1026" style="width:0;height:1.5pt" o:hralign="center" o:hrstd="t" o:hr="t" fillcolor="#a0a0a0" stroked="f"/>
        </w:pict>
      </w:r>
    </w:p>
    <w:p w14:paraId="3A482A4B"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2. Technical Specification Sections</w:t>
      </w:r>
    </w:p>
    <w:p w14:paraId="7D8B42D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Your original list is good, but I would expand it like this:</w:t>
      </w:r>
    </w:p>
    <w:p w14:paraId="628FB912"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A. Title</w:t>
      </w:r>
    </w:p>
    <w:p w14:paraId="3EBBE3B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Keep it specific but not too narrow.</w:t>
      </w:r>
    </w:p>
    <w:p w14:paraId="491AFCAE"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Example:</w:t>
      </w:r>
    </w:p>
    <w:p w14:paraId="2B5C70F6"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Systems and Methods for AFC-Based Standard-Power Authorization Using Location Confidence and Dynamic Interference Mitigation</w:t>
      </w:r>
    </w:p>
    <w:p w14:paraId="1466475D"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091D1C22">
          <v:rect id="_x0000_i1027" style="width:0;height:1.5pt" o:hralign="center" o:hrstd="t" o:hr="t" fillcolor="#a0a0a0" stroked="f"/>
        </w:pict>
      </w:r>
    </w:p>
    <w:p w14:paraId="32CC84E4"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B. Cross-Reference to Related Applications</w:t>
      </w:r>
    </w:p>
    <w:p w14:paraId="6B12EAF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if you filed a provisional, invention disclosure, continuation, or related company filing.</w:t>
      </w:r>
    </w:p>
    <w:p w14:paraId="4FCC817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3CCD06D0">
          <v:rect id="_x0000_i1028" style="width:0;height:1.5pt" o:hralign="center" o:hrstd="t" o:hr="t" fillcolor="#a0a0a0" stroked="f"/>
        </w:pict>
      </w:r>
    </w:p>
    <w:p w14:paraId="738F5837"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C. Field of the Invention</w:t>
      </w:r>
    </w:p>
    <w:p w14:paraId="5D3839B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State the technical field.</w:t>
      </w:r>
    </w:p>
    <w:p w14:paraId="510A94AB"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Example:</w:t>
      </w:r>
    </w:p>
    <w:p w14:paraId="1DF63BA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The disclosure relates to wireless communications, 6 GHz Wi-Fi, automated frequency coordination, standard-power access points, geolocation-based spectrum authorization, and incumbent interference protection.</w:t>
      </w:r>
    </w:p>
    <w:p w14:paraId="0A5ABC0D"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208B37D3">
          <v:rect id="_x0000_i1029" style="width:0;height:1.5pt" o:hralign="center" o:hrstd="t" o:hr="t" fillcolor="#a0a0a0" stroked="f"/>
        </w:pict>
      </w:r>
    </w:p>
    <w:p w14:paraId="55ECFE69"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D. Background — 3–5 pages</w:t>
      </w:r>
    </w:p>
    <w:p w14:paraId="7FE8EB1E"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Explain the current AFC environment:</w:t>
      </w:r>
    </w:p>
    <w:p w14:paraId="2590CA19" w14:textId="77777777" w:rsidR="00B33EA7" w:rsidRPr="00B33EA7" w:rsidRDefault="00B33EA7" w:rsidP="00B33EA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6 GHz unlicensed operation</w:t>
      </w:r>
    </w:p>
    <w:p w14:paraId="3EA5DFA6" w14:textId="77777777" w:rsidR="00B33EA7" w:rsidRPr="00B33EA7" w:rsidRDefault="00B33EA7" w:rsidP="00B33EA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AP requirements</w:t>
      </w:r>
    </w:p>
    <w:p w14:paraId="7C81B07A" w14:textId="77777777" w:rsidR="00B33EA7" w:rsidRPr="00B33EA7" w:rsidRDefault="00B33EA7" w:rsidP="00B33EA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database/server role</w:t>
      </w:r>
    </w:p>
    <w:p w14:paraId="165C3BF9" w14:textId="77777777" w:rsidR="00B33EA7" w:rsidRPr="00B33EA7" w:rsidRDefault="00B33EA7" w:rsidP="00B33EA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protection</w:t>
      </w:r>
    </w:p>
    <w:p w14:paraId="6B75787A" w14:textId="77777777" w:rsidR="00B33EA7" w:rsidRPr="00B33EA7" w:rsidRDefault="00B33EA7" w:rsidP="00B33EA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geolocation/height uncertainty</w:t>
      </w:r>
    </w:p>
    <w:p w14:paraId="149BC2EE" w14:textId="77777777" w:rsidR="00B33EA7" w:rsidRPr="00B33EA7" w:rsidRDefault="00B33EA7" w:rsidP="00B33EA7">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Limitations of existing AFC systems</w:t>
      </w:r>
    </w:p>
    <w:p w14:paraId="3691D970"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17E96076">
          <v:rect id="_x0000_i1030" style="width:0;height:1.5pt" o:hralign="center" o:hrstd="t" o:hr="t" fillcolor="#a0a0a0" stroked="f"/>
        </w:pict>
      </w:r>
    </w:p>
    <w:p w14:paraId="144F6147"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E. Problem Statement / Limitations of Existing AFC — 3–6 pages</w:t>
      </w:r>
    </w:p>
    <w:p w14:paraId="44538E20"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is very important for non-obviousness.</w:t>
      </w:r>
    </w:p>
    <w:p w14:paraId="54803758"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Include:</w:t>
      </w:r>
    </w:p>
    <w:p w14:paraId="55D7FD04"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Existing AFC systems are static or slow.</w:t>
      </w:r>
    </w:p>
    <w:p w14:paraId="5A125852"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location uncertainty reduces available channels.</w:t>
      </w:r>
    </w:p>
    <w:p w14:paraId="0CD321C7"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mode may be denied unnecessarily.</w:t>
      </w:r>
    </w:p>
    <w:p w14:paraId="1AC3768F"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Current systems do not handle mobile/fixed-path APs well.</w:t>
      </w:r>
    </w:p>
    <w:p w14:paraId="57A80651"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Current AFC responses may not adapt to real-time interference.</w:t>
      </w:r>
    </w:p>
    <w:p w14:paraId="64073E5F"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coordination is not optimized.</w:t>
      </w:r>
    </w:p>
    <w:p w14:paraId="04F0A067"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Manual AP registration is hard for large deployments.</w:t>
      </w:r>
    </w:p>
    <w:p w14:paraId="1E463363" w14:textId="77777777" w:rsidR="00B33EA7" w:rsidRPr="00B33EA7" w:rsidRDefault="00B33EA7" w:rsidP="00B33EA7">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systems may not efficiently recover from incumbent interference events.</w:t>
      </w:r>
    </w:p>
    <w:p w14:paraId="062E17A3"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Non-obviousness is evaluated by whether the difference between the claimed invention and prior art would have been obvious to a person of ordinary skill in the art, so clearly explaining the technical gap is important. </w:t>
      </w:r>
      <w:hyperlink r:id="rId10" w:history="1">
        <w:r w:rsidRPr="00B33EA7">
          <w:rPr>
            <w:rFonts w:ascii="Segoe UI" w:eastAsia="Times New Roman" w:hAnsi="Segoe UI" w:cs="Segoe UI"/>
            <w:color w:val="464FEB"/>
            <w:kern w:val="0"/>
            <w:sz w:val="21"/>
            <w:szCs w:val="21"/>
            <w14:ligatures w14:val="none"/>
          </w:rPr>
          <w:t>[law.cornell.edu]</w:t>
        </w:r>
      </w:hyperlink>
    </w:p>
    <w:p w14:paraId="314D844F"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6F265B4B">
          <v:rect id="_x0000_i1031" style="width:0;height:1.5pt" o:hralign="center" o:hrstd="t" o:hr="t" fillcolor="#a0a0a0" stroked="f"/>
        </w:pict>
      </w:r>
    </w:p>
    <w:p w14:paraId="05D9981B"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F. Summary of the Invention — 3–5 pages</w:t>
      </w:r>
    </w:p>
    <w:p w14:paraId="07ACE947"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Summarize the invention at multiple levels:</w:t>
      </w:r>
    </w:p>
    <w:p w14:paraId="0F7DF561" w14:textId="77777777" w:rsidR="00B33EA7" w:rsidRPr="00B33EA7" w:rsidRDefault="00B33EA7" w:rsidP="00B33EA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Broad system-level summary</w:t>
      </w:r>
    </w:p>
    <w:p w14:paraId="6E3B40A2" w14:textId="77777777" w:rsidR="00B33EA7" w:rsidRPr="00B33EA7" w:rsidRDefault="00B33EA7" w:rsidP="00B33EA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Method-level summary</w:t>
      </w:r>
    </w:p>
    <w:p w14:paraId="722B821B" w14:textId="77777777" w:rsidR="00B33EA7" w:rsidRPr="00B33EA7" w:rsidRDefault="00B33EA7" w:rsidP="00B33EA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AP/device-level summary</w:t>
      </w:r>
    </w:p>
    <w:p w14:paraId="0A2B3E5F" w14:textId="77777777" w:rsidR="00B33EA7" w:rsidRPr="00B33EA7" w:rsidRDefault="00B33EA7" w:rsidP="00B33EA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server-level summary</w:t>
      </w:r>
    </w:p>
    <w:p w14:paraId="38048007" w14:textId="77777777" w:rsidR="00B33EA7" w:rsidRPr="00B33EA7" w:rsidRDefault="00B33EA7" w:rsidP="00B33EA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Controller/cloud-level summary</w:t>
      </w:r>
    </w:p>
    <w:p w14:paraId="1FB06B41" w14:textId="77777777" w:rsidR="00B33EA7" w:rsidRPr="00B33EA7" w:rsidRDefault="00B33EA7" w:rsidP="00B33EA7">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Computer-readable medium summary</w:t>
      </w:r>
    </w:p>
    <w:p w14:paraId="4E0F66DE"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helps support different claim types.</w:t>
      </w:r>
    </w:p>
    <w:p w14:paraId="3FEA2CB6"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2D893094">
          <v:rect id="_x0000_i1032" style="width:0;height:1.5pt" o:hralign="center" o:hrstd="t" o:hr="t" fillcolor="#a0a0a0" stroked="f"/>
        </w:pict>
      </w:r>
    </w:p>
    <w:p w14:paraId="15C228B2"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3. Add These Sections to Improve Approval Chances</w:t>
      </w:r>
    </w:p>
    <w:p w14:paraId="54A001B0"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These are the sections missing from your original outline.</w:t>
      </w:r>
    </w:p>
    <w:p w14:paraId="196DB2A7"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031959A3">
          <v:rect id="_x0000_i1033" style="width:0;height:1.5pt" o:hralign="center" o:hrstd="t" o:hr="t" fillcolor="#a0a0a0" stroked="f"/>
        </w:pict>
      </w:r>
    </w:p>
    <w:p w14:paraId="206B71DC"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G. Definitions / Terminology Section — 2–4 pages</w:t>
      </w:r>
    </w:p>
    <w:p w14:paraId="54FBB97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Add definitions for key terms:</w:t>
      </w:r>
    </w:p>
    <w:p w14:paraId="580630EA"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AFC</w:t>
      </w:r>
    </w:p>
    <w:p w14:paraId="008F6D6F"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 Power AP</w:t>
      </w:r>
    </w:p>
    <w:p w14:paraId="1965E86F"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Low Power Indoor AP</w:t>
      </w:r>
    </w:p>
    <w:p w14:paraId="7592AB23"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Fixed client device</w:t>
      </w:r>
    </w:p>
    <w:p w14:paraId="16BC47A1"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receiver</w:t>
      </w:r>
    </w:p>
    <w:p w14:paraId="5014A88E"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Exclusion zone</w:t>
      </w:r>
    </w:p>
    <w:p w14:paraId="43932AD9"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confidence</w:t>
      </w:r>
    </w:p>
    <w:p w14:paraId="7FDFA9CF"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Vertical uncertainty</w:t>
      </w:r>
    </w:p>
    <w:p w14:paraId="42826861"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w:t>
      </w:r>
    </w:p>
    <w:p w14:paraId="1FEB2695"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Available channel list</w:t>
      </w:r>
    </w:p>
    <w:p w14:paraId="1B33F7B3"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Maximum EIRP</w:t>
      </w:r>
    </w:p>
    <w:p w14:paraId="33B25223"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 availability</w:t>
      </w:r>
    </w:p>
    <w:p w14:paraId="5B05E6D3"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threshold</w:t>
      </w:r>
    </w:p>
    <w:p w14:paraId="0C750BE4"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 ratio</w:t>
      </w:r>
    </w:p>
    <w:p w14:paraId="0155D823"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Grant token</w:t>
      </w:r>
    </w:p>
    <w:p w14:paraId="555173EE"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registration</w:t>
      </w:r>
    </w:p>
    <w:p w14:paraId="30D95AAA"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Path-based AFC</w:t>
      </w:r>
    </w:p>
    <w:p w14:paraId="1D77EB99" w14:textId="77777777" w:rsidR="00B33EA7" w:rsidRPr="00B33EA7" w:rsidRDefault="00B33EA7" w:rsidP="00B33EA7">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coordination</w:t>
      </w:r>
    </w:p>
    <w:p w14:paraId="1C961D2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helps avoid ambiguity in claims.</w:t>
      </w:r>
    </w:p>
    <w:p w14:paraId="45E85EF1"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7E907AB5">
          <v:rect id="_x0000_i1034" style="width:0;height:1.5pt" o:hralign="center" o:hrstd="t" o:hr="t" fillcolor="#a0a0a0" stroked="f"/>
        </w:pict>
      </w:r>
    </w:p>
    <w:p w14:paraId="7E8F293A"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H. Inventive Concept / Novel Features Section — 3–5 pages</w:t>
      </w:r>
    </w:p>
    <w:p w14:paraId="552D8291"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Explicitly list what is new.</w:t>
      </w:r>
    </w:p>
    <w:p w14:paraId="4DF6CF1D"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Example:</w:t>
      </w:r>
    </w:p>
    <w:p w14:paraId="10746E98"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The inventive concepts include:</w:t>
      </w:r>
    </w:p>
    <w:p w14:paraId="5DC375A3" w14:textId="77777777" w:rsidR="00B33EA7" w:rsidRPr="00B33EA7" w:rsidRDefault="00B33EA7" w:rsidP="00B33EA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Dynamically selecting AFC query parameters based on AP location confidence.</w:t>
      </w:r>
    </w:p>
    <w:p w14:paraId="2E84E5CD" w14:textId="77777777" w:rsidR="00B33EA7" w:rsidRPr="00B33EA7" w:rsidRDefault="00B33EA7" w:rsidP="00B33EA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Switching an AP from low-power to standard-power mode using AFC authorization and client-derived location data.</w:t>
      </w:r>
    </w:p>
    <w:p w14:paraId="3B70BF6A" w14:textId="77777777" w:rsidR="00B33EA7" w:rsidRPr="00B33EA7" w:rsidRDefault="00B33EA7" w:rsidP="00B33EA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Precomputing incumbent-interference thresholds for faster AFC response.</w:t>
      </w:r>
    </w:p>
    <w:p w14:paraId="6F6C2C75" w14:textId="77777777" w:rsidR="00B33EA7" w:rsidRPr="00B33EA7" w:rsidRDefault="00B33EA7" w:rsidP="00B33EA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Using multi-AP coordination to reduce aggregate interference.</w:t>
      </w:r>
    </w:p>
    <w:p w14:paraId="23F27460" w14:textId="77777777" w:rsidR="00B33EA7" w:rsidRPr="00B33EA7" w:rsidRDefault="00B33EA7" w:rsidP="00B33EA7">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Updating channel/power operation based on post-grant interference detection.</w:t>
      </w:r>
    </w:p>
    <w:p w14:paraId="276741B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section helps the attorney draft stronger claims.</w:t>
      </w:r>
    </w:p>
    <w:p w14:paraId="3F5013B2"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07C07050">
          <v:rect id="_x0000_i1035" style="width:0;height:1.5pt" o:hralign="center" o:hrstd="t" o:hr="t" fillcolor="#a0a0a0" stroked="f"/>
        </w:pict>
      </w:r>
    </w:p>
    <w:p w14:paraId="7E1058D2"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lastRenderedPageBreak/>
        <w:t>I. Advantages / Technical Benefits — 3–5 pages</w:t>
      </w:r>
    </w:p>
    <w:p w14:paraId="542C633A"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Do </w:t>
      </w:r>
      <w:r w:rsidRPr="00B33EA7">
        <w:rPr>
          <w:rFonts w:ascii="Segoe UI" w:eastAsia="Times New Roman" w:hAnsi="Segoe UI" w:cs="Segoe UI"/>
          <w:b/>
          <w:bCs/>
          <w:kern w:val="0"/>
          <w:sz w:val="21"/>
          <w:szCs w:val="21"/>
          <w14:ligatures w14:val="none"/>
        </w:rPr>
        <w:t>not</w:t>
      </w:r>
      <w:r w:rsidRPr="00B33EA7">
        <w:rPr>
          <w:rFonts w:ascii="Segoe UI" w:eastAsia="Times New Roman" w:hAnsi="Segoe UI" w:cs="Segoe UI"/>
          <w:kern w:val="0"/>
          <w:sz w:val="21"/>
          <w:szCs w:val="21"/>
          <w14:ligatures w14:val="none"/>
        </w:rPr>
        <w:t xml:space="preserve"> only say “better performance.” Be specific:</w:t>
      </w:r>
    </w:p>
    <w:p w14:paraId="45E79A56"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Reduces AFC query latency</w:t>
      </w:r>
    </w:p>
    <w:p w14:paraId="6118AF28"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Improves standard-power availability</w:t>
      </w:r>
    </w:p>
    <w:p w14:paraId="0B046A2D"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Reduces false channel denial</w:t>
      </w:r>
    </w:p>
    <w:p w14:paraId="4369EF41"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Improves incumbent protection</w:t>
      </w:r>
    </w:p>
    <w:p w14:paraId="520C5F36"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Supports mobile APs or fixed-path APs</w:t>
      </w:r>
    </w:p>
    <w:p w14:paraId="3FAD8936"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Improves AFC response accuracy</w:t>
      </w:r>
    </w:p>
    <w:p w14:paraId="7F75BA59"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Reduces cloud compute load</w:t>
      </w:r>
    </w:p>
    <w:p w14:paraId="627AF173"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Enables fleet-scale AP registration</w:t>
      </w:r>
    </w:p>
    <w:p w14:paraId="218DB20E" w14:textId="77777777" w:rsidR="00B33EA7" w:rsidRPr="00B33EA7" w:rsidRDefault="00B33EA7" w:rsidP="00B33EA7">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Improves recovery after interference events</w:t>
      </w:r>
    </w:p>
    <w:p w14:paraId="53F47E6E"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For software/networking inventions, it helps to frame the invention as a </w:t>
      </w:r>
      <w:r w:rsidRPr="00B33EA7">
        <w:rPr>
          <w:rFonts w:ascii="Segoe UI" w:eastAsia="Times New Roman" w:hAnsi="Segoe UI" w:cs="Segoe UI"/>
          <w:b/>
          <w:bCs/>
          <w:kern w:val="0"/>
          <w:sz w:val="21"/>
          <w:szCs w:val="21"/>
          <w14:ligatures w14:val="none"/>
        </w:rPr>
        <w:t>technical improvement</w:t>
      </w:r>
      <w:r w:rsidRPr="00B33EA7">
        <w:rPr>
          <w:rFonts w:ascii="Segoe UI" w:eastAsia="Times New Roman" w:hAnsi="Segoe UI" w:cs="Segoe UI"/>
          <w:kern w:val="0"/>
          <w:sz w:val="21"/>
          <w:szCs w:val="21"/>
          <w14:ligatures w14:val="none"/>
        </w:rPr>
        <w:t xml:space="preserve"> to wireless/network operation, not merely an abstract business rule. The USPTO’s subject-matter eligibility guidance discusses whether claims are integrated into a practical application or improve a technology/computer functionality. </w:t>
      </w:r>
      <w:hyperlink r:id="rId11" w:history="1">
        <w:r w:rsidRPr="00B33EA7">
          <w:rPr>
            <w:rFonts w:ascii="Segoe UI" w:eastAsia="Times New Roman" w:hAnsi="Segoe UI" w:cs="Segoe UI"/>
            <w:color w:val="464FEB"/>
            <w:kern w:val="0"/>
            <w:sz w:val="21"/>
            <w:szCs w:val="21"/>
            <w14:ligatures w14:val="none"/>
          </w:rPr>
          <w:t>[uspto.gov]</w:t>
        </w:r>
      </w:hyperlink>
    </w:p>
    <w:p w14:paraId="65A31667"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7CA16F85">
          <v:rect id="_x0000_i1036" style="width:0;height:1.5pt" o:hralign="center" o:hrstd="t" o:hr="t" fillcolor="#a0a0a0" stroked="f"/>
        </w:pict>
      </w:r>
    </w:p>
    <w:p w14:paraId="3C9F6275"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J. Prior Art Differentiation Section — 5–10 pages</w:t>
      </w:r>
    </w:p>
    <w:p w14:paraId="4990F1B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is critical.</w:t>
      </w:r>
    </w:p>
    <w:p w14:paraId="58956001"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each known AFC patent or system, include:</w:t>
      </w:r>
    </w:p>
    <w:p w14:paraId="7590E97E" w14:textId="77777777" w:rsidR="00B33EA7" w:rsidRPr="00B33EA7" w:rsidRDefault="00B33EA7" w:rsidP="00B33EA7">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What the prior art does</w:t>
      </w:r>
    </w:p>
    <w:p w14:paraId="535A6C86" w14:textId="77777777" w:rsidR="00B33EA7" w:rsidRPr="00B33EA7" w:rsidRDefault="00B33EA7" w:rsidP="00B33EA7">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What it does not do</w:t>
      </w:r>
    </w:p>
    <w:p w14:paraId="4F024425" w14:textId="77777777" w:rsidR="00B33EA7" w:rsidRPr="00B33EA7" w:rsidRDefault="00B33EA7" w:rsidP="00B33EA7">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How your invention improves it</w:t>
      </w:r>
    </w:p>
    <w:p w14:paraId="24FD15C3" w14:textId="77777777" w:rsidR="00B33EA7" w:rsidRPr="00B33EA7" w:rsidRDefault="00B33EA7" w:rsidP="00B33EA7">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Why your improvement is not obvious</w:t>
      </w:r>
    </w:p>
    <w:p w14:paraId="1C3896E9"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479"/>
        <w:gridCol w:w="4223"/>
      </w:tblGrid>
      <w:tr w:rsidR="00B33EA7" w:rsidRPr="00B33EA7" w14:paraId="2666F4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021D8B" w14:textId="77777777" w:rsidR="00B33EA7" w:rsidRPr="00B33EA7" w:rsidRDefault="00B33EA7" w:rsidP="00B33EA7">
            <w:pPr>
              <w:spacing w:after="0" w:line="240" w:lineRule="auto"/>
              <w:jc w:val="center"/>
              <w:rPr>
                <w:rFonts w:ascii="Times New Roman" w:eastAsia="Times New Roman" w:hAnsi="Times New Roman" w:cs="Times New Roman"/>
                <w:b/>
                <w:bCs/>
                <w:kern w:val="0"/>
                <w14:ligatures w14:val="none"/>
              </w:rPr>
            </w:pPr>
            <w:r w:rsidRPr="00B33EA7">
              <w:rPr>
                <w:rFonts w:ascii="Times New Roman" w:eastAsia="Times New Roman" w:hAnsi="Times New Roman" w:cs="Times New Roman"/>
                <w:b/>
                <w:bCs/>
                <w:kern w:val="0"/>
                <w14:ligatures w14:val="none"/>
              </w:rPr>
              <w:t>Prior AFC approach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344079" w14:textId="77777777" w:rsidR="00B33EA7" w:rsidRPr="00B33EA7" w:rsidRDefault="00B33EA7" w:rsidP="00B33EA7">
            <w:pPr>
              <w:spacing w:after="0" w:line="240" w:lineRule="auto"/>
              <w:jc w:val="center"/>
              <w:rPr>
                <w:rFonts w:ascii="Times New Roman" w:eastAsia="Times New Roman" w:hAnsi="Times New Roman" w:cs="Times New Roman"/>
                <w:b/>
                <w:bCs/>
                <w:kern w:val="0"/>
                <w14:ligatures w14:val="none"/>
              </w:rPr>
            </w:pPr>
            <w:r w:rsidRPr="00B33EA7">
              <w:rPr>
                <w:rFonts w:ascii="Times New Roman" w:eastAsia="Times New Roman" w:hAnsi="Times New Roman" w:cs="Times New Roman"/>
                <w:b/>
                <w:bCs/>
                <w:kern w:val="0"/>
                <w14:ligatures w14:val="none"/>
              </w:rPr>
              <w:t>Limitation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9A6022" w14:textId="77777777" w:rsidR="00B33EA7" w:rsidRPr="00B33EA7" w:rsidRDefault="00B33EA7" w:rsidP="00B33EA7">
            <w:pPr>
              <w:spacing w:after="0" w:line="240" w:lineRule="auto"/>
              <w:jc w:val="center"/>
              <w:rPr>
                <w:rFonts w:ascii="Times New Roman" w:eastAsia="Times New Roman" w:hAnsi="Times New Roman" w:cs="Times New Roman"/>
                <w:b/>
                <w:bCs/>
                <w:kern w:val="0"/>
                <w14:ligatures w14:val="none"/>
              </w:rPr>
            </w:pPr>
            <w:r w:rsidRPr="00B33EA7">
              <w:rPr>
                <w:rFonts w:ascii="Times New Roman" w:eastAsia="Times New Roman" w:hAnsi="Times New Roman" w:cs="Times New Roman"/>
                <w:b/>
                <w:bCs/>
                <w:kern w:val="0"/>
                <w14:ligatures w14:val="none"/>
              </w:rPr>
              <w:t>Your improvement</w:t>
            </w:r>
          </w:p>
        </w:tc>
      </w:tr>
      <w:tr w:rsidR="00B33EA7" w:rsidRPr="00B33EA7" w14:paraId="06C032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DB917"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Basic AFC request/response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298CC"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Static authorization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CA419"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Dynamic AFC query refinement</w:t>
            </w:r>
          </w:p>
        </w:tc>
      </w:tr>
      <w:tr w:rsidR="00B33EA7" w:rsidRPr="00B33EA7" w14:paraId="272CB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58173"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Location-aware AFC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23E7C0"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Uses location only once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E9BD3"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Iterative confidence-based updates</w:t>
            </w:r>
          </w:p>
        </w:tc>
      </w:tr>
      <w:tr w:rsidR="00B33EA7" w:rsidRPr="00B33EA7" w14:paraId="58CB43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6CFB48"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Standard-power grant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F0F72F"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Requires fixed AP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47B3D9"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Uses multi-source AP/client location confidence</w:t>
            </w:r>
          </w:p>
        </w:tc>
      </w:tr>
      <w:tr w:rsidR="00B33EA7" w:rsidRPr="00B33EA7" w14:paraId="3D685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0E485"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Interference mitigation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B811B"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Reactive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84CAE3"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Predictive + reactive mitigation</w:t>
            </w:r>
          </w:p>
        </w:tc>
      </w:tr>
      <w:tr w:rsidR="00B33EA7" w:rsidRPr="00B33EA7" w14:paraId="61FAD0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E16F2E"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lastRenderedPageBreak/>
              <w:t>Multi-AP AFC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32F25"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Independent AP decisions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48CD0"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Controller-level coordinated optimization</w:t>
            </w:r>
          </w:p>
        </w:tc>
      </w:tr>
    </w:tbl>
    <w:p w14:paraId="6E197B7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section is not always filed as a separate patent heading, but it is very useful for drafting and prosecution.</w:t>
      </w:r>
    </w:p>
    <w:p w14:paraId="62A1AC90"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584045F0">
          <v:rect id="_x0000_i1037" style="width:0;height:1.5pt" o:hralign="center" o:hrstd="t" o:hr="t" fillcolor="#a0a0a0" stroked="f"/>
        </w:pict>
      </w:r>
    </w:p>
    <w:p w14:paraId="6F65FC95"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K. System Architecture — 8–12 pages</w:t>
      </w:r>
    </w:p>
    <w:p w14:paraId="3697CC07"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detailed architecture:</w:t>
      </w:r>
    </w:p>
    <w:p w14:paraId="787AF198"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 standard-power AP</w:t>
      </w:r>
    </w:p>
    <w:p w14:paraId="1F93583F"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 / client device</w:t>
      </w:r>
    </w:p>
    <w:p w14:paraId="72AD1E4F"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WLAN controller</w:t>
      </w:r>
    </w:p>
    <w:p w14:paraId="7670AA17"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client module</w:t>
      </w:r>
    </w:p>
    <w:p w14:paraId="5B3A3C0D"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server</w:t>
      </w:r>
    </w:p>
    <w:p w14:paraId="641E96C3"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service</w:t>
      </w:r>
    </w:p>
    <w:p w14:paraId="048AA118"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Height/vertical uncertainty service</w:t>
      </w:r>
    </w:p>
    <w:p w14:paraId="5552B88F"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database</w:t>
      </w:r>
    </w:p>
    <w:p w14:paraId="617F318B"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prediction engine</w:t>
      </w:r>
    </w:p>
    <w:p w14:paraId="679C9B67"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Channel/power decision engine</w:t>
      </w:r>
    </w:p>
    <w:p w14:paraId="7E02AC8F"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Registration module</w:t>
      </w:r>
    </w:p>
    <w:p w14:paraId="47A2EA9A"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Authentication/security module</w:t>
      </w:r>
    </w:p>
    <w:p w14:paraId="500EEB23"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Telemetry/KPI module</w:t>
      </w:r>
    </w:p>
    <w:p w14:paraId="675F8BB5" w14:textId="77777777" w:rsidR="00B33EA7" w:rsidRPr="00B33EA7" w:rsidRDefault="00B33EA7" w:rsidP="00B33EA7">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Mitigation engine</w:t>
      </w:r>
    </w:p>
    <w:p w14:paraId="577F9178"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34C7F55C">
          <v:rect id="_x0000_i1038" style="width:0;height:1.5pt" o:hralign="center" o:hrstd="t" o:hr="t" fillcolor="#a0a0a0" stroked="f"/>
        </w:pict>
      </w:r>
    </w:p>
    <w:p w14:paraId="53FC85F4"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L. Message Flow / Protocol Section — 8–15 pages</w:t>
      </w:r>
    </w:p>
    <w:p w14:paraId="19ABC7EC"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AFC inventions, this is very important.</w:t>
      </w:r>
    </w:p>
    <w:p w14:paraId="6E2159E3"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message sequences like:</w:t>
      </w:r>
    </w:p>
    <w:p w14:paraId="1082394D"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boot-up</w:t>
      </w:r>
    </w:p>
    <w:p w14:paraId="6EDCFEBC"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location determination</w:t>
      </w:r>
    </w:p>
    <w:p w14:paraId="2F25623E"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registration</w:t>
      </w:r>
    </w:p>
    <w:p w14:paraId="4836A63C"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request generation</w:t>
      </w:r>
    </w:p>
    <w:p w14:paraId="73943119"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 reception</w:t>
      </w:r>
    </w:p>
    <w:p w14:paraId="172C7C1A"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permission</w:t>
      </w:r>
    </w:p>
    <w:p w14:paraId="20A1BA34"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Channel/power configuration</w:t>
      </w:r>
    </w:p>
    <w:p w14:paraId="77711EAD"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Periodic revalidation</w:t>
      </w:r>
    </w:p>
    <w:p w14:paraId="49B2BF1E"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Loss of AFC connectivity</w:t>
      </w:r>
    </w:p>
    <w:p w14:paraId="695ACDDE"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Grace-period behavior</w:t>
      </w:r>
    </w:p>
    <w:p w14:paraId="5B98B409"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event detection</w:t>
      </w:r>
    </w:p>
    <w:p w14:paraId="0C3F96D0"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Mitigation command</w:t>
      </w:r>
    </w:p>
    <w:p w14:paraId="7E895F5C" w14:textId="77777777" w:rsidR="00B33EA7" w:rsidRPr="00B33EA7" w:rsidRDefault="00B33EA7" w:rsidP="00B33EA7">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Fallback to low-power mode</w:t>
      </w:r>
    </w:p>
    <w:p w14:paraId="771C364B"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761C96D9">
          <v:rect id="_x0000_i1039" style="width:0;height:1.5pt" o:hralign="center" o:hrstd="t" o:hr="t" fillcolor="#a0a0a0" stroked="f"/>
        </w:pict>
      </w:r>
    </w:p>
    <w:p w14:paraId="105BCE6A"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M. Detailed Embodiments — 25–40 pages</w:t>
      </w:r>
    </w:p>
    <w:p w14:paraId="2D0A7307"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multiple embodiments, not just one.</w:t>
      </w:r>
    </w:p>
    <w:p w14:paraId="04EBA811"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Recommended embodiments:</w:t>
      </w:r>
    </w:p>
    <w:p w14:paraId="5F9B4374"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Single AP AFC authorization</w:t>
      </w:r>
    </w:p>
    <w:p w14:paraId="6277AA95"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Enterprise controller-managed AFC</w:t>
      </w:r>
    </w:p>
    <w:p w14:paraId="23D7F01F"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Residential gateway AFC</w:t>
      </w:r>
    </w:p>
    <w:p w14:paraId="2E238E82"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Mobile AP AFC</w:t>
      </w:r>
    </w:p>
    <w:p w14:paraId="251EE260"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Fixed-path AFC</w:t>
      </w:r>
    </w:p>
    <w:p w14:paraId="2CDF4BDA"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Client-assisted location AFC</w:t>
      </w:r>
    </w:p>
    <w:p w14:paraId="0D6DAEE8"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Vertical uncertainty / height-aware AFC</w:t>
      </w:r>
    </w:p>
    <w:p w14:paraId="43DBC369"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Predictive AFC response caching</w:t>
      </w:r>
    </w:p>
    <w:p w14:paraId="60E477C6"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Interference mitigation after AFC grant</w:t>
      </w:r>
    </w:p>
    <w:p w14:paraId="37D3BE99"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Secure AFC authentication and token validation</w:t>
      </w:r>
    </w:p>
    <w:p w14:paraId="5143BAFD"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Multi-AP aggregate interference control</w:t>
      </w:r>
    </w:p>
    <w:p w14:paraId="2E6959B9" w14:textId="77777777" w:rsidR="00B33EA7" w:rsidRPr="00B33EA7" w:rsidRDefault="00B33EA7" w:rsidP="00B33EA7">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Fallback behavior when AFC server is unreachable</w:t>
      </w:r>
    </w:p>
    <w:p w14:paraId="1AA3D19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The specification must describe the invention sufficiently so that a person skilled in the art can make and use it; USPTO guidance lists the detailed description, claims, abstract, and drawings as application parts. </w:t>
      </w:r>
      <w:hyperlink r:id="rId12" w:history="1">
        <w:r w:rsidRPr="00B33EA7">
          <w:rPr>
            <w:rFonts w:ascii="Segoe UI" w:eastAsia="Times New Roman" w:hAnsi="Segoe UI" w:cs="Segoe UI"/>
            <w:color w:val="464FEB"/>
            <w:kern w:val="0"/>
            <w:sz w:val="21"/>
            <w:szCs w:val="21"/>
            <w14:ligatures w14:val="none"/>
          </w:rPr>
          <w:t>[uspto.gov]</w:t>
        </w:r>
      </w:hyperlink>
    </w:p>
    <w:p w14:paraId="19AB8CD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41D3E729">
          <v:rect id="_x0000_i1040" style="width:0;height:1.5pt" o:hralign="center" o:hrstd="t" o:hr="t" fillcolor="#a0a0a0" stroked="f"/>
        </w:pict>
      </w:r>
    </w:p>
    <w:p w14:paraId="65468318"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N. Algorithms / Decision Logic — 8–15 pages</w:t>
      </w:r>
    </w:p>
    <w:p w14:paraId="5D202701"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Add pseudo-code or stepwise logic for:</w:t>
      </w:r>
    </w:p>
    <w:p w14:paraId="358531CC"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request construction</w:t>
      </w:r>
    </w:p>
    <w:p w14:paraId="51D4302E"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confidence scoring</w:t>
      </w:r>
    </w:p>
    <w:p w14:paraId="54494314"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Vertical uncertainty selection</w:t>
      </w:r>
    </w:p>
    <w:p w14:paraId="199F4576"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 availability filtering</w:t>
      </w:r>
    </w:p>
    <w:p w14:paraId="0E3888A0"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Standard-power eligibility decision</w:t>
      </w:r>
    </w:p>
    <w:p w14:paraId="29DE23EA"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threshold comparison</w:t>
      </w:r>
    </w:p>
    <w:p w14:paraId="4A148DEA"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mitigation selection</w:t>
      </w:r>
    </w:p>
    <w:p w14:paraId="119535E8"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coordination</w:t>
      </w:r>
    </w:p>
    <w:p w14:paraId="2441CE57"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Reauthorization timing</w:t>
      </w:r>
    </w:p>
    <w:p w14:paraId="0B9596E8" w14:textId="77777777" w:rsidR="00B33EA7" w:rsidRPr="00B33EA7" w:rsidRDefault="00B33EA7" w:rsidP="00B33EA7">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Fallback mode decision</w:t>
      </w:r>
    </w:p>
    <w:p w14:paraId="04CAF7B6"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Example:</w:t>
      </w:r>
    </w:p>
    <w:p w14:paraId="798DA1C8"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Plain Text</w:t>
      </w:r>
    </w:p>
    <w:p w14:paraId="49847D5A"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1. Determine AP location.</w:t>
      </w:r>
    </w:p>
    <w:p w14:paraId="7AC9BDBC"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2. Determine horizontal and vertical uncertainty.</w:t>
      </w:r>
    </w:p>
    <w:p w14:paraId="2880BF8C"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3. Generate AFC request using location, height, antenna gain, and requested channel set.</w:t>
      </w:r>
    </w:p>
    <w:p w14:paraId="6E412710"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4. Receive AFC response including allowed channels and max EIRP.</w:t>
      </w:r>
    </w:p>
    <w:p w14:paraId="54847C69"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5. Compare allowed channel set against AP operating requirement.</w:t>
      </w:r>
    </w:p>
    <w:p w14:paraId="79A59BB0"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6. If standard-power condition is satisfied, enable standard-power mode.</w:t>
      </w:r>
    </w:p>
    <w:p w14:paraId="61529D1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7. If interference alert is received, reduce power, change channel, or disable transmission.</w:t>
      </w:r>
    </w:p>
    <w:p w14:paraId="396108EB"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t>
      </w:r>
    </w:p>
    <w:p w14:paraId="5A9FF47D"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Show more lines</w:t>
      </w:r>
    </w:p>
    <w:p w14:paraId="45734670"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7957F21F">
          <v:rect id="_x0000_i1041" style="width:0;height:1.5pt" o:hralign="center" o:hrstd="t" o:hr="t" fillcolor="#a0a0a0" stroked="f"/>
        </w:pict>
      </w:r>
    </w:p>
    <w:p w14:paraId="72620728"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O. Data Structures / Tables — 3–8 pages</w:t>
      </w:r>
    </w:p>
    <w:p w14:paraId="35B98CE2"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AFC, include tables such as:</w:t>
      </w:r>
    </w:p>
    <w:p w14:paraId="2A5E7D9D"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request fields</w:t>
      </w:r>
    </w:p>
    <w:p w14:paraId="0605BCC4"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 fields</w:t>
      </w:r>
    </w:p>
    <w:p w14:paraId="25275EAE"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registration fields</w:t>
      </w:r>
    </w:p>
    <w:p w14:paraId="72680AE1"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confidence parameters</w:t>
      </w:r>
    </w:p>
    <w:p w14:paraId="1C76597E"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Incumbent-protection parameters</w:t>
      </w:r>
    </w:p>
    <w:p w14:paraId="03540514"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Channel/power table</w:t>
      </w:r>
    </w:p>
    <w:p w14:paraId="49537C9F"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threshold table</w:t>
      </w:r>
    </w:p>
    <w:p w14:paraId="22E0CDFC"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telemetry/KPI table</w:t>
      </w:r>
    </w:p>
    <w:p w14:paraId="254B0E72" w14:textId="77777777" w:rsidR="00B33EA7" w:rsidRPr="00B33EA7" w:rsidRDefault="00B33EA7" w:rsidP="00B33EA7">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permission token fields</w:t>
      </w:r>
    </w:p>
    <w:p w14:paraId="4B75F358"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3DF0947C">
          <v:rect id="_x0000_i1042" style="width:0;height:1.5pt" o:hralign="center" o:hrstd="t" o:hr="t" fillcolor="#a0a0a0" stroked="f"/>
        </w:pict>
      </w:r>
    </w:p>
    <w:p w14:paraId="07055F33"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P. Drawings / Figures — 15–25 figures</w:t>
      </w:r>
    </w:p>
    <w:p w14:paraId="7421CE0A"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a strong AFC patent, I’d include more figures than usual.</w:t>
      </w:r>
    </w:p>
    <w:p w14:paraId="4FEA3D68"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Recommended figures:</w:t>
      </w:r>
    </w:p>
    <w:p w14:paraId="6842AEA6"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Overall AFC system architecture</w:t>
      </w:r>
    </w:p>
    <w:p w14:paraId="6132F769"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AP-to-AFC-server message flow</w:t>
      </w:r>
    </w:p>
    <w:p w14:paraId="7B4A6091"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authorization flow</w:t>
      </w:r>
    </w:p>
    <w:p w14:paraId="6F678A51"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confidence calculation</w:t>
      </w:r>
    </w:p>
    <w:p w14:paraId="723237FD"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Vertical uncertainty workflow</w:t>
      </w:r>
    </w:p>
    <w:p w14:paraId="0B9ADAC7"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 processing</w:t>
      </w:r>
    </w:p>
    <w:p w14:paraId="4EC7AD21"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controller architecture</w:t>
      </w:r>
    </w:p>
    <w:p w14:paraId="5D49A49A"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protection/exclusion zone diagram</w:t>
      </w:r>
    </w:p>
    <w:p w14:paraId="6D3C8B13"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mitigation workflow</w:t>
      </w:r>
    </w:p>
    <w:p w14:paraId="46B03DA8"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Fixed-path mobility AFC diagram</w:t>
      </w:r>
    </w:p>
    <w:p w14:paraId="723A2321"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Client-assisted location AFC</w:t>
      </w:r>
    </w:p>
    <w:p w14:paraId="3B62A5AB"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Residential gateway AFC</w:t>
      </w:r>
    </w:p>
    <w:p w14:paraId="527A748D"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registration workflow</w:t>
      </w:r>
    </w:p>
    <w:p w14:paraId="3ED6207C"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Authentication/token workflow</w:t>
      </w:r>
    </w:p>
    <w:p w14:paraId="37A91807"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fallback workflow</w:t>
      </w:r>
    </w:p>
    <w:p w14:paraId="6D0B9C5B"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Channel/power decision flow</w:t>
      </w:r>
    </w:p>
    <w:p w14:paraId="717A4AC3"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Cloud implementation architecture</w:t>
      </w:r>
    </w:p>
    <w:p w14:paraId="7B9316D8"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hardware/software block diagram</w:t>
      </w:r>
    </w:p>
    <w:p w14:paraId="54E04DFC"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Controller software modules</w:t>
      </w:r>
    </w:p>
    <w:p w14:paraId="3C1C9D94" w14:textId="77777777" w:rsidR="00B33EA7" w:rsidRPr="00B33EA7" w:rsidRDefault="00B33EA7" w:rsidP="00B33EA7">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Example data tables</w:t>
      </w:r>
    </w:p>
    <w:p w14:paraId="30D61939"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The USPTO guide includes drawing requirements and notes that drawings are part of the utility patent application when needed to understand the invention. </w:t>
      </w:r>
      <w:hyperlink r:id="rId13" w:history="1">
        <w:r w:rsidRPr="00B33EA7">
          <w:rPr>
            <w:rFonts w:ascii="Segoe UI" w:eastAsia="Times New Roman" w:hAnsi="Segoe UI" w:cs="Segoe UI"/>
            <w:color w:val="464FEB"/>
            <w:kern w:val="0"/>
            <w:sz w:val="21"/>
            <w:szCs w:val="21"/>
            <w14:ligatures w14:val="none"/>
          </w:rPr>
          <w:t>[uspto.gov]</w:t>
        </w:r>
      </w:hyperlink>
    </w:p>
    <w:p w14:paraId="20926D1C"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517D313D">
          <v:rect id="_x0000_i1043" style="width:0;height:1.5pt" o:hralign="center" o:hrstd="t" o:hr="t" fillcolor="#a0a0a0" stroked="f"/>
        </w:pict>
      </w:r>
    </w:p>
    <w:p w14:paraId="2C709700"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Q. Examples / Use Cases — 8–12 pages</w:t>
      </w:r>
    </w:p>
    <w:p w14:paraId="765DADF1"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practical scenarios:</w:t>
      </w:r>
    </w:p>
    <w:p w14:paraId="02E6F9AE"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Enterprise campus AP deployment</w:t>
      </w:r>
    </w:p>
    <w:p w14:paraId="720536BD"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Residential gateway standard-power operation</w:t>
      </w:r>
    </w:p>
    <w:p w14:paraId="4D11E926"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Outdoor AP near incumbent microwave link</w:t>
      </w:r>
    </w:p>
    <w:p w14:paraId="432A2435"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Mobile AP on train/bus</w:t>
      </w:r>
    </w:p>
    <w:p w14:paraId="42BBD115"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Warehouse robot with fixed route</w:t>
      </w:r>
    </w:p>
    <w:p w14:paraId="3A50E593"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Stadium/event temporary AP deployment</w:t>
      </w:r>
    </w:p>
    <w:p w14:paraId="4C84152A"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failure and fallback to low-power mode</w:t>
      </w:r>
    </w:p>
    <w:p w14:paraId="022CC128"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interference mitigation</w:t>
      </w:r>
    </w:p>
    <w:p w14:paraId="09FAC74B"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height uncertainty improvement</w:t>
      </w:r>
    </w:p>
    <w:p w14:paraId="74BC3EB8" w14:textId="77777777" w:rsidR="00B33EA7" w:rsidRPr="00B33EA7" w:rsidRDefault="00B33EA7" w:rsidP="00B33EA7">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Client-assisted standard-power grant</w:t>
      </w:r>
    </w:p>
    <w:p w14:paraId="74BF0BB2"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4AD6C2FB">
          <v:rect id="_x0000_i1044" style="width:0;height:1.5pt" o:hralign="center" o:hrstd="t" o:hr="t" fillcolor="#a0a0a0" stroked="f"/>
        </w:pict>
      </w:r>
    </w:p>
    <w:p w14:paraId="6030AE1D"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lastRenderedPageBreak/>
        <w:t>R. Alternative Embodiments / Variations — 5–10 pages</w:t>
      </w:r>
    </w:p>
    <w:p w14:paraId="4694718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is highly recommended.</w:t>
      </w:r>
    </w:p>
    <w:p w14:paraId="47D3ACC5"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w:t>
      </w:r>
    </w:p>
    <w:p w14:paraId="1E97D6E9"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server can be cloud-based or local</w:t>
      </w:r>
    </w:p>
    <w:p w14:paraId="421C7E36"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can come from GPS, Wi-Fi RTT, cellular, barometric, manual install data, or client-assisted data</w:t>
      </w:r>
    </w:p>
    <w:p w14:paraId="5A22C817"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 can be pulled periodically or event-triggered</w:t>
      </w:r>
    </w:p>
    <w:p w14:paraId="0362F878"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can be standalone, controller-managed, or mesh-managed</w:t>
      </w:r>
    </w:p>
    <w:p w14:paraId="06E2CC78"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transition can be automatic or policy-controlled</w:t>
      </w:r>
    </w:p>
    <w:p w14:paraId="45CAC5E6"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Mitigation can be channel change, power reduction, duty cycle reduction, or shutdown</w:t>
      </w:r>
    </w:p>
    <w:p w14:paraId="0F16EC23" w14:textId="77777777" w:rsidR="00B33EA7" w:rsidRPr="00B33EA7" w:rsidRDefault="00B33EA7" w:rsidP="00B33EA7">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data can be fixed, periodically updated, or dynamically refreshed</w:t>
      </w:r>
    </w:p>
    <w:p w14:paraId="7D6DBD8C"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helps prevent competitors from designing around your claims.</w:t>
      </w:r>
    </w:p>
    <w:p w14:paraId="760DA4F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2C02FE83">
          <v:rect id="_x0000_i1045" style="width:0;height:1.5pt" o:hralign="center" o:hrstd="t" o:hr="t" fillcolor="#a0a0a0" stroked="f"/>
        </w:pict>
      </w:r>
    </w:p>
    <w:p w14:paraId="047E4A03"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S. Computer Implementation Section — 3–6 pages</w:t>
      </w:r>
    </w:p>
    <w:p w14:paraId="7BEA0411"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software/wireless patents, include:</w:t>
      </w:r>
    </w:p>
    <w:p w14:paraId="5BAAFC1B"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Processor</w:t>
      </w:r>
    </w:p>
    <w:p w14:paraId="49968248"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Memory</w:t>
      </w:r>
    </w:p>
    <w:p w14:paraId="2E10E245"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Network interface</w:t>
      </w:r>
    </w:p>
    <w:p w14:paraId="58C529F0"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Radio transceiver</w:t>
      </w:r>
    </w:p>
    <w:p w14:paraId="1EE6B0DC"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Non-transitory computer-readable medium</w:t>
      </w:r>
    </w:p>
    <w:p w14:paraId="131BA524"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Cloud server</w:t>
      </w:r>
    </w:p>
    <w:p w14:paraId="269B18EB"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Distributed processing</w:t>
      </w:r>
    </w:p>
    <w:p w14:paraId="2717A3BF"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firmware</w:t>
      </w:r>
    </w:p>
    <w:p w14:paraId="50F1AEF4"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Controller software</w:t>
      </w:r>
    </w:p>
    <w:p w14:paraId="62D194F0" w14:textId="77777777" w:rsidR="00B33EA7" w:rsidRPr="00B33EA7" w:rsidRDefault="00B33EA7" w:rsidP="00B33EA7">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Machine-readable instructions</w:t>
      </w:r>
    </w:p>
    <w:p w14:paraId="1D4BB446"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supports system, method, and computer-readable medium claims.</w:t>
      </w:r>
    </w:p>
    <w:p w14:paraId="7C4FA948"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09EAAD94">
          <v:rect id="_x0000_i1046" style="width:0;height:1.5pt" o:hralign="center" o:hrstd="t" o:hr="t" fillcolor="#a0a0a0" stroked="f"/>
        </w:pict>
      </w:r>
    </w:p>
    <w:p w14:paraId="171E36C7"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T. Security / Authentication Section — 2–5 pages</w:t>
      </w:r>
    </w:p>
    <w:p w14:paraId="7D284149"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AFC, this is useful.</w:t>
      </w:r>
    </w:p>
    <w:p w14:paraId="0C5D9B4A"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Include:</w:t>
      </w:r>
    </w:p>
    <w:p w14:paraId="7E1B0C78"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server authentication</w:t>
      </w:r>
    </w:p>
    <w:p w14:paraId="6EBA4656"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certificate validation</w:t>
      </w:r>
    </w:p>
    <w:p w14:paraId="7B293CE9"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Signed AFC responses</w:t>
      </w:r>
    </w:p>
    <w:p w14:paraId="7812B798"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Token-based standard-power grants</w:t>
      </w:r>
    </w:p>
    <w:p w14:paraId="011A334A"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Replay protection</w:t>
      </w:r>
    </w:p>
    <w:p w14:paraId="652E551A"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Expiration timestamps</w:t>
      </w:r>
    </w:p>
    <w:p w14:paraId="3D83C1A1"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Secure AP registration</w:t>
      </w:r>
    </w:p>
    <w:p w14:paraId="02A8141C" w14:textId="77777777" w:rsidR="00B33EA7" w:rsidRPr="00B33EA7" w:rsidRDefault="00B33EA7" w:rsidP="00B33EA7">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Audit logs</w:t>
      </w:r>
    </w:p>
    <w:p w14:paraId="051828C1"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0B11ACE8">
          <v:rect id="_x0000_i1047" style="width:0;height:1.5pt" o:hralign="center" o:hrstd="t" o:hr="t" fillcolor="#a0a0a0" stroked="f"/>
        </w:pict>
      </w:r>
    </w:p>
    <w:p w14:paraId="0AE01889"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U. Fallback / Failure Handling — 3–6 pages</w:t>
      </w:r>
    </w:p>
    <w:p w14:paraId="5219EE85"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what happens when:</w:t>
      </w:r>
    </w:p>
    <w:p w14:paraId="47E043B8"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server is unreachable</w:t>
      </w:r>
    </w:p>
    <w:p w14:paraId="0192C496"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location is uncertain</w:t>
      </w:r>
    </w:p>
    <w:p w14:paraId="768C60B1"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 expires</w:t>
      </w:r>
    </w:p>
    <w:p w14:paraId="02665AF8"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database changes</w:t>
      </w:r>
    </w:p>
    <w:p w14:paraId="2BBC93EB"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alert is received</w:t>
      </w:r>
    </w:p>
    <w:p w14:paraId="7C835E35"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 moves unexpectedly</w:t>
      </w:r>
    </w:p>
    <w:p w14:paraId="56C2252B"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Height uncertainty is too large</w:t>
      </w:r>
    </w:p>
    <w:p w14:paraId="7118BD82" w14:textId="77777777" w:rsidR="00B33EA7" w:rsidRPr="00B33EA7" w:rsidRDefault="00B33EA7" w:rsidP="00B33EA7">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Authentication fails</w:t>
      </w:r>
    </w:p>
    <w:p w14:paraId="5D2B0ABA"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This is often where patentable operational logic exists.</w:t>
      </w:r>
    </w:p>
    <w:p w14:paraId="57476DFE"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40230537">
          <v:rect id="_x0000_i1048" style="width:0;height:1.5pt" o:hralign="center" o:hrstd="t" o:hr="t" fillcolor="#a0a0a0" stroked="f"/>
        </w:pict>
      </w:r>
    </w:p>
    <w:p w14:paraId="6A537CBE"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V. Claims — 5–12 pages</w:t>
      </w:r>
    </w:p>
    <w:p w14:paraId="1FE56C3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your company filing, I would suggest:</w:t>
      </w:r>
    </w:p>
    <w:p w14:paraId="3F74BEF0"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t>Claim set structure</w:t>
      </w:r>
    </w:p>
    <w:p w14:paraId="7CCDD1EE" w14:textId="77777777" w:rsidR="00B33EA7" w:rsidRPr="00B33EA7" w:rsidRDefault="00B33EA7" w:rsidP="00B33EA7">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Independent system claim</w:t>
      </w:r>
    </w:p>
    <w:p w14:paraId="7EFB8201" w14:textId="77777777" w:rsidR="00B33EA7" w:rsidRPr="00B33EA7" w:rsidRDefault="00B33EA7" w:rsidP="00B33EA7">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Independent method claim</w:t>
      </w:r>
    </w:p>
    <w:p w14:paraId="11B76BCF" w14:textId="77777777" w:rsidR="00B33EA7" w:rsidRPr="00B33EA7" w:rsidRDefault="00B33EA7" w:rsidP="00B33EA7">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Independent non-transitory computer-readable medium claim</w:t>
      </w:r>
    </w:p>
    <w:p w14:paraId="44AF9906" w14:textId="77777777" w:rsidR="00B33EA7" w:rsidRPr="00B33EA7" w:rsidRDefault="00B33EA7" w:rsidP="00B33EA7">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Optional: </w:t>
      </w:r>
      <w:r w:rsidRPr="00B33EA7">
        <w:rPr>
          <w:rFonts w:ascii="Segoe UI" w:eastAsia="Times New Roman" w:hAnsi="Segoe UI" w:cs="Segoe UI"/>
          <w:b/>
          <w:bCs/>
          <w:kern w:val="0"/>
          <w:sz w:val="21"/>
          <w:szCs w:val="21"/>
          <w14:ligatures w14:val="none"/>
        </w:rPr>
        <w:t>AP device claim</w:t>
      </w:r>
    </w:p>
    <w:p w14:paraId="1F8E5732" w14:textId="77777777" w:rsidR="00B33EA7" w:rsidRPr="00B33EA7" w:rsidRDefault="00B33EA7" w:rsidP="00B33EA7">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Optional: </w:t>
      </w:r>
      <w:r w:rsidRPr="00B33EA7">
        <w:rPr>
          <w:rFonts w:ascii="Segoe UI" w:eastAsia="Times New Roman" w:hAnsi="Segoe UI" w:cs="Segoe UI"/>
          <w:b/>
          <w:bCs/>
          <w:kern w:val="0"/>
          <w:sz w:val="21"/>
          <w:szCs w:val="21"/>
          <w14:ligatures w14:val="none"/>
        </w:rPr>
        <w:t>AFC server claim</w:t>
      </w:r>
    </w:p>
    <w:p w14:paraId="32B3CEBD" w14:textId="77777777" w:rsidR="00B33EA7" w:rsidRPr="00B33EA7" w:rsidRDefault="00B33EA7" w:rsidP="00B33EA7">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Optional: </w:t>
      </w:r>
      <w:r w:rsidRPr="00B33EA7">
        <w:rPr>
          <w:rFonts w:ascii="Segoe UI" w:eastAsia="Times New Roman" w:hAnsi="Segoe UI" w:cs="Segoe UI"/>
          <w:b/>
          <w:bCs/>
          <w:kern w:val="0"/>
          <w:sz w:val="21"/>
          <w:szCs w:val="21"/>
          <w14:ligatures w14:val="none"/>
        </w:rPr>
        <w:t>WLAN controller claim</w:t>
      </w:r>
    </w:p>
    <w:p w14:paraId="370EFDA1" w14:textId="77777777" w:rsidR="00B33EA7" w:rsidRPr="00B33EA7" w:rsidRDefault="00B33EA7" w:rsidP="00B33EA7">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33EA7">
        <w:rPr>
          <w:rFonts w:ascii="Segoe UI" w:eastAsia="Times New Roman" w:hAnsi="Segoe UI" w:cs="Segoe UI"/>
          <w:b/>
          <w:bCs/>
          <w:kern w:val="0"/>
          <w:sz w:val="27"/>
          <w:szCs w:val="27"/>
          <w14:ligatures w14:val="none"/>
        </w:rPr>
        <w:lastRenderedPageBreak/>
        <w:t>Dependent claims should cover:</w:t>
      </w:r>
    </w:p>
    <w:p w14:paraId="5524E294"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confidence</w:t>
      </w:r>
    </w:p>
    <w:p w14:paraId="0315207C"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Vertical uncertainty</w:t>
      </w:r>
    </w:p>
    <w:p w14:paraId="5C8BEAEB"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Client-assisted location</w:t>
      </w:r>
    </w:p>
    <w:p w14:paraId="7EC02A36"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grant</w:t>
      </w:r>
    </w:p>
    <w:p w14:paraId="2D205F97"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Token validation</w:t>
      </w:r>
    </w:p>
    <w:p w14:paraId="4DFFF501"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coordination</w:t>
      </w:r>
    </w:p>
    <w:p w14:paraId="6F66F656"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mitigation</w:t>
      </w:r>
    </w:p>
    <w:p w14:paraId="5C052C50"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Fixed-path optimization</w:t>
      </w:r>
    </w:p>
    <w:p w14:paraId="4D81E8A1"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Cached AFC response</w:t>
      </w:r>
    </w:p>
    <w:p w14:paraId="0BC65417"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Fallback to low-power mode</w:t>
      </w:r>
    </w:p>
    <w:p w14:paraId="5294A389"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registration</w:t>
      </w:r>
    </w:p>
    <w:p w14:paraId="2B52ACEA"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Signed AFC response</w:t>
      </w:r>
    </w:p>
    <w:p w14:paraId="1DC0674C"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Channel/power table generation</w:t>
      </w:r>
    </w:p>
    <w:p w14:paraId="7947A3BA" w14:textId="77777777" w:rsidR="00B33EA7" w:rsidRPr="00B33EA7" w:rsidRDefault="00B33EA7" w:rsidP="00B33EA7">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Incumbent protection threshold</w:t>
      </w:r>
    </w:p>
    <w:p w14:paraId="4C60FD99"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Claims define the legal scope of protection; the USPTO application guide identifies “claim or claims” as a required application section. </w:t>
      </w:r>
      <w:hyperlink r:id="rId14" w:history="1">
        <w:r w:rsidRPr="00B33EA7">
          <w:rPr>
            <w:rFonts w:ascii="Segoe UI" w:eastAsia="Times New Roman" w:hAnsi="Segoe UI" w:cs="Segoe UI"/>
            <w:color w:val="464FEB"/>
            <w:kern w:val="0"/>
            <w:sz w:val="21"/>
            <w:szCs w:val="21"/>
            <w14:ligatures w14:val="none"/>
          </w:rPr>
          <w:t>[uspto.gov]</w:t>
        </w:r>
      </w:hyperlink>
    </w:p>
    <w:p w14:paraId="3FEDA721"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1A8BED05">
          <v:rect id="_x0000_i1049" style="width:0;height:1.5pt" o:hralign="center" o:hrstd="t" o:hr="t" fillcolor="#a0a0a0" stroked="f"/>
        </w:pict>
      </w:r>
    </w:p>
    <w:p w14:paraId="1B3180F2"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W. Abstract — 1 page</w:t>
      </w:r>
    </w:p>
    <w:p w14:paraId="552C833A"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Keep it around one paragraph and cover:</w:t>
      </w:r>
    </w:p>
    <w:p w14:paraId="27B33491" w14:textId="77777777" w:rsidR="00B33EA7" w:rsidRPr="00B33EA7" w:rsidRDefault="00B33EA7" w:rsidP="00B33EA7">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system</w:t>
      </w:r>
    </w:p>
    <w:p w14:paraId="20F4791E" w14:textId="77777777" w:rsidR="00B33EA7" w:rsidRPr="00B33EA7" w:rsidRDefault="00B33EA7" w:rsidP="00B33EA7">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AP/location data</w:t>
      </w:r>
    </w:p>
    <w:p w14:paraId="5DD73097" w14:textId="77777777" w:rsidR="00B33EA7" w:rsidRPr="00B33EA7" w:rsidRDefault="00B33EA7" w:rsidP="00B33EA7">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request/response</w:t>
      </w:r>
    </w:p>
    <w:p w14:paraId="236FEFA4" w14:textId="77777777" w:rsidR="00B33EA7" w:rsidRPr="00B33EA7" w:rsidRDefault="00B33EA7" w:rsidP="00B33EA7">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authorization</w:t>
      </w:r>
    </w:p>
    <w:p w14:paraId="184937CE" w14:textId="77777777" w:rsidR="00B33EA7" w:rsidRPr="00B33EA7" w:rsidRDefault="00B33EA7" w:rsidP="00B33EA7">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Channel/power control</w:t>
      </w:r>
    </w:p>
    <w:p w14:paraId="4BEE896A" w14:textId="77777777" w:rsidR="00B33EA7" w:rsidRPr="00B33EA7" w:rsidRDefault="00B33EA7" w:rsidP="00B33EA7">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mitigation</w:t>
      </w:r>
    </w:p>
    <w:p w14:paraId="191A8E76"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05108AB9">
          <v:rect id="_x0000_i1050" style="width:0;height:1.5pt" o:hralign="center" o:hrstd="t" o:hr="t" fillcolor="#a0a0a0" stroked="f"/>
        </w:pict>
      </w:r>
    </w:p>
    <w:p w14:paraId="2AD80E60"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X. Sequence Listing / Software Appendix / Large Tables — if applicable</w:t>
      </w:r>
    </w:p>
    <w:p w14:paraId="3DAC339F"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Usually not needed for AFC unless you include large tables or code appendices. The USPTO guide separately identifies sequence listings, large tables, and computer program listing appendices as special cases where applicable. </w:t>
      </w:r>
      <w:hyperlink r:id="rId15" w:history="1">
        <w:r w:rsidRPr="00B33EA7">
          <w:rPr>
            <w:rFonts w:ascii="Segoe UI" w:eastAsia="Times New Roman" w:hAnsi="Segoe UI" w:cs="Segoe UI"/>
            <w:color w:val="464FEB"/>
            <w:kern w:val="0"/>
            <w:sz w:val="21"/>
            <w:szCs w:val="21"/>
            <w14:ligatures w14:val="none"/>
          </w:rPr>
          <w:t>[uspto.gov]</w:t>
        </w:r>
      </w:hyperlink>
    </w:p>
    <w:p w14:paraId="12451DD3"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pict w14:anchorId="66A68DA2">
          <v:rect id="_x0000_i1051" style="width:0;height:1.5pt" o:hralign="center" o:hrstd="t" o:hr="t" fillcolor="#a0a0a0" stroked="f"/>
        </w:pict>
      </w:r>
    </w:p>
    <w:p w14:paraId="0095F0F0" w14:textId="77777777" w:rsidR="00B33EA7" w:rsidRPr="00B33EA7" w:rsidRDefault="00B33EA7" w:rsidP="00B33EA7">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33EA7">
        <w:rPr>
          <w:rFonts w:ascii="Segoe UI" w:eastAsia="Times New Roman" w:hAnsi="Segoe UI" w:cs="Segoe UI"/>
          <w:b/>
          <w:bCs/>
          <w:kern w:val="36"/>
          <w:sz w:val="48"/>
          <w:szCs w:val="48"/>
          <w14:ligatures w14:val="none"/>
        </w:rPr>
        <w:t>Best Final Outline for Your AFC Patent</w:t>
      </w:r>
    </w:p>
    <w:p w14:paraId="1348CD08"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Here is the </w:t>
      </w:r>
      <w:r w:rsidRPr="00B33EA7">
        <w:rPr>
          <w:rFonts w:ascii="Segoe UI" w:eastAsia="Times New Roman" w:hAnsi="Segoe UI" w:cs="Segoe UI"/>
          <w:b/>
          <w:bCs/>
          <w:kern w:val="0"/>
          <w:sz w:val="21"/>
          <w:szCs w:val="21"/>
          <w14:ligatures w14:val="none"/>
        </w:rPr>
        <w:t>complete version</w:t>
      </w:r>
      <w:r w:rsidRPr="00B33EA7">
        <w:rPr>
          <w:rFonts w:ascii="Segoe UI" w:eastAsia="Times New Roman" w:hAnsi="Segoe UI" w:cs="Segoe UI"/>
          <w:kern w:val="0"/>
          <w:sz w:val="21"/>
          <w:szCs w:val="21"/>
          <w14:ligatures w14:val="none"/>
        </w:rPr>
        <w:t xml:space="preserve"> I recommend:</w:t>
      </w:r>
    </w:p>
    <w:p w14:paraId="6AEE54F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Title</w:t>
      </w:r>
    </w:p>
    <w:p w14:paraId="543E81C0"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Cross-reference to related applications</w:t>
      </w:r>
    </w:p>
    <w:p w14:paraId="7D048820"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Statement regarding federally sponsored research, if any</w:t>
      </w:r>
    </w:p>
    <w:p w14:paraId="31E72A9D"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Field of invention</w:t>
      </w:r>
    </w:p>
    <w:p w14:paraId="0C5A8D99"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Background</w:t>
      </w:r>
    </w:p>
    <w:p w14:paraId="08F6E1C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Problem statement / limitations of existing AFC</w:t>
      </w:r>
    </w:p>
    <w:p w14:paraId="024055CE"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Prior art differentiation</w:t>
      </w:r>
    </w:p>
    <w:p w14:paraId="79287063"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Summary of invention</w:t>
      </w:r>
    </w:p>
    <w:p w14:paraId="1F6C7AC8"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Definitions / terminology</w:t>
      </w:r>
    </w:p>
    <w:p w14:paraId="1FAF1BF5"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Inventive concepts / novel features</w:t>
      </w:r>
    </w:p>
    <w:p w14:paraId="1BD03C8E"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Technical advantages</w:t>
      </w:r>
    </w:p>
    <w:p w14:paraId="1EAFD00E"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Brief description of drawings</w:t>
      </w:r>
    </w:p>
    <w:p w14:paraId="59CD72F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System architecture</w:t>
      </w:r>
    </w:p>
    <w:p w14:paraId="39C04B51"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AP/device architecture</w:t>
      </w:r>
    </w:p>
    <w:p w14:paraId="2116373F"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server / cloud architecture</w:t>
      </w:r>
    </w:p>
    <w:p w14:paraId="6C52370A"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WLAN controller architecture</w:t>
      </w:r>
    </w:p>
    <w:p w14:paraId="29165B9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registration workflow</w:t>
      </w:r>
    </w:p>
    <w:p w14:paraId="59C48B5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Location / height / uncertainty workflow</w:t>
      </w:r>
    </w:p>
    <w:p w14:paraId="6422807D"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request generation</w:t>
      </w:r>
    </w:p>
    <w:p w14:paraId="1AA82D3B"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 response processing</w:t>
      </w:r>
    </w:p>
    <w:p w14:paraId="40DBE08A"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Standard-power authorization</w:t>
      </w:r>
    </w:p>
    <w:p w14:paraId="4E41D923"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Channel and power selection</w:t>
      </w:r>
    </w:p>
    <w:p w14:paraId="4F33E6BC"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Multi-AP coordination</w:t>
      </w:r>
    </w:p>
    <w:p w14:paraId="15279E08"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prediction</w:t>
      </w:r>
    </w:p>
    <w:p w14:paraId="2BE64351"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Interference detection and mitigation</w:t>
      </w:r>
    </w:p>
    <w:p w14:paraId="3BB14CEC"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Mobility / fixed-path AFC</w:t>
      </w:r>
    </w:p>
    <w:p w14:paraId="1BE0D30D"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Residential gateway embodiment</w:t>
      </w:r>
    </w:p>
    <w:p w14:paraId="1B0D60FB"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Enterprise deployment embodiment</w:t>
      </w:r>
    </w:p>
    <w:p w14:paraId="6B4E4D0E"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Security / authentication</w:t>
      </w:r>
    </w:p>
    <w:p w14:paraId="35EF040E"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Fallback / failure handling</w:t>
      </w:r>
    </w:p>
    <w:p w14:paraId="2D7B4B34"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Data structures and message formats</w:t>
      </w:r>
    </w:p>
    <w:p w14:paraId="6E00D39E"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Algorithms / pseudo-code</w:t>
      </w:r>
    </w:p>
    <w:p w14:paraId="30C34A69"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Examples / use cases</w:t>
      </w:r>
    </w:p>
    <w:p w14:paraId="4F0A7B48"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Alternative embodiments</w:t>
      </w:r>
    </w:p>
    <w:p w14:paraId="60284A8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Computer implementation</w:t>
      </w:r>
    </w:p>
    <w:p w14:paraId="04C000ED"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Claims</w:t>
      </w:r>
    </w:p>
    <w:p w14:paraId="54F03C71"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Abstract</w:t>
      </w:r>
    </w:p>
    <w:p w14:paraId="1F4BABAC"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Drawings</w:t>
      </w:r>
    </w:p>
    <w:p w14:paraId="35059930"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IDS / prior art references</w:t>
      </w:r>
    </w:p>
    <w:p w14:paraId="32D286A7" w14:textId="77777777" w:rsidR="00B33EA7" w:rsidRPr="00B33EA7" w:rsidRDefault="00B33EA7" w:rsidP="00B33EA7">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Inventor declarations and assignment documents</w:t>
      </w:r>
    </w:p>
    <w:p w14:paraId="518481B2"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1E94630F">
          <v:rect id="_x0000_i1052" style="width:0;height:1.5pt" o:hralign="center" o:hrstd="t" o:hr="t" fillcolor="#a0a0a0" stroked="f"/>
        </w:pict>
      </w:r>
    </w:p>
    <w:p w14:paraId="63705903" w14:textId="77777777" w:rsidR="00B33EA7" w:rsidRPr="00B33EA7" w:rsidRDefault="00B33EA7" w:rsidP="00B33EA7">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33EA7">
        <w:rPr>
          <w:rFonts w:ascii="Segoe UI" w:eastAsia="Times New Roman" w:hAnsi="Segoe UI" w:cs="Segoe UI"/>
          <w:b/>
          <w:bCs/>
          <w:kern w:val="36"/>
          <w:sz w:val="48"/>
          <w:szCs w:val="48"/>
          <w14:ligatures w14:val="none"/>
        </w:rPr>
        <w:t>Recommended Page Count for Your Filing</w:t>
      </w:r>
    </w:p>
    <w:p w14:paraId="6813AFA3"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For your company filing with 3 colleagues, I would target: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1"/>
        <w:gridCol w:w="1459"/>
      </w:tblGrid>
      <w:tr w:rsidR="00B33EA7" w:rsidRPr="00B33EA7" w14:paraId="2FC8AA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460177" w14:textId="77777777" w:rsidR="00B33EA7" w:rsidRPr="00B33EA7" w:rsidRDefault="00B33EA7" w:rsidP="00B33EA7">
            <w:pPr>
              <w:spacing w:after="0" w:line="240" w:lineRule="auto"/>
              <w:jc w:val="center"/>
              <w:rPr>
                <w:rFonts w:ascii="Times New Roman" w:eastAsia="Times New Roman" w:hAnsi="Times New Roman" w:cs="Times New Roman"/>
                <w:b/>
                <w:bCs/>
                <w:kern w:val="0"/>
                <w14:ligatures w14:val="none"/>
              </w:rPr>
            </w:pPr>
            <w:r w:rsidRPr="00B33EA7">
              <w:rPr>
                <w:rFonts w:ascii="Times New Roman" w:eastAsia="Times New Roman" w:hAnsi="Times New Roman" w:cs="Times New Roman"/>
                <w:b/>
                <w:bCs/>
                <w:kern w:val="0"/>
                <w14:ligatures w14:val="none"/>
              </w:rPr>
              <w:t>Section group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B318BB" w14:textId="77777777" w:rsidR="00B33EA7" w:rsidRPr="00B33EA7" w:rsidRDefault="00B33EA7" w:rsidP="00B33EA7">
            <w:pPr>
              <w:spacing w:after="0" w:line="240" w:lineRule="auto"/>
              <w:jc w:val="center"/>
              <w:rPr>
                <w:rFonts w:ascii="Times New Roman" w:eastAsia="Times New Roman" w:hAnsi="Times New Roman" w:cs="Times New Roman"/>
                <w:b/>
                <w:bCs/>
                <w:kern w:val="0"/>
                <w14:ligatures w14:val="none"/>
              </w:rPr>
            </w:pPr>
            <w:r w:rsidRPr="00B33EA7">
              <w:rPr>
                <w:rFonts w:ascii="Times New Roman" w:eastAsia="Times New Roman" w:hAnsi="Times New Roman" w:cs="Times New Roman"/>
                <w:b/>
                <w:bCs/>
                <w:kern w:val="0"/>
                <w14:ligatures w14:val="none"/>
              </w:rPr>
              <w:t>Pages</w:t>
            </w:r>
          </w:p>
        </w:tc>
      </w:tr>
      <w:tr w:rsidR="00B33EA7" w:rsidRPr="00B33EA7" w14:paraId="0DCA94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C3887"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Background + problem + prior art differentiation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17A38"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10–15</w:t>
            </w:r>
          </w:p>
        </w:tc>
      </w:tr>
      <w:tr w:rsidR="00B33EA7" w:rsidRPr="00B33EA7" w14:paraId="2FB2E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B984DC"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Summary + definitions + advantages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AB01A"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8–12</w:t>
            </w:r>
          </w:p>
        </w:tc>
      </w:tr>
      <w:tr w:rsidR="00B33EA7" w:rsidRPr="00B33EA7" w14:paraId="386480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A3FA6"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Architecture + workflows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18C5AF"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15–25</w:t>
            </w:r>
          </w:p>
        </w:tc>
      </w:tr>
      <w:tr w:rsidR="00B33EA7" w:rsidRPr="00B33EA7" w14:paraId="4FAD9F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9506C7"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Detailed embodiments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31B305"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25–40</w:t>
            </w:r>
          </w:p>
        </w:tc>
      </w:tr>
      <w:tr w:rsidR="00B33EA7" w:rsidRPr="00B33EA7" w14:paraId="6184E8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E17A5"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Algorithms + data structures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6DFCB8"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8–15</w:t>
            </w:r>
          </w:p>
        </w:tc>
      </w:tr>
      <w:tr w:rsidR="00B33EA7" w:rsidRPr="00B33EA7" w14:paraId="7A0332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CF9F92"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Examples + alternatives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96B39"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10–15</w:t>
            </w:r>
          </w:p>
        </w:tc>
      </w:tr>
      <w:tr w:rsidR="00B33EA7" w:rsidRPr="00B33EA7" w14:paraId="18081F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980C2"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Claims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8D7681"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5–12</w:t>
            </w:r>
          </w:p>
        </w:tc>
      </w:tr>
      <w:tr w:rsidR="00B33EA7" w:rsidRPr="00B33EA7" w14:paraId="3C70BE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ADA69B"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Abstract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DD3CC2"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1</w:t>
            </w:r>
          </w:p>
        </w:tc>
      </w:tr>
      <w:tr w:rsidR="00B33EA7" w:rsidRPr="00B33EA7" w14:paraId="45CAEC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364345"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Drawings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F8129"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kern w:val="0"/>
                <w14:ligatures w14:val="none"/>
              </w:rPr>
              <w:t>15–25</w:t>
            </w:r>
          </w:p>
        </w:tc>
      </w:tr>
      <w:tr w:rsidR="00B33EA7" w:rsidRPr="00B33EA7" w14:paraId="00D4E3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E34FE0" w14:textId="77777777" w:rsidR="00B33EA7" w:rsidRPr="00B33EA7" w:rsidRDefault="00B33EA7" w:rsidP="00B33EA7">
            <w:pPr>
              <w:spacing w:after="0" w:line="240" w:lineRule="auto"/>
              <w:jc w:val="center"/>
              <w:rPr>
                <w:rFonts w:ascii="Times New Roman" w:eastAsia="Times New Roman" w:hAnsi="Times New Roman" w:cs="Times New Roman"/>
                <w:b/>
                <w:bCs/>
                <w:kern w:val="0"/>
                <w14:ligatures w14:val="none"/>
              </w:rPr>
            </w:pPr>
            <w:r w:rsidRPr="00B33EA7">
              <w:rPr>
                <w:rFonts w:ascii="Times New Roman" w:eastAsia="Times New Roman" w:hAnsi="Times New Roman" w:cs="Times New Roman"/>
                <w:b/>
                <w:bCs/>
                <w:kern w:val="0"/>
                <w14:ligatures w14:val="none"/>
              </w:rPr>
              <w:t>Total recommended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BF0E1" w14:textId="77777777" w:rsidR="00B33EA7" w:rsidRPr="00B33EA7" w:rsidRDefault="00B33EA7" w:rsidP="00B33EA7">
            <w:pPr>
              <w:spacing w:after="0" w:line="240" w:lineRule="auto"/>
              <w:rPr>
                <w:rFonts w:ascii="Times New Roman" w:eastAsia="Times New Roman" w:hAnsi="Times New Roman" w:cs="Times New Roman"/>
                <w:kern w:val="0"/>
                <w14:ligatures w14:val="none"/>
              </w:rPr>
            </w:pPr>
            <w:r w:rsidRPr="00B33EA7">
              <w:rPr>
                <w:rFonts w:ascii="Times New Roman" w:eastAsia="Times New Roman" w:hAnsi="Times New Roman" w:cs="Times New Roman"/>
                <w:b/>
                <w:bCs/>
                <w:kern w:val="0"/>
                <w14:ligatures w14:val="none"/>
              </w:rPr>
              <w:t>80–120 pages</w:t>
            </w:r>
          </w:p>
        </w:tc>
      </w:tr>
    </w:tbl>
    <w:p w14:paraId="0237A149"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My practical recommendation:</w:t>
      </w:r>
    </w:p>
    <w:p w14:paraId="2B331FE0"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Aim for around 90–100 pages with 18–25 figures and 20–35 claims.</w:t>
      </w:r>
    </w:p>
    <w:p w14:paraId="635A95BF"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That is a strong, company-level AFC / wireless patent application. It gives your patent attorney enough disclosure to draft broad claims and fallback positions while staying near the USPTO’s 100-sheet practical size threshold. The USPTO notes that an application size fee applies when the specification, including claims, and drawings exceed 100 sheets of paper. </w:t>
      </w:r>
      <w:hyperlink r:id="rId16" w:history="1">
        <w:r w:rsidRPr="00B33EA7">
          <w:rPr>
            <w:rFonts w:ascii="Segoe UI" w:eastAsia="Times New Roman" w:hAnsi="Segoe UI" w:cs="Segoe UI"/>
            <w:color w:val="464FEB"/>
            <w:kern w:val="0"/>
            <w:sz w:val="21"/>
            <w:szCs w:val="21"/>
            <w14:ligatures w14:val="none"/>
          </w:rPr>
          <w:t>[rcrwireless.com]</w:t>
        </w:r>
      </w:hyperlink>
    </w:p>
    <w:p w14:paraId="252FA8E0"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pict w14:anchorId="3DA8FCCF">
          <v:rect id="_x0000_i1053" style="width:0;height:1.5pt" o:hralign="center" o:hrstd="t" o:hr="t" fillcolor="#a0a0a0" stroked="f"/>
        </w:pict>
      </w:r>
    </w:p>
    <w:p w14:paraId="306E6B7F" w14:textId="77777777" w:rsidR="00B33EA7" w:rsidRPr="00B33EA7" w:rsidRDefault="00B33EA7" w:rsidP="00B33EA7">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33EA7">
        <w:rPr>
          <w:rFonts w:ascii="Segoe UI" w:eastAsia="Times New Roman" w:hAnsi="Segoe UI" w:cs="Segoe UI"/>
          <w:b/>
          <w:bCs/>
          <w:kern w:val="36"/>
          <w:sz w:val="48"/>
          <w:szCs w:val="48"/>
          <w14:ligatures w14:val="none"/>
        </w:rPr>
        <w:t>The Most Important Approval Factors</w:t>
      </w:r>
    </w:p>
    <w:p w14:paraId="171EC3FA"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lastRenderedPageBreak/>
        <w:t>To improve approval chances, focus on these:</w:t>
      </w:r>
    </w:p>
    <w:p w14:paraId="12510352"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Novelty</w:t>
      </w:r>
      <w:r w:rsidRPr="00B33EA7">
        <w:rPr>
          <w:rFonts w:ascii="Segoe UI" w:eastAsia="Times New Roman" w:hAnsi="Segoe UI" w:cs="Segoe UI"/>
          <w:kern w:val="0"/>
          <w:sz w:val="21"/>
          <w:szCs w:val="21"/>
          <w14:ligatures w14:val="none"/>
        </w:rPr>
        <w:t xml:space="preserve"> — clearly identify what no prior AFC system does.</w:t>
      </w:r>
    </w:p>
    <w:p w14:paraId="48F92ECA"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Non-obviousness</w:t>
      </w:r>
      <w:r w:rsidRPr="00B33EA7">
        <w:rPr>
          <w:rFonts w:ascii="Segoe UI" w:eastAsia="Times New Roman" w:hAnsi="Segoe UI" w:cs="Segoe UI"/>
          <w:kern w:val="0"/>
          <w:sz w:val="21"/>
          <w:szCs w:val="21"/>
          <w14:ligatures w14:val="none"/>
        </w:rPr>
        <w:t xml:space="preserve"> — explain why combining known AFC techniques would not naturally lead to your solution.</w:t>
      </w:r>
    </w:p>
    <w:p w14:paraId="1A84D899"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Technical improvement</w:t>
      </w:r>
      <w:r w:rsidRPr="00B33EA7">
        <w:rPr>
          <w:rFonts w:ascii="Segoe UI" w:eastAsia="Times New Roman" w:hAnsi="Segoe UI" w:cs="Segoe UI"/>
          <w:kern w:val="0"/>
          <w:sz w:val="21"/>
          <w:szCs w:val="21"/>
          <w14:ligatures w14:val="none"/>
        </w:rPr>
        <w:t xml:space="preserve"> — frame it as improving wireless system operation, AFC latency, interference protection, location accuracy, or standard-power availability.</w:t>
      </w:r>
    </w:p>
    <w:p w14:paraId="7576178E"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Enablement</w:t>
      </w:r>
      <w:r w:rsidRPr="00B33EA7">
        <w:rPr>
          <w:rFonts w:ascii="Segoe UI" w:eastAsia="Times New Roman" w:hAnsi="Segoe UI" w:cs="Segoe UI"/>
          <w:kern w:val="0"/>
          <w:sz w:val="21"/>
          <w:szCs w:val="21"/>
          <w14:ligatures w14:val="none"/>
        </w:rPr>
        <w:t xml:space="preserve"> — describe enough detail that another wireless engineer could implement it.</w:t>
      </w:r>
    </w:p>
    <w:p w14:paraId="4E72A8B5"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Fallback embodiments</w:t>
      </w:r>
      <w:r w:rsidRPr="00B33EA7">
        <w:rPr>
          <w:rFonts w:ascii="Segoe UI" w:eastAsia="Times New Roman" w:hAnsi="Segoe UI" w:cs="Segoe UI"/>
          <w:kern w:val="0"/>
          <w:sz w:val="21"/>
          <w:szCs w:val="21"/>
          <w14:ligatures w14:val="none"/>
        </w:rPr>
        <w:t xml:space="preserve"> — include many variations so claims can be amended during prosecution.</w:t>
      </w:r>
    </w:p>
    <w:p w14:paraId="1FBF06D7"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Strong claims</w:t>
      </w:r>
      <w:r w:rsidRPr="00B33EA7">
        <w:rPr>
          <w:rFonts w:ascii="Segoe UI" w:eastAsia="Times New Roman" w:hAnsi="Segoe UI" w:cs="Segoe UI"/>
          <w:kern w:val="0"/>
          <w:sz w:val="21"/>
          <w:szCs w:val="21"/>
          <w14:ligatures w14:val="none"/>
        </w:rPr>
        <w:t xml:space="preserve"> — claims should be broad enough to matter but specific enough to survive prior art.</w:t>
      </w:r>
    </w:p>
    <w:p w14:paraId="7E762CD6"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Good drawings</w:t>
      </w:r>
      <w:r w:rsidRPr="00B33EA7">
        <w:rPr>
          <w:rFonts w:ascii="Segoe UI" w:eastAsia="Times New Roman" w:hAnsi="Segoe UI" w:cs="Segoe UI"/>
          <w:kern w:val="0"/>
          <w:sz w:val="21"/>
          <w:szCs w:val="21"/>
          <w14:ligatures w14:val="none"/>
        </w:rPr>
        <w:t xml:space="preserve"> — AFC patents need architecture diagrams and flowcharts.</w:t>
      </w:r>
    </w:p>
    <w:p w14:paraId="16A2F991" w14:textId="77777777" w:rsidR="00B33EA7" w:rsidRPr="00B33EA7" w:rsidRDefault="00B33EA7" w:rsidP="00B33EA7">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b/>
          <w:bCs/>
          <w:kern w:val="0"/>
          <w:sz w:val="21"/>
          <w:szCs w:val="21"/>
          <w14:ligatures w14:val="none"/>
        </w:rPr>
        <w:t>Prior art awareness</w:t>
      </w:r>
      <w:r w:rsidRPr="00B33EA7">
        <w:rPr>
          <w:rFonts w:ascii="Segoe UI" w:eastAsia="Times New Roman" w:hAnsi="Segoe UI" w:cs="Segoe UI"/>
          <w:kern w:val="0"/>
          <w:sz w:val="21"/>
          <w:szCs w:val="21"/>
          <w14:ligatures w14:val="none"/>
        </w:rPr>
        <w:t xml:space="preserve"> — submit known AFC patents in IDS and distinguish them.</w:t>
      </w:r>
    </w:p>
    <w:p w14:paraId="054CF1D7"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Patentability examination considers statutory subject matter, utility, novelty, non-obviousness, and disclosure requirements; subject-matter eligibility also considers whether a claim is directed to eligible categories and not merely an abstract idea without significantly more. </w:t>
      </w:r>
      <w:hyperlink r:id="rId17" w:history="1">
        <w:r w:rsidRPr="00B33EA7">
          <w:rPr>
            <w:rFonts w:ascii="Segoe UI" w:eastAsia="Times New Roman" w:hAnsi="Segoe UI" w:cs="Segoe UI"/>
            <w:color w:val="464FEB"/>
            <w:kern w:val="0"/>
            <w:sz w:val="21"/>
            <w:szCs w:val="21"/>
            <w14:ligatures w14:val="none"/>
          </w:rPr>
          <w:t>[uspto.gov]</w:t>
        </w:r>
      </w:hyperlink>
      <w:r w:rsidRPr="00B33EA7">
        <w:rPr>
          <w:rFonts w:ascii="Segoe UI" w:eastAsia="Times New Roman" w:hAnsi="Segoe UI" w:cs="Segoe UI"/>
          <w:kern w:val="0"/>
          <w:sz w:val="21"/>
          <w:szCs w:val="21"/>
          <w14:ligatures w14:val="none"/>
        </w:rPr>
        <w:t xml:space="preserve">, </w:t>
      </w:r>
      <w:hyperlink r:id="rId18" w:history="1">
        <w:r w:rsidRPr="00B33EA7">
          <w:rPr>
            <w:rFonts w:ascii="Segoe UI" w:eastAsia="Times New Roman" w:hAnsi="Segoe UI" w:cs="Segoe UI"/>
            <w:color w:val="464FEB"/>
            <w:kern w:val="0"/>
            <w:sz w:val="21"/>
            <w:szCs w:val="21"/>
            <w14:ligatures w14:val="none"/>
          </w:rPr>
          <w:t>[uspto.gov]</w:t>
        </w:r>
      </w:hyperlink>
    </w:p>
    <w:p w14:paraId="73E6877D" w14:textId="77777777" w:rsidR="00B33EA7" w:rsidRPr="00B33EA7" w:rsidRDefault="00B17214" w:rsidP="00B33EA7">
      <w:pPr>
        <w:spacing w:after="0" w:line="300" w:lineRule="atLeast"/>
        <w:rPr>
          <w:rFonts w:ascii="Segoe UI" w:eastAsia="Times New Roman" w:hAnsi="Segoe UI" w:cs="Segoe UI"/>
          <w:kern w:val="0"/>
          <w:sz w:val="21"/>
          <w:szCs w:val="21"/>
          <w14:ligatures w14:val="none"/>
        </w:rPr>
      </w:pPr>
      <w:r>
        <w:rPr>
          <w:noProof/>
        </w:rPr>
      </w:r>
      <w:r>
        <w:pict w14:anchorId="11FAF005">
          <v:rect id="Horizontal Lin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E8C410"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My bottom-line recommendation</w:t>
      </w:r>
    </w:p>
    <w:p w14:paraId="15B68B2F"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For your AFC invention, do </w:t>
      </w:r>
      <w:r w:rsidRPr="00B33EA7">
        <w:rPr>
          <w:rFonts w:ascii="Segoe UI" w:eastAsia="Times New Roman" w:hAnsi="Segoe UI" w:cs="Segoe UI"/>
          <w:b/>
          <w:bCs/>
          <w:kern w:val="0"/>
          <w:sz w:val="21"/>
          <w:szCs w:val="21"/>
          <w14:ligatures w14:val="none"/>
        </w:rPr>
        <w:t>not</w:t>
      </w:r>
      <w:r w:rsidRPr="00B33EA7">
        <w:rPr>
          <w:rFonts w:ascii="Segoe UI" w:eastAsia="Times New Roman" w:hAnsi="Segoe UI" w:cs="Segoe UI"/>
          <w:kern w:val="0"/>
          <w:sz w:val="21"/>
          <w:szCs w:val="21"/>
          <w14:ligatures w14:val="none"/>
        </w:rPr>
        <w:t xml:space="preserve"> file only a 40-page application if the idea is important. File a </w:t>
      </w:r>
      <w:r w:rsidRPr="00B33EA7">
        <w:rPr>
          <w:rFonts w:ascii="Segoe UI" w:eastAsia="Times New Roman" w:hAnsi="Segoe UI" w:cs="Segoe UI"/>
          <w:b/>
          <w:bCs/>
          <w:kern w:val="0"/>
          <w:sz w:val="21"/>
          <w:szCs w:val="21"/>
          <w14:ligatures w14:val="none"/>
        </w:rPr>
        <w:t>robust 90–100 page application</w:t>
      </w:r>
      <w:r w:rsidRPr="00B33EA7">
        <w:rPr>
          <w:rFonts w:ascii="Segoe UI" w:eastAsia="Times New Roman" w:hAnsi="Segoe UI" w:cs="Segoe UI"/>
          <w:kern w:val="0"/>
          <w:sz w:val="21"/>
          <w:szCs w:val="21"/>
          <w14:ligatures w14:val="none"/>
        </w:rPr>
        <w:t xml:space="preserve"> with:</w:t>
      </w:r>
    </w:p>
    <w:p w14:paraId="170636CF"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20+ figures</w:t>
      </w:r>
    </w:p>
    <w:p w14:paraId="64716788"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25–35 claims</w:t>
      </w:r>
    </w:p>
    <w:p w14:paraId="6D9DBF6B"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Multiple embodiments</w:t>
      </w:r>
    </w:p>
    <w:p w14:paraId="57C5651B"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Multiple fallback positions</w:t>
      </w:r>
    </w:p>
    <w:p w14:paraId="4AC4929A"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Clear prior-art differentiation</w:t>
      </w:r>
    </w:p>
    <w:p w14:paraId="7238F6F5"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AFC-specific technical benefits</w:t>
      </w:r>
    </w:p>
    <w:p w14:paraId="0E670D1E" w14:textId="77777777" w:rsidR="00B33EA7" w:rsidRPr="00B33EA7" w:rsidRDefault="00B33EA7" w:rsidP="00B33EA7">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Strong system/method/software claims</w:t>
      </w:r>
    </w:p>
    <w:p w14:paraId="226EF1F8"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That gives you the best practical foundation for allowance and later enforcement.</w:t>
      </w:r>
    </w:p>
    <w:p w14:paraId="1545882B"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Provide your feedback on BizChat</w:t>
      </w:r>
    </w:p>
    <w:p w14:paraId="2785A1A1"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Sources</w:t>
      </w:r>
    </w:p>
    <w:p w14:paraId="4C966651" w14:textId="03900E1B"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fldChar w:fldCharType="begin"/>
      </w:r>
      <w:r w:rsidRPr="00B33EA7">
        <w:rPr>
          <w:rFonts w:ascii="Segoe UI" w:eastAsia="Times New Roman" w:hAnsi="Segoe UI" w:cs="Segoe UI"/>
          <w:kern w:val="0"/>
          <w:sz w:val="21"/>
          <w:szCs w:val="21"/>
          <w14:ligatures w14:val="none"/>
        </w:rPr>
        <w:instrText xml:space="preserve"> INCLUDEPICTURE "https://services.bingapis.com/favicon?url=uspto.gov" \* MERGEFORMATINET </w:instrText>
      </w:r>
      <w:r w:rsidRPr="00B33EA7">
        <w:rPr>
          <w:rFonts w:ascii="Segoe UI" w:eastAsia="Times New Roman" w:hAnsi="Segoe UI" w:cs="Segoe UI"/>
          <w:kern w:val="0"/>
          <w:sz w:val="21"/>
          <w:szCs w:val="21"/>
          <w14:ligatures w14:val="none"/>
        </w:rPr>
        <w:fldChar w:fldCharType="separate"/>
      </w:r>
      <w:r w:rsidRPr="00B33EA7">
        <w:rPr>
          <w:rFonts w:ascii="Segoe UI" w:eastAsia="Times New Roman" w:hAnsi="Segoe UI" w:cs="Segoe UI"/>
          <w:noProof/>
          <w:kern w:val="0"/>
          <w:sz w:val="21"/>
          <w:szCs w:val="21"/>
          <w14:ligatures w14:val="none"/>
        </w:rPr>
        <w:drawing>
          <wp:inline distT="0" distB="0" distL="0" distR="0" wp14:anchorId="2A4B6D68" wp14:editId="0AB2AC7E">
            <wp:extent cx="200025" cy="200025"/>
            <wp:effectExtent l="0" t="0" r="3175" b="3175"/>
            <wp:docPr id="1104726327" name="Picture 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avicon typ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B33EA7">
        <w:rPr>
          <w:rFonts w:ascii="Segoe UI" w:eastAsia="Times New Roman" w:hAnsi="Segoe UI" w:cs="Segoe UI"/>
          <w:kern w:val="0"/>
          <w:sz w:val="21"/>
          <w:szCs w:val="21"/>
          <w14:ligatures w14:val="none"/>
        </w:rPr>
        <w:fldChar w:fldCharType="end"/>
      </w:r>
      <w:r w:rsidRPr="00B33EA7">
        <w:rPr>
          <w:rFonts w:ascii="Segoe UI" w:eastAsia="Times New Roman" w:hAnsi="Segoe UI" w:cs="Segoe UI"/>
          <w:kern w:val="0"/>
          <w:sz w:val="21"/>
          <w:szCs w:val="21"/>
          <w14:ligatures w14:val="none"/>
        </w:rPr>
        <w:fldChar w:fldCharType="begin"/>
      </w:r>
      <w:r w:rsidRPr="00B33EA7">
        <w:rPr>
          <w:rFonts w:ascii="Segoe UI" w:eastAsia="Times New Roman" w:hAnsi="Segoe UI" w:cs="Segoe UI"/>
          <w:kern w:val="0"/>
          <w:sz w:val="21"/>
          <w:szCs w:val="21"/>
          <w14:ligatures w14:val="none"/>
        </w:rPr>
        <w:instrText xml:space="preserve"> INCLUDEPICTURE "https://services.bingapis.com/favicon?url=law.cornell.edu" \* MERGEFORMATINET </w:instrText>
      </w:r>
      <w:r w:rsidRPr="00B33EA7">
        <w:rPr>
          <w:rFonts w:ascii="Segoe UI" w:eastAsia="Times New Roman" w:hAnsi="Segoe UI" w:cs="Segoe UI"/>
          <w:kern w:val="0"/>
          <w:sz w:val="21"/>
          <w:szCs w:val="21"/>
          <w14:ligatures w14:val="none"/>
        </w:rPr>
        <w:fldChar w:fldCharType="separate"/>
      </w:r>
      <w:r w:rsidRPr="00B33EA7">
        <w:rPr>
          <w:rFonts w:ascii="Segoe UI" w:eastAsia="Times New Roman" w:hAnsi="Segoe UI" w:cs="Segoe UI"/>
          <w:noProof/>
          <w:kern w:val="0"/>
          <w:sz w:val="21"/>
          <w:szCs w:val="21"/>
          <w14:ligatures w14:val="none"/>
        </w:rPr>
        <w:drawing>
          <wp:inline distT="0" distB="0" distL="0" distR="0" wp14:anchorId="2AB0E854" wp14:editId="7E2D9CBF">
            <wp:extent cx="200025" cy="200025"/>
            <wp:effectExtent l="0" t="0" r="3175" b="3175"/>
            <wp:docPr id="2054707215" name="Picture 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avicon typ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B33EA7">
        <w:rPr>
          <w:rFonts w:ascii="Segoe UI" w:eastAsia="Times New Roman" w:hAnsi="Segoe UI" w:cs="Segoe UI"/>
          <w:kern w:val="0"/>
          <w:sz w:val="21"/>
          <w:szCs w:val="21"/>
          <w14:ligatures w14:val="none"/>
        </w:rPr>
        <w:fldChar w:fldCharType="end"/>
      </w:r>
      <w:r w:rsidRPr="00B33EA7">
        <w:rPr>
          <w:rFonts w:ascii="Segoe UI" w:eastAsia="Times New Roman" w:hAnsi="Segoe UI" w:cs="Segoe UI"/>
          <w:kern w:val="0"/>
          <w:sz w:val="21"/>
          <w:szCs w:val="21"/>
          <w14:ligatures w14:val="none"/>
        </w:rPr>
        <w:fldChar w:fldCharType="begin"/>
      </w:r>
      <w:r w:rsidRPr="00B33EA7">
        <w:rPr>
          <w:rFonts w:ascii="Segoe UI" w:eastAsia="Times New Roman" w:hAnsi="Segoe UI" w:cs="Segoe UI"/>
          <w:kern w:val="0"/>
          <w:sz w:val="21"/>
          <w:szCs w:val="21"/>
          <w14:ligatures w14:val="none"/>
        </w:rPr>
        <w:instrText xml:space="preserve"> INCLUDEPICTURE "https://services.bingapis.com/favicon?url=rcrwireless.com" \* MERGEFORMATINET </w:instrText>
      </w:r>
      <w:r w:rsidRPr="00B33EA7">
        <w:rPr>
          <w:rFonts w:ascii="Segoe UI" w:eastAsia="Times New Roman" w:hAnsi="Segoe UI" w:cs="Segoe UI"/>
          <w:kern w:val="0"/>
          <w:sz w:val="21"/>
          <w:szCs w:val="21"/>
          <w14:ligatures w14:val="none"/>
        </w:rPr>
        <w:fldChar w:fldCharType="separate"/>
      </w:r>
      <w:r w:rsidRPr="00B33EA7">
        <w:rPr>
          <w:rFonts w:ascii="Segoe UI" w:eastAsia="Times New Roman" w:hAnsi="Segoe UI" w:cs="Segoe UI"/>
          <w:noProof/>
          <w:kern w:val="0"/>
          <w:sz w:val="21"/>
          <w:szCs w:val="21"/>
          <w14:ligatures w14:val="none"/>
        </w:rPr>
        <w:drawing>
          <wp:inline distT="0" distB="0" distL="0" distR="0" wp14:anchorId="5FCDA52C" wp14:editId="0485F280">
            <wp:extent cx="200025" cy="200025"/>
            <wp:effectExtent l="0" t="0" r="3175" b="0"/>
            <wp:docPr id="663051930" name="Picture 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avicon typ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B33EA7">
        <w:rPr>
          <w:rFonts w:ascii="Segoe UI" w:eastAsia="Times New Roman" w:hAnsi="Segoe UI" w:cs="Segoe UI"/>
          <w:kern w:val="0"/>
          <w:sz w:val="21"/>
          <w:szCs w:val="21"/>
          <w14:ligatures w14:val="none"/>
        </w:rPr>
        <w:fldChar w:fldCharType="end"/>
      </w:r>
    </w:p>
    <w:p w14:paraId="40E0208B" w14:textId="77777777" w:rsidR="00B33EA7" w:rsidRPr="00B33EA7" w:rsidRDefault="00B33EA7" w:rsidP="00B33EA7">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B33EA7">
        <w:rPr>
          <w:rFonts w:ascii="Segoe UI" w:eastAsia="Times New Roman" w:hAnsi="Segoe UI" w:cs="Segoe UI"/>
          <w:b/>
          <w:bCs/>
          <w:kern w:val="0"/>
          <w:sz w:val="20"/>
          <w:szCs w:val="20"/>
          <w14:ligatures w14:val="none"/>
        </w:rPr>
        <w:lastRenderedPageBreak/>
        <w:t xml:space="preserve">You said: </w:t>
      </w:r>
    </w:p>
    <w:p w14:paraId="714D5CA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include all these in a pdf under mandatory_guidelines README</w:t>
      </w:r>
    </w:p>
    <w:p w14:paraId="3FE81237" w14:textId="77777777" w:rsidR="00B33EA7" w:rsidRPr="00B33EA7" w:rsidRDefault="00B33EA7" w:rsidP="00B33EA7">
      <w:pPr>
        <w:spacing w:before="100" w:beforeAutospacing="1" w:after="100" w:afterAutospacing="1" w:line="300" w:lineRule="atLeast"/>
        <w:outlineLvl w:val="5"/>
        <w:rPr>
          <w:rFonts w:ascii="Segoe UI" w:eastAsia="Times New Roman" w:hAnsi="Segoe UI" w:cs="Segoe UI"/>
          <w:b/>
          <w:bCs/>
          <w:kern w:val="0"/>
          <w:sz w:val="15"/>
          <w:szCs w:val="15"/>
          <w14:ligatures w14:val="none"/>
        </w:rPr>
      </w:pPr>
      <w:r w:rsidRPr="00B33EA7">
        <w:rPr>
          <w:rFonts w:ascii="Segoe UI" w:eastAsia="Times New Roman" w:hAnsi="Segoe UI" w:cs="Segoe UI"/>
          <w:b/>
          <w:bCs/>
          <w:kern w:val="0"/>
          <w:sz w:val="15"/>
          <w:szCs w:val="15"/>
          <w14:ligatures w14:val="none"/>
        </w:rPr>
        <w:t xml:space="preserve">Copilot said: </w:t>
      </w:r>
    </w:p>
    <w:p w14:paraId="450F8D97"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Copilot</w:t>
      </w:r>
    </w:p>
    <w:p w14:paraId="00B7A9E2"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Reasoning completed in 3 steps</w:t>
      </w:r>
    </w:p>
    <w:p w14:paraId="20FCF648"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 xml:space="preserve">Done — I created the PDF as </w:t>
      </w:r>
      <w:r w:rsidRPr="00B33EA7">
        <w:rPr>
          <w:rFonts w:ascii="Segoe UI" w:eastAsia="Times New Roman" w:hAnsi="Segoe UI" w:cs="Segoe UI"/>
          <w:b/>
          <w:bCs/>
          <w:kern w:val="0"/>
          <w:sz w:val="21"/>
          <w:szCs w:val="21"/>
          <w14:ligatures w14:val="none"/>
        </w:rPr>
        <w:t>mandatory_guidelines_README.pdf</w:t>
      </w:r>
      <w:r w:rsidRPr="00B33EA7">
        <w:rPr>
          <w:rFonts w:ascii="Segoe UI" w:eastAsia="Times New Roman" w:hAnsi="Segoe UI" w:cs="Segoe UI"/>
          <w:kern w:val="0"/>
          <w:sz w:val="21"/>
          <w:szCs w:val="21"/>
          <w14:ligatures w14:val="none"/>
        </w:rPr>
        <w:t xml:space="preserve"> and verified it renders correctly.</w:t>
      </w:r>
    </w:p>
    <w:p w14:paraId="2380DDF5"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Apple Color Emoji" w:eastAsia="Times New Roman" w:hAnsi="Apple Color Emoji" w:cs="Apple Color Emoji"/>
          <w:kern w:val="0"/>
          <w:sz w:val="21"/>
          <w:szCs w:val="21"/>
          <w14:ligatures w14:val="none"/>
        </w:rPr>
        <w:t>📄</w:t>
      </w:r>
      <w:r w:rsidRPr="00B33EA7">
        <w:rPr>
          <w:rFonts w:ascii="Segoe UI" w:eastAsia="Times New Roman" w:hAnsi="Segoe UI" w:cs="Segoe UI"/>
          <w:kern w:val="0"/>
          <w:sz w:val="21"/>
          <w:szCs w:val="21"/>
          <w14:ligatures w14:val="none"/>
        </w:rPr>
        <w:t xml:space="preserve"> </w:t>
      </w:r>
      <w:r w:rsidRPr="00B33EA7">
        <w:rPr>
          <w:rFonts w:ascii="Segoe UI" w:eastAsia="Times New Roman" w:hAnsi="Segoe UI" w:cs="Segoe UI"/>
          <w:b/>
          <w:bCs/>
          <w:kern w:val="0"/>
          <w:sz w:val="21"/>
          <w:szCs w:val="21"/>
          <w14:ligatures w14:val="none"/>
        </w:rPr>
        <w:t>Download:</w:t>
      </w:r>
      <w:r w:rsidRPr="00B33EA7">
        <w:rPr>
          <w:rFonts w:ascii="Segoe UI" w:eastAsia="Times New Roman" w:hAnsi="Segoe UI" w:cs="Segoe UI"/>
          <w:kern w:val="0"/>
          <w:sz w:val="21"/>
          <w:szCs w:val="21"/>
          <w14:ligatures w14:val="none"/>
        </w:rPr>
        <w:t xml:space="preserve"> </w:t>
      </w:r>
    </w:p>
    <w:p w14:paraId="21CFCF05" w14:textId="77777777" w:rsidR="00B33EA7" w:rsidRPr="00B33EA7" w:rsidRDefault="00B33EA7" w:rsidP="00B33EA7">
      <w:pPr>
        <w:spacing w:after="0" w:line="300" w:lineRule="atLeast"/>
        <w:rPr>
          <w:rFonts w:ascii="Segoe UI" w:eastAsia="Times New Roman" w:hAnsi="Segoe UI" w:cs="Segoe UI"/>
          <w:kern w:val="0"/>
          <w:sz w:val="21"/>
          <w:szCs w:val="21"/>
          <w14:ligatures w14:val="none"/>
        </w:rPr>
      </w:pPr>
      <w:hyperlink r:id="rId22" w:tgtFrame="_blank" w:history="1">
        <w:r w:rsidRPr="00B33EA7">
          <w:rPr>
            <w:rFonts w:ascii="Segoe UI" w:eastAsia="Times New Roman" w:hAnsi="Segoe UI" w:cs="Segoe UI"/>
            <w:color w:val="464FEB"/>
            <w:kern w:val="0"/>
            <w:sz w:val="21"/>
            <w:szCs w:val="21"/>
            <w14:ligatures w14:val="none"/>
          </w:rPr>
          <w:t>mandatory_guidelines_README.pdf</w:t>
        </w:r>
      </w:hyperlink>
    </w:p>
    <w:p w14:paraId="3C45A7D4"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It includes the full patent submission guidance in one README-style PDF, covering:</w:t>
      </w:r>
    </w:p>
    <w:p w14:paraId="57444A44"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Required filing package items</w:t>
      </w:r>
    </w:p>
    <w:p w14:paraId="71E1F78E"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Complete patent application outline</w:t>
      </w:r>
    </w:p>
    <w:p w14:paraId="04E2EF29"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AFC-specific mandatory technical content</w:t>
      </w:r>
    </w:p>
    <w:p w14:paraId="10FDB304"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Recommended page budget</w:t>
      </w:r>
    </w:p>
    <w:p w14:paraId="6FC95FFD"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Claims strategy</w:t>
      </w:r>
    </w:p>
    <w:p w14:paraId="1B746E50"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Drawing list</w:t>
      </w:r>
    </w:p>
    <w:p w14:paraId="5CB8C136"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Inventor checklist</w:t>
      </w:r>
    </w:p>
    <w:p w14:paraId="36D91FC4"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Approval-oriented quality rules</w:t>
      </w:r>
    </w:p>
    <w:p w14:paraId="42A4724D" w14:textId="77777777" w:rsidR="00B33EA7" w:rsidRPr="00B33EA7" w:rsidRDefault="00B33EA7" w:rsidP="00B33EA7">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Practical recommendation for a company filing with multiple inventors</w:t>
      </w:r>
    </w:p>
    <w:p w14:paraId="39C1D47B" w14:textId="77777777" w:rsidR="00B33EA7" w:rsidRPr="00B33EA7" w:rsidRDefault="00B33EA7" w:rsidP="00B33EA7">
      <w:pPr>
        <w:spacing w:before="100" w:beforeAutospacing="1" w:after="100" w:afterAutospacing="1" w:line="300" w:lineRule="atLeast"/>
        <w:rPr>
          <w:rFonts w:ascii="Segoe UI" w:eastAsia="Times New Roman" w:hAnsi="Segoe UI" w:cs="Segoe UI"/>
          <w:kern w:val="0"/>
          <w:sz w:val="21"/>
          <w:szCs w:val="21"/>
          <w14:ligatures w14:val="none"/>
        </w:rPr>
      </w:pPr>
      <w:r w:rsidRPr="00B33EA7">
        <w:rPr>
          <w:rFonts w:ascii="Segoe UI" w:eastAsia="Times New Roman" w:hAnsi="Segoe UI" w:cs="Segoe UI"/>
          <w:kern w:val="0"/>
          <w:sz w:val="21"/>
          <w:szCs w:val="21"/>
          <w14:ligatures w14:val="none"/>
        </w:rPr>
        <w:t>I also rendered the PDF successfully to confirm it was generated properly.</w:t>
      </w:r>
    </w:p>
    <w:p w14:paraId="5C014AB9" w14:textId="77777777" w:rsidR="00B33EA7" w:rsidRPr="00B33EA7" w:rsidRDefault="00B33EA7" w:rsidP="00B33EA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33EA7">
        <w:rPr>
          <w:rFonts w:ascii="Segoe UI" w:eastAsia="Times New Roman" w:hAnsi="Segoe UI" w:cs="Segoe UI"/>
          <w:b/>
          <w:bCs/>
          <w:kern w:val="0"/>
          <w:sz w:val="36"/>
          <w:szCs w:val="36"/>
          <w14:ligatures w14:val="none"/>
        </w:rPr>
        <w:t>Provide your feedback on BizChat</w:t>
      </w:r>
    </w:p>
    <w:p w14:paraId="389C8575" w14:textId="77777777" w:rsidR="00B33EA7" w:rsidRPr="00B33EA7" w:rsidRDefault="00B33EA7" w:rsidP="00B33EA7">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B33EA7">
        <w:rPr>
          <w:rFonts w:ascii="Segoe UI" w:eastAsia="Times New Roman" w:hAnsi="Segoe UI" w:cs="Segoe UI"/>
          <w:b/>
          <w:bCs/>
          <w:kern w:val="0"/>
          <w:sz w:val="20"/>
          <w:szCs w:val="20"/>
          <w14:ligatures w14:val="none"/>
        </w:rPr>
        <w:t xml:space="preserve">You said: </w:t>
      </w:r>
    </w:p>
    <w:p w14:paraId="6853E6B7" w14:textId="77777777" w:rsidR="004F23A4" w:rsidRDefault="004F23A4"/>
    <w:sectPr w:rsidR="004F23A4">
      <w:footerReference w:type="even" r:id="rId23"/>
      <w:footerReference w:type="defaul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8E4C54" w14:textId="77777777" w:rsidR="00B17214" w:rsidRDefault="00B17214" w:rsidP="00B33EA7">
      <w:pPr>
        <w:spacing w:after="0" w:line="240" w:lineRule="auto"/>
      </w:pPr>
      <w:r>
        <w:separator/>
      </w:r>
    </w:p>
  </w:endnote>
  <w:endnote w:type="continuationSeparator" w:id="0">
    <w:p w14:paraId="198444AA" w14:textId="77777777" w:rsidR="00B17214" w:rsidRDefault="00B17214" w:rsidP="00B33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49BA3" w14:textId="58752D33" w:rsidR="00B33EA7" w:rsidRDefault="00B33EA7">
    <w:pPr>
      <w:pStyle w:val="Footer"/>
    </w:pPr>
    <w:r>
      <w:rPr>
        <w:noProof/>
      </w:rPr>
      <mc:AlternateContent>
        <mc:Choice Requires="wps">
          <w:drawing>
            <wp:anchor distT="0" distB="0" distL="0" distR="0" simplePos="0" relativeHeight="251659264" behindDoc="0" locked="0" layoutInCell="1" allowOverlap="1" wp14:anchorId="2253F2DE" wp14:editId="4AE173B8">
              <wp:simplePos x="635" y="635"/>
              <wp:positionH relativeFrom="page">
                <wp:align>center</wp:align>
              </wp:positionH>
              <wp:positionV relativeFrom="page">
                <wp:align>bottom</wp:align>
              </wp:positionV>
              <wp:extent cx="1005840" cy="316230"/>
              <wp:effectExtent l="0" t="0" r="10160" b="0"/>
              <wp:wrapNone/>
              <wp:docPr id="7168610" name="Text Box 5"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316230"/>
                      </a:xfrm>
                      <a:prstGeom prst="rect">
                        <a:avLst/>
                      </a:prstGeom>
                      <a:noFill/>
                      <a:ln>
                        <a:noFill/>
                      </a:ln>
                    </wps:spPr>
                    <wps:txbx>
                      <w:txbxContent>
                        <w:p w14:paraId="26F2DADA" w14:textId="4DC2B4DC" w:rsidR="00B33EA7" w:rsidRPr="00B33EA7" w:rsidRDefault="00B33EA7" w:rsidP="00B33EA7">
                          <w:pPr>
                            <w:spacing w:after="0"/>
                            <w:rPr>
                              <w:rFonts w:ascii="Aptos" w:eastAsia="Aptos" w:hAnsi="Aptos" w:cs="Aptos"/>
                              <w:noProof/>
                              <w:color w:val="000000"/>
                              <w:sz w:val="14"/>
                              <w:szCs w:val="14"/>
                            </w:rPr>
                          </w:pPr>
                          <w:r w:rsidRPr="00B33EA7">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53F2DE" id="_x0000_t202" coordsize="21600,21600" o:spt="202" path="m,l,21600r21600,l21600,xe">
              <v:stroke joinstyle="miter"/>
              <v:path gradientshapeok="t" o:connecttype="rect"/>
            </v:shapetype>
            <v:shape id="Text Box 5" o:spid="_x0000_s1026" type="#_x0000_t202" alt="Juniper Business Use Only" style="position:absolute;margin-left:0;margin-top:0;width:79.2pt;height:24.9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" filled="f" stroked="f">
              <v:fill o:detectmouseclick="t"/>
              <v:textbox style="mso-fit-shape-to-text:t" inset="0,0,0,15pt">
                <w:txbxContent>
                  <w:p w14:paraId="26F2DADA" w14:textId="4DC2B4DC" w:rsidR="00B33EA7" w:rsidRPr="00B33EA7" w:rsidRDefault="00B33EA7" w:rsidP="00B33EA7">
                    <w:pPr>
                      <w:spacing w:after="0"/>
                      <w:rPr>
                        <w:rFonts w:ascii="Aptos" w:eastAsia="Aptos" w:hAnsi="Aptos" w:cs="Aptos"/>
                        <w:noProof/>
                        <w:color w:val="000000"/>
                        <w:sz w:val="14"/>
                        <w:szCs w:val="14"/>
                      </w:rPr>
                    </w:pPr>
                    <w:r w:rsidRPr="00B33EA7">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09085F" w14:textId="04D0DAD8" w:rsidR="00B33EA7" w:rsidRDefault="00B33EA7">
    <w:pPr>
      <w:pStyle w:val="Footer"/>
    </w:pPr>
    <w:r>
      <w:rPr>
        <w:noProof/>
      </w:rPr>
      <mc:AlternateContent>
        <mc:Choice Requires="wps">
          <w:drawing>
            <wp:anchor distT="0" distB="0" distL="0" distR="0" simplePos="0" relativeHeight="251660288" behindDoc="0" locked="0" layoutInCell="1" allowOverlap="1" wp14:anchorId="5B68327C" wp14:editId="6923266C">
              <wp:simplePos x="0" y="0"/>
              <wp:positionH relativeFrom="page">
                <wp:align>center</wp:align>
              </wp:positionH>
              <wp:positionV relativeFrom="page">
                <wp:align>bottom</wp:align>
              </wp:positionV>
              <wp:extent cx="1005840" cy="316230"/>
              <wp:effectExtent l="0" t="0" r="10160" b="0"/>
              <wp:wrapNone/>
              <wp:docPr id="95182246" name="Text Box 6"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316230"/>
                      </a:xfrm>
                      <a:prstGeom prst="rect">
                        <a:avLst/>
                      </a:prstGeom>
                      <a:noFill/>
                      <a:ln>
                        <a:noFill/>
                      </a:ln>
                    </wps:spPr>
                    <wps:txbx>
                      <w:txbxContent>
                        <w:p w14:paraId="6C4CA014" w14:textId="52A6204B" w:rsidR="00B33EA7" w:rsidRPr="00B33EA7" w:rsidRDefault="00B33EA7" w:rsidP="00B33EA7">
                          <w:pPr>
                            <w:spacing w:after="0"/>
                            <w:rPr>
                              <w:rFonts w:ascii="Aptos" w:eastAsia="Aptos" w:hAnsi="Aptos" w:cs="Aptos"/>
                              <w:noProof/>
                              <w:color w:val="000000"/>
                              <w:sz w:val="14"/>
                              <w:szCs w:val="14"/>
                            </w:rPr>
                          </w:pPr>
                          <w:r w:rsidRPr="00B33EA7">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68327C" id="_x0000_t202" coordsize="21600,21600" o:spt="202" path="m,l,21600r21600,l21600,xe">
              <v:stroke joinstyle="miter"/>
              <v:path gradientshapeok="t" o:connecttype="rect"/>
            </v:shapetype>
            <v:shape id="Text Box 6" o:spid="_x0000_s1027" type="#_x0000_t202" alt="Juniper Business Use Only" style="position:absolute;margin-left:0;margin-top:0;width:79.2pt;height:24.9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" filled="f" stroked="f">
              <v:fill o:detectmouseclick="t"/>
              <v:textbox style="mso-fit-shape-to-text:t" inset="0,0,0,15pt">
                <w:txbxContent>
                  <w:p w14:paraId="6C4CA014" w14:textId="52A6204B" w:rsidR="00B33EA7" w:rsidRPr="00B33EA7" w:rsidRDefault="00B33EA7" w:rsidP="00B33EA7">
                    <w:pPr>
                      <w:spacing w:after="0"/>
                      <w:rPr>
                        <w:rFonts w:ascii="Aptos" w:eastAsia="Aptos" w:hAnsi="Aptos" w:cs="Aptos"/>
                        <w:noProof/>
                        <w:color w:val="000000"/>
                        <w:sz w:val="14"/>
                        <w:szCs w:val="14"/>
                      </w:rPr>
                    </w:pPr>
                    <w:r w:rsidRPr="00B33EA7">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81C34" w14:textId="1A23F83D" w:rsidR="00B33EA7" w:rsidRDefault="00B33EA7">
    <w:pPr>
      <w:pStyle w:val="Footer"/>
    </w:pPr>
    <w:r>
      <w:rPr>
        <w:noProof/>
      </w:rPr>
      <mc:AlternateContent>
        <mc:Choice Requires="wps">
          <w:drawing>
            <wp:anchor distT="0" distB="0" distL="0" distR="0" simplePos="0" relativeHeight="251658240" behindDoc="0" locked="0" layoutInCell="1" allowOverlap="1" wp14:anchorId="70F6F0AF" wp14:editId="5A24BE52">
              <wp:simplePos x="635" y="635"/>
              <wp:positionH relativeFrom="page">
                <wp:align>center</wp:align>
              </wp:positionH>
              <wp:positionV relativeFrom="page">
                <wp:align>bottom</wp:align>
              </wp:positionV>
              <wp:extent cx="1005840" cy="316230"/>
              <wp:effectExtent l="0" t="0" r="10160" b="0"/>
              <wp:wrapNone/>
              <wp:docPr id="650769319" name="Text Box 4"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05840" cy="316230"/>
                      </a:xfrm>
                      <a:prstGeom prst="rect">
                        <a:avLst/>
                      </a:prstGeom>
                      <a:noFill/>
                      <a:ln>
                        <a:noFill/>
                      </a:ln>
                    </wps:spPr>
                    <wps:txbx>
                      <w:txbxContent>
                        <w:p w14:paraId="4BBCA49F" w14:textId="1F044EF1" w:rsidR="00B33EA7" w:rsidRPr="00B33EA7" w:rsidRDefault="00B33EA7" w:rsidP="00B33EA7">
                          <w:pPr>
                            <w:spacing w:after="0"/>
                            <w:rPr>
                              <w:rFonts w:ascii="Aptos" w:eastAsia="Aptos" w:hAnsi="Aptos" w:cs="Aptos"/>
                              <w:noProof/>
                              <w:color w:val="000000"/>
                              <w:sz w:val="14"/>
                              <w:szCs w:val="14"/>
                            </w:rPr>
                          </w:pPr>
                          <w:r w:rsidRPr="00B33EA7">
                            <w:rPr>
                              <w:rFonts w:ascii="Aptos" w:eastAsia="Aptos" w:hAnsi="Aptos" w:cs="Aptos"/>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0F6F0AF" id="_x0000_t202" coordsize="21600,21600" o:spt="202" path="m,l,21600r21600,l21600,xe">
              <v:stroke joinstyle="miter"/>
              <v:path gradientshapeok="t" o:connecttype="rect"/>
            </v:shapetype>
            <v:shape id="Text Box 4" o:spid="_x0000_s1028" type="#_x0000_t202" alt="Juniper Business Use Only" style="position:absolute;margin-left:0;margin-top:0;width:79.2pt;height:24.9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" filled="f" stroked="f">
              <v:fill o:detectmouseclick="t"/>
              <v:textbox style="mso-fit-shape-to-text:t" inset="0,0,0,15pt">
                <w:txbxContent>
                  <w:p w14:paraId="4BBCA49F" w14:textId="1F044EF1" w:rsidR="00B33EA7" w:rsidRPr="00B33EA7" w:rsidRDefault="00B33EA7" w:rsidP="00B33EA7">
                    <w:pPr>
                      <w:spacing w:after="0"/>
                      <w:rPr>
                        <w:rFonts w:ascii="Aptos" w:eastAsia="Aptos" w:hAnsi="Aptos" w:cs="Aptos"/>
                        <w:noProof/>
                        <w:color w:val="000000"/>
                        <w:sz w:val="14"/>
                        <w:szCs w:val="14"/>
                      </w:rPr>
                    </w:pPr>
                    <w:r w:rsidRPr="00B33EA7">
                      <w:rPr>
                        <w:rFonts w:ascii="Aptos" w:eastAsia="Aptos" w:hAnsi="Aptos" w:cs="Aptos"/>
                        <w:noProof/>
                        <w:color w:val="000000"/>
                        <w:sz w:val="14"/>
                        <w:szCs w:val="14"/>
                      </w:rPr>
                      <w:t>Juniper Business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635A5A" w14:textId="77777777" w:rsidR="00B17214" w:rsidRDefault="00B17214" w:rsidP="00B33EA7">
      <w:pPr>
        <w:spacing w:after="0" w:line="240" w:lineRule="auto"/>
      </w:pPr>
      <w:r>
        <w:separator/>
      </w:r>
    </w:p>
  </w:footnote>
  <w:footnote w:type="continuationSeparator" w:id="0">
    <w:p w14:paraId="7DCD82BB" w14:textId="77777777" w:rsidR="00B17214" w:rsidRDefault="00B17214" w:rsidP="00B33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141FEE"/>
    <w:multiLevelType w:val="multilevel"/>
    <w:tmpl w:val="6D4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2338A"/>
    <w:multiLevelType w:val="multilevel"/>
    <w:tmpl w:val="C0DA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B24F5"/>
    <w:multiLevelType w:val="multilevel"/>
    <w:tmpl w:val="2BAC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7D6AC6"/>
    <w:multiLevelType w:val="multilevel"/>
    <w:tmpl w:val="1222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7056F"/>
    <w:multiLevelType w:val="multilevel"/>
    <w:tmpl w:val="62BC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A129E"/>
    <w:multiLevelType w:val="multilevel"/>
    <w:tmpl w:val="C664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A2B00"/>
    <w:multiLevelType w:val="multilevel"/>
    <w:tmpl w:val="8FE4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E140D7"/>
    <w:multiLevelType w:val="multilevel"/>
    <w:tmpl w:val="547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71640"/>
    <w:multiLevelType w:val="multilevel"/>
    <w:tmpl w:val="B412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720152"/>
    <w:multiLevelType w:val="multilevel"/>
    <w:tmpl w:val="8AB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52C53"/>
    <w:multiLevelType w:val="multilevel"/>
    <w:tmpl w:val="5B3E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126B8A"/>
    <w:multiLevelType w:val="multilevel"/>
    <w:tmpl w:val="968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36442"/>
    <w:multiLevelType w:val="multilevel"/>
    <w:tmpl w:val="25E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523CD"/>
    <w:multiLevelType w:val="multilevel"/>
    <w:tmpl w:val="619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6508E"/>
    <w:multiLevelType w:val="multilevel"/>
    <w:tmpl w:val="5DA6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3213E3"/>
    <w:multiLevelType w:val="multilevel"/>
    <w:tmpl w:val="3CC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32C36"/>
    <w:multiLevelType w:val="multilevel"/>
    <w:tmpl w:val="809A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7572C"/>
    <w:multiLevelType w:val="multilevel"/>
    <w:tmpl w:val="080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83D0A"/>
    <w:multiLevelType w:val="multilevel"/>
    <w:tmpl w:val="EB20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A054B9"/>
    <w:multiLevelType w:val="multilevel"/>
    <w:tmpl w:val="03F6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605768"/>
    <w:multiLevelType w:val="multilevel"/>
    <w:tmpl w:val="CD6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749CE"/>
    <w:multiLevelType w:val="multilevel"/>
    <w:tmpl w:val="2CC0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65261"/>
    <w:multiLevelType w:val="multilevel"/>
    <w:tmpl w:val="1EC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9633D"/>
    <w:multiLevelType w:val="multilevel"/>
    <w:tmpl w:val="D0A2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416142"/>
    <w:multiLevelType w:val="multilevel"/>
    <w:tmpl w:val="B4C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A4E5A"/>
    <w:multiLevelType w:val="multilevel"/>
    <w:tmpl w:val="56A0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470195">
    <w:abstractNumId w:val="3"/>
  </w:num>
  <w:num w:numId="2" w16cid:durableId="62533509">
    <w:abstractNumId w:val="24"/>
  </w:num>
  <w:num w:numId="3" w16cid:durableId="1521817329">
    <w:abstractNumId w:val="8"/>
  </w:num>
  <w:num w:numId="4" w16cid:durableId="1653214712">
    <w:abstractNumId w:val="21"/>
  </w:num>
  <w:num w:numId="5" w16cid:durableId="1664971238">
    <w:abstractNumId w:val="1"/>
  </w:num>
  <w:num w:numId="6" w16cid:durableId="523902271">
    <w:abstractNumId w:val="18"/>
  </w:num>
  <w:num w:numId="7" w16cid:durableId="1961837846">
    <w:abstractNumId w:val="7"/>
  </w:num>
  <w:num w:numId="8" w16cid:durableId="1054738172">
    <w:abstractNumId w:val="4"/>
  </w:num>
  <w:num w:numId="9" w16cid:durableId="1541164798">
    <w:abstractNumId w:val="14"/>
  </w:num>
  <w:num w:numId="10" w16cid:durableId="1690598273">
    <w:abstractNumId w:val="5"/>
  </w:num>
  <w:num w:numId="11" w16cid:durableId="924219865">
    <w:abstractNumId w:val="16"/>
  </w:num>
  <w:num w:numId="12" w16cid:durableId="1089352843">
    <w:abstractNumId w:val="12"/>
  </w:num>
  <w:num w:numId="13" w16cid:durableId="1939557372">
    <w:abstractNumId w:val="23"/>
  </w:num>
  <w:num w:numId="14" w16cid:durableId="503590438">
    <w:abstractNumId w:val="19"/>
  </w:num>
  <w:num w:numId="15" w16cid:durableId="150760503">
    <w:abstractNumId w:val="2"/>
  </w:num>
  <w:num w:numId="16" w16cid:durableId="443963916">
    <w:abstractNumId w:val="15"/>
  </w:num>
  <w:num w:numId="17" w16cid:durableId="443161705">
    <w:abstractNumId w:val="13"/>
  </w:num>
  <w:num w:numId="18" w16cid:durableId="1060404618">
    <w:abstractNumId w:val="0"/>
  </w:num>
  <w:num w:numId="19" w16cid:durableId="786850424">
    <w:abstractNumId w:val="22"/>
  </w:num>
  <w:num w:numId="20" w16cid:durableId="1354764600">
    <w:abstractNumId w:val="25"/>
  </w:num>
  <w:num w:numId="21" w16cid:durableId="1021661417">
    <w:abstractNumId w:val="17"/>
  </w:num>
  <w:num w:numId="22" w16cid:durableId="1924411813">
    <w:abstractNumId w:val="9"/>
  </w:num>
  <w:num w:numId="23" w16cid:durableId="983504565">
    <w:abstractNumId w:val="10"/>
  </w:num>
  <w:num w:numId="24" w16cid:durableId="1067385303">
    <w:abstractNumId w:val="6"/>
  </w:num>
  <w:num w:numId="25" w16cid:durableId="684870866">
    <w:abstractNumId w:val="11"/>
  </w:num>
  <w:num w:numId="26" w16cid:durableId="663438415">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A7"/>
    <w:rsid w:val="004F23A4"/>
    <w:rsid w:val="00544C07"/>
    <w:rsid w:val="005C0B24"/>
    <w:rsid w:val="00792F1E"/>
    <w:rsid w:val="00B17214"/>
    <w:rsid w:val="00B33EA7"/>
    <w:rsid w:val="00C3096F"/>
    <w:rsid w:val="00CE07CC"/>
    <w:rsid w:val="00DD0878"/>
    <w:rsid w:val="00EC7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029D1D"/>
  <w15:chartTrackingRefBased/>
  <w15:docId w15:val="{B18D54A4-AA43-D74F-A0C4-13535289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3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3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33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33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3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3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33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33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EA7"/>
    <w:rPr>
      <w:rFonts w:eastAsiaTheme="majorEastAsia" w:cstheme="majorBidi"/>
      <w:color w:val="272727" w:themeColor="text1" w:themeTint="D8"/>
    </w:rPr>
  </w:style>
  <w:style w:type="paragraph" w:styleId="Title">
    <w:name w:val="Title"/>
    <w:basedOn w:val="Normal"/>
    <w:next w:val="Normal"/>
    <w:link w:val="TitleChar"/>
    <w:uiPriority w:val="10"/>
    <w:qFormat/>
    <w:rsid w:val="00B33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EA7"/>
    <w:pPr>
      <w:spacing w:before="160"/>
      <w:jc w:val="center"/>
    </w:pPr>
    <w:rPr>
      <w:i/>
      <w:iCs/>
      <w:color w:val="404040" w:themeColor="text1" w:themeTint="BF"/>
    </w:rPr>
  </w:style>
  <w:style w:type="character" w:customStyle="1" w:styleId="QuoteChar">
    <w:name w:val="Quote Char"/>
    <w:basedOn w:val="DefaultParagraphFont"/>
    <w:link w:val="Quote"/>
    <w:uiPriority w:val="29"/>
    <w:rsid w:val="00B33EA7"/>
    <w:rPr>
      <w:i/>
      <w:iCs/>
      <w:color w:val="404040" w:themeColor="text1" w:themeTint="BF"/>
    </w:rPr>
  </w:style>
  <w:style w:type="paragraph" w:styleId="ListParagraph">
    <w:name w:val="List Paragraph"/>
    <w:basedOn w:val="Normal"/>
    <w:uiPriority w:val="34"/>
    <w:qFormat/>
    <w:rsid w:val="00B33EA7"/>
    <w:pPr>
      <w:ind w:left="720"/>
      <w:contextualSpacing/>
    </w:pPr>
  </w:style>
  <w:style w:type="character" w:styleId="IntenseEmphasis">
    <w:name w:val="Intense Emphasis"/>
    <w:basedOn w:val="DefaultParagraphFont"/>
    <w:uiPriority w:val="21"/>
    <w:qFormat/>
    <w:rsid w:val="00B33EA7"/>
    <w:rPr>
      <w:i/>
      <w:iCs/>
      <w:color w:val="0F4761" w:themeColor="accent1" w:themeShade="BF"/>
    </w:rPr>
  </w:style>
  <w:style w:type="paragraph" w:styleId="IntenseQuote">
    <w:name w:val="Intense Quote"/>
    <w:basedOn w:val="Normal"/>
    <w:next w:val="Normal"/>
    <w:link w:val="IntenseQuoteChar"/>
    <w:uiPriority w:val="30"/>
    <w:qFormat/>
    <w:rsid w:val="00B33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EA7"/>
    <w:rPr>
      <w:i/>
      <w:iCs/>
      <w:color w:val="0F4761" w:themeColor="accent1" w:themeShade="BF"/>
    </w:rPr>
  </w:style>
  <w:style w:type="character" w:styleId="IntenseReference">
    <w:name w:val="Intense Reference"/>
    <w:basedOn w:val="DefaultParagraphFont"/>
    <w:uiPriority w:val="32"/>
    <w:qFormat/>
    <w:rsid w:val="00B33EA7"/>
    <w:rPr>
      <w:b/>
      <w:bCs/>
      <w:smallCaps/>
      <w:color w:val="0F4761" w:themeColor="accent1" w:themeShade="BF"/>
      <w:spacing w:val="5"/>
    </w:rPr>
  </w:style>
  <w:style w:type="character" w:styleId="Hyperlink">
    <w:name w:val="Hyperlink"/>
    <w:basedOn w:val="DefaultParagraphFont"/>
    <w:uiPriority w:val="99"/>
    <w:semiHidden/>
    <w:unhideWhenUsed/>
    <w:rsid w:val="00B33EA7"/>
    <w:rPr>
      <w:strike w:val="0"/>
      <w:dstrike w:val="0"/>
      <w:color w:val="464FEB"/>
      <w:u w:val="none"/>
      <w:effect w:val="none"/>
    </w:rPr>
  </w:style>
  <w:style w:type="paragraph" w:styleId="NormalWeb">
    <w:name w:val="Normal (Web)"/>
    <w:basedOn w:val="Normal"/>
    <w:uiPriority w:val="99"/>
    <w:semiHidden/>
    <w:unhideWhenUsed/>
    <w:rsid w:val="00B33E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3EA7"/>
    <w:rPr>
      <w:b/>
      <w:bCs/>
    </w:rPr>
  </w:style>
  <w:style w:type="character" w:customStyle="1" w:styleId="xwyputnstr2mcr8bsfkthg">
    <w:name w:val="xwyputnstr2mcr8bsfkthg=="/>
    <w:basedOn w:val="DefaultParagraphFont"/>
    <w:rsid w:val="00B33EA7"/>
  </w:style>
  <w:style w:type="character" w:customStyle="1" w:styleId="scriptor-textrun">
    <w:name w:val="scriptor-textrun"/>
    <w:basedOn w:val="DefaultParagraphFont"/>
    <w:rsid w:val="00B33EA7"/>
  </w:style>
  <w:style w:type="character" w:customStyle="1" w:styleId="1414dhh">
    <w:name w:val="___1414dhh"/>
    <w:basedOn w:val="DefaultParagraphFont"/>
    <w:rsid w:val="00B33EA7"/>
  </w:style>
  <w:style w:type="character" w:customStyle="1" w:styleId="scc-chainofthoughtheadertext">
    <w:name w:val="scc-chainofthought__headertext"/>
    <w:basedOn w:val="DefaultParagraphFont"/>
    <w:rsid w:val="00B33EA7"/>
  </w:style>
  <w:style w:type="paragraph" w:styleId="Footer">
    <w:name w:val="footer"/>
    <w:basedOn w:val="Normal"/>
    <w:link w:val="FooterChar"/>
    <w:uiPriority w:val="99"/>
    <w:unhideWhenUsed/>
    <w:rsid w:val="00B33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pto.gov/web/offices/pac/mpep/mpep-2100.html" TargetMode="External"/><Relationship Id="rId13" Type="http://schemas.openxmlformats.org/officeDocument/2006/relationships/hyperlink" Target="https://www.uspto.gov/patents/basics/apply/utility-patent" TargetMode="External"/><Relationship Id="rId18" Type="http://schemas.openxmlformats.org/officeDocument/2006/relationships/hyperlink" Target="https://www.uspto.gov/web/offices/pac/mpep/s2106.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www.uspto.gov/patents/basics/apply/utility-patent" TargetMode="External"/><Relationship Id="rId12" Type="http://schemas.openxmlformats.org/officeDocument/2006/relationships/hyperlink" Target="https://www.uspto.gov/patents/basics/apply/utility-patent" TargetMode="External"/><Relationship Id="rId17" Type="http://schemas.openxmlformats.org/officeDocument/2006/relationships/hyperlink" Target="https://www.uspto.gov/web/offices/pac/mpep/mpep-2100.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rcrwireless.com/20240224/featured/fcc-approves-seven-afcs-for-6-ghz"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spto.gov/web/offices/pac/mpep/s2106.html"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uspto.gov/patents/basics/apply/utility-patent" TargetMode="External"/><Relationship Id="rId23" Type="http://schemas.openxmlformats.org/officeDocument/2006/relationships/footer" Target="footer1.xml"/><Relationship Id="rId10" Type="http://schemas.openxmlformats.org/officeDocument/2006/relationships/hyperlink" Target="https://www.law.cornell.edu/uscode/text/35/103"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uspto.gov/patents/basics/apply/utility-patent" TargetMode="External"/><Relationship Id="rId14" Type="http://schemas.openxmlformats.org/officeDocument/2006/relationships/hyperlink" Target="https://www.uspto.gov/patents/basics/apply/utility-patent" TargetMode="External"/><Relationship Id="rId22" Type="http://schemas.openxmlformats.org/officeDocument/2006/relationships/hyperlink" Target="blob:https://m365.cloud.microsoft/e167fd35-7870-4ef8-a70e-15299c13800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2804</Words>
  <Characters>15985</Characters>
  <Application>Microsoft Office Word</Application>
  <DocSecurity>0</DocSecurity>
  <Lines>133</Lines>
  <Paragraphs>37</Paragraphs>
  <ScaleCrop>false</ScaleCrop>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Anselm Allen Joseph</dc:creator>
  <cp:keywords/>
  <dc:description/>
  <cp:lastModifiedBy>Anselm Allen Joseph</cp:lastModifiedBy>
  <cp:revision>1</cp:revision>
  <dcterms:created xsi:type="dcterms:W3CDTF">2026-07-13T19:19:00Z</dcterms:created>
  <dcterms:modified xsi:type="dcterms:W3CDTF">2026-07-13T19:20:00Z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26c9f3a7,6d6262,5ac5da6</vt:lpwstr>
  </property>
  <property fmtid="{D5CDD505-2E9C-101B-9397-08002B2CF9AE}" pid="3" name="ClassificationContentMarkingFooterFontProps">
    <vt:lpwstr>#000000,7,Aptos</vt:lpwstr>
  </property>
  <property fmtid="{D5CDD505-2E9C-101B-9397-08002B2CF9AE}" pid="4" name="ClassificationContentMarkingFooterText">
    <vt:lpwstr>Juniper Business Use Only</vt:lpwstr>
  </property>
  <property fmtid="{D5CDD505-2E9C-101B-9397-08002B2CF9AE}" pid="5" name="MSIP_Label_0633b888-ae0d-4341-a75f-06e04137d755_Enabled">
    <vt:lpwstr>true</vt:lpwstr>
  </property>
  <property fmtid="{D5CDD505-2E9C-101B-9397-08002B2CF9AE}" pid="6" name="MSIP_Label_0633b888-ae0d-4341-a75f-06e04137d755_SetDate">
    <vt:lpwstr>2026-07-13T19:20:07Z</vt:lpwstr>
  </property>
  <property fmtid="{D5CDD505-2E9C-101B-9397-08002B2CF9AE}" pid="7" name="MSIP_Label_0633b888-ae0d-4341-a75f-06e04137d755_Method">
    <vt:lpwstr>Standard</vt:lpwstr>
  </property>
  <property fmtid="{D5CDD505-2E9C-101B-9397-08002B2CF9AE}" pid="8" name="MSIP_Label_0633b888-ae0d-4341-a75f-06e04137d755_Name">
    <vt:lpwstr>0633b888-ae0d-4341-a75f-06e04137d755</vt:lpwstr>
  </property>
  <property fmtid="{D5CDD505-2E9C-101B-9397-08002B2CF9AE}" pid="9" name="MSIP_Label_0633b888-ae0d-4341-a75f-06e04137d755_SiteId">
    <vt:lpwstr>bea78b3c-4cdb-4130-854a-1d193232e5f4</vt:lpwstr>
  </property>
  <property fmtid="{D5CDD505-2E9C-101B-9397-08002B2CF9AE}" pid="10" name="MSIP_Label_0633b888-ae0d-4341-a75f-06e04137d755_ActionId">
    <vt:lpwstr>acb21043-a771-4a7e-b084-2c67ac56c8ac</vt:lpwstr>
  </property>
  <property fmtid="{D5CDD505-2E9C-101B-9397-08002B2CF9AE}" pid="11" name="MSIP_Label_0633b888-ae0d-4341-a75f-06e04137d755_ContentBits">
    <vt:lpwstr>2</vt:lpwstr>
  </property>
  <property fmtid="{D5CDD505-2E9C-101B-9397-08002B2CF9AE}" pid="12" name="MSIP_Label_0633b888-ae0d-4341-a75f-06e04137d755_Tag">
    <vt:lpwstr>50, 3, 0, 1</vt:lpwstr>
  </property>
</Properties>
</file>