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1B3A5C"/>
          <w:sz w:val="56"/>
        </w:rPr>
        <w:t>SysMap Fabric</w:t>
      </w:r>
    </w:p>
    <w:p>
      <w:r>
        <w:rPr>
          <w:rFonts w:ascii="Arial" w:hAnsi="Arial"/>
          <w:b w:val="0"/>
          <w:i w:val="0"/>
          <w:color w:val="64748B"/>
          <w:sz w:val="32"/>
        </w:rPr>
        <w:t>Fábrica Agêntica - Plano de Implementação</w:t>
      </w:r>
    </w:p>
    <w:p>
      <w:r>
        <w:rPr>
          <w:rFonts w:ascii="Arial" w:hAnsi="Arial"/>
          <w:b w:val="0"/>
          <w:i w:val="0"/>
          <w:color w:val="64748B"/>
          <w:sz w:val="22"/>
        </w:rPr>
        <w:t>Como montar a fábrica: stack, papéis, capacitação, piloto e escala - foco Salesforce</w:t>
      </w:r>
    </w:p>
    <w:p>
      <w:r>
        <w:rPr>
          <w:rFonts w:ascii="Arial" w:hAnsi="Arial"/>
          <w:b w:val="0"/>
          <w:i w:val="0"/>
          <w:color w:val="64748B"/>
          <w:sz w:val="20"/>
        </w:rPr>
        <w:t>Versão 1.0  |  Maio 2026  |  Confidencial - SysMap Solutions</w:t>
      </w:r>
    </w:p>
    <w:p>
      <w:r>
        <w:rPr>
          <w:rFonts w:ascii="Arial" w:hAnsi="Arial"/>
          <w:b/>
          <w:i w:val="0"/>
          <w:color w:val="1B3A5C"/>
          <w:sz w:val="28"/>
        </w:rPr>
        <w:t>1. Visão Geral e Objetivo</w:t>
      </w:r>
    </w:p>
    <w:p>
      <w:r>
        <w:rPr>
          <w:rFonts w:ascii="Arial" w:hAnsi="Arial"/>
          <w:b w:val="0"/>
          <w:i w:val="0"/>
          <w:color w:val="1A1A1A"/>
          <w:sz w:val="20"/>
        </w:rPr>
        <w:t>A Fábrica Agêntica é o modelo de entrega da SysMap aumentado por IA, baseado em Programação Orientada a Contexto com implementação em linguagem natural. Não são agentes autônomos: é uma stack (Cursor + MCPs/Skills + Context Loader + Knowledge Base) que empodera pessoas a entregar com padrão e qualidade, independentemente do nível técnico. Já existe um protótipo de fluxo; o objetivo deste plano é estruturar a implementação da fábrica - da preparação da base ao piloto e à escala.</w:t>
      </w:r>
    </w:p>
    <w:p>
      <w:r>
        <w:rPr>
          <w:rFonts w:ascii="Arial" w:hAnsi="Arial"/>
          <w:b w:val="0"/>
          <w:i w:val="0"/>
          <w:color w:val="1A1A1A"/>
          <w:sz w:val="20"/>
        </w:rPr>
        <w:t>Foco: Salesforce. A arquitetura de referência (microserviços, Supabase, event broker) atende também software custom, mas a prioridade e o primeiro piloto são em Salesforce. Na prática, a stack SF é: Cursor + Salesforce DX/CLI + MCPs de metadados/Apex/LWC/Flow + Knowledge Base de padrões Salesforce.</w:t>
      </w:r>
    </w:p>
    <w:p>
      <w:r>
        <w:rPr>
          <w:rFonts w:ascii="Arial" w:hAnsi="Arial"/>
          <w:b/>
          <w:i w:val="0"/>
          <w:color w:val="1B3A5C"/>
          <w:sz w:val="28"/>
        </w:rPr>
        <w:t>2. Princípios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Padrão antes de velocidade - nenhuma entrega sai sem passar pelos padrões.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Humano no comando - gates humanos obrigatórios (revisão de PR e verificação antes de concluir).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Contexto é o ativo - contexto ruim gera código errado em escala; validar o contexto é prioridade.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Foco Salesforce - a stack nasce SF; custom é variante posterior.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Provar valor antes de escalar - piloto medido contra um baseline da fábrica tradicional.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Reusar a governança tradicional - DoR/DoD, quality gates e ciclo F0-F5 já existentes.</w:t>
      </w:r>
    </w:p>
    <w:p>
      <w:r>
        <w:rPr>
          <w:rFonts w:ascii="Arial" w:hAnsi="Arial"/>
          <w:b/>
          <w:i w:val="0"/>
          <w:color w:val="1B3A5C"/>
          <w:sz w:val="28"/>
        </w:rPr>
        <w:t>3. Componentes da Stack (o que construir)</w:t>
      </w:r>
    </w:p>
    <w:p>
      <w:r>
        <w:rPr>
          <w:rFonts w:ascii="Arial" w:hAnsi="Arial"/>
          <w:b w:val="0"/>
          <w:i w:val="0"/>
          <w:color w:val="1A1A1A"/>
          <w:sz w:val="20"/>
        </w:rPr>
        <w:t>A implementação segue o processo de preparação da base (conduzido pelo CoE): definir padrões, construir MCPs/Skills, estruturar a Knowledge Base, implementar o Context Loader e versionar.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244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432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O que é (foco Salesforce)</w:t>
            </w:r>
          </w:p>
        </w:tc>
        <w:tc>
          <w:tcPr>
            <w:tcW w:type="dxa" w:w="1296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Dono</w:t>
            </w:r>
          </w:p>
        </w:tc>
        <w:tc>
          <w:tcPr>
            <w:tcW w:type="dxa" w:w="72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Fase</w:t>
            </w:r>
          </w:p>
        </w:tc>
      </w:tr>
      <w:tr>
        <w:tc>
          <w:tcPr>
            <w:tcW w:type="dxa" w:w="244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Knowledge Base Arquitetural</w:t>
            </w:r>
          </w:p>
        </w:tc>
        <w:tc>
          <w:tcPr>
            <w:tcW w:type="dxa" w:w="432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Padrões SF (Configuration First, Apex, LWC, Flow), guidelines, templates, modelos de dados</w:t>
            </w:r>
          </w:p>
        </w:tc>
        <w:tc>
          <w:tcPr>
            <w:tcW w:type="dxa" w:w="129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CoE</w:t>
            </w:r>
          </w:p>
        </w:tc>
        <w:tc>
          <w:tcPr>
            <w:tcW w:type="dxa" w:w="72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1</w:t>
            </w:r>
          </w:p>
        </w:tc>
      </w:tr>
      <w:tr>
        <w:tc>
          <w:tcPr>
            <w:tcW w:type="dxa" w:w="244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MCP/Skill de Contexto</w:t>
            </w:r>
          </w:p>
        </w:tc>
        <w:tc>
          <w:tcPr>
            <w:tcW w:type="dxa" w:w="432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Docs de negócio e técnicos do cliente/jornada</w:t>
            </w:r>
          </w:p>
        </w:tc>
        <w:tc>
          <w:tcPr>
            <w:tcW w:type="dxa" w:w="129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CoE</w:t>
            </w:r>
          </w:p>
        </w:tc>
        <w:tc>
          <w:tcPr>
            <w:tcW w:type="dxa" w:w="72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1</w:t>
            </w:r>
          </w:p>
        </w:tc>
      </w:tr>
      <w:tr>
        <w:tc>
          <w:tcPr>
            <w:tcW w:type="dxa" w:w="244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MCP/Skill de Engenharia</w:t>
            </w:r>
          </w:p>
        </w:tc>
        <w:tc>
          <w:tcPr>
            <w:tcW w:type="dxa" w:w="432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Geração de metadados/Apex/LWC, scaffolding, Salesforce DX, Git</w:t>
            </w:r>
          </w:p>
        </w:tc>
        <w:tc>
          <w:tcPr>
            <w:tcW w:type="dxa" w:w="129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CoE</w:t>
            </w:r>
          </w:p>
        </w:tc>
        <w:tc>
          <w:tcPr>
            <w:tcW w:type="dxa" w:w="72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1</w:t>
            </w:r>
          </w:p>
        </w:tc>
      </w:tr>
      <w:tr>
        <w:tc>
          <w:tcPr>
            <w:tcW w:type="dxa" w:w="244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MCP/Skill de Governança</w:t>
            </w:r>
          </w:p>
        </w:tc>
        <w:tc>
          <w:tcPr>
            <w:tcW w:type="dxa" w:w="432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Quality gate (cobertura, security), design patterns, pipeline</w:t>
            </w:r>
          </w:p>
        </w:tc>
        <w:tc>
          <w:tcPr>
            <w:tcW w:type="dxa" w:w="129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CoE</w:t>
            </w:r>
          </w:p>
        </w:tc>
        <w:tc>
          <w:tcPr>
            <w:tcW w:type="dxa" w:w="72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1</w:t>
            </w:r>
          </w:p>
        </w:tc>
      </w:tr>
      <w:tr>
        <w:tc>
          <w:tcPr>
            <w:tcW w:type="dxa" w:w="244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Context Loader</w:t>
            </w:r>
          </w:p>
        </w:tc>
        <w:tc>
          <w:tcPr>
            <w:tcW w:type="dxa" w:w="432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Monta o contexto do item (repo + KB + ticket) e executa o warmup</w:t>
            </w:r>
          </w:p>
        </w:tc>
        <w:tc>
          <w:tcPr>
            <w:tcW w:type="dxa" w:w="129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CoE</w:t>
            </w:r>
          </w:p>
        </w:tc>
        <w:tc>
          <w:tcPr>
            <w:tcW w:type="dxa" w:w="72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1</w:t>
            </w:r>
          </w:p>
        </w:tc>
      </w:tr>
      <w:tr>
        <w:tc>
          <w:tcPr>
            <w:tcW w:type="dxa" w:w="244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Ambiente de Execução</w:t>
            </w:r>
          </w:p>
        </w:tc>
        <w:tc>
          <w:tcPr>
            <w:tcW w:type="dxa" w:w="432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Cursor + Salesforce DX/CLI + Git + sandboxes</w:t>
            </w:r>
          </w:p>
        </w:tc>
        <w:tc>
          <w:tcPr>
            <w:tcW w:type="dxa" w:w="129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CoE + TI</w:t>
            </w:r>
          </w:p>
        </w:tc>
        <w:tc>
          <w:tcPr>
            <w:tcW w:type="dxa" w:w="72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1</w:t>
            </w:r>
          </w:p>
        </w:tc>
      </w:tr>
      <w:tr>
        <w:tc>
          <w:tcPr>
            <w:tcW w:type="dxa" w:w="244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Telemetria</w:t>
            </w:r>
          </w:p>
        </w:tc>
        <w:tc>
          <w:tcPr>
            <w:tcW w:type="dxa" w:w="432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Uso de MCP/Skills, lead time, defeitos, aderência</w:t>
            </w:r>
          </w:p>
        </w:tc>
        <w:tc>
          <w:tcPr>
            <w:tcW w:type="dxa" w:w="129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CoE</w:t>
            </w:r>
          </w:p>
        </w:tc>
        <w:tc>
          <w:tcPr>
            <w:tcW w:type="dxa" w:w="72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3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19"/>
        </w:rPr>
        <w:t>A definir: A arquitetura das telas é cloud-native (Supabase, Kafka/NATS, BFF). Para o foco SF, adaptar os MCPs de integração para Salesforce DX, metadados e deploy. A variante custom reaproveita os mesmos papéis e processo.</w:t>
      </w:r>
    </w:p>
    <w:p>
      <w:r>
        <w:rPr>
          <w:rFonts w:ascii="Arial" w:hAnsi="Arial"/>
          <w:b/>
          <w:i w:val="0"/>
          <w:color w:val="1B3A5C"/>
          <w:sz w:val="28"/>
        </w:rPr>
        <w:t>4. Papéis e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211"/>
        <w:gridCol w:w="3211"/>
        <w:gridCol w:w="3211"/>
      </w:tblGrid>
      <w:tr>
        <w:tc>
          <w:tcPr>
            <w:tcW w:type="dxa" w:w="288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Papel</w:t>
            </w:r>
          </w:p>
        </w:tc>
        <w:tc>
          <w:tcPr>
            <w:tcW w:type="dxa" w:w="532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Responsabilidade</w:t>
            </w:r>
          </w:p>
        </w:tc>
        <w:tc>
          <w:tcPr>
            <w:tcW w:type="dxa" w:w="144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Gerente de Delivery da F. Agêntica</w:t>
            </w:r>
          </w:p>
        </w:tc>
        <w:tc>
          <w:tcPr>
            <w:tcW w:type="dxa" w:w="532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Performance global, evolução da stack, governança, conteúdo do bootcamp</w:t>
            </w:r>
          </w:p>
        </w:tc>
        <w:tc>
          <w:tcPr>
            <w:tcW w:type="dxa" w:w="144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Definir titular</w:t>
            </w:r>
          </w:p>
        </w:tc>
      </w:tr>
      <w:tr>
        <w:tc>
          <w:tcPr>
            <w:tcW w:type="dxa" w:w="288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CoE</w:t>
            </w:r>
          </w:p>
        </w:tc>
        <w:tc>
          <w:tcPr>
            <w:tcW w:type="dxa" w:w="532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Constrói MCPs/Skills, Context Loader, Knowledge Base, templates e conduz o bootcamp</w:t>
            </w:r>
          </w:p>
        </w:tc>
        <w:tc>
          <w:tcPr>
            <w:tcW w:type="dxa" w:w="144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Em estruturação</w:t>
            </w:r>
          </w:p>
        </w:tc>
      </w:tr>
      <w:tr>
        <w:tc>
          <w:tcPr>
            <w:tcW w:type="dxa" w:w="288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Champion AI (Arquiteto de Contexto)</w:t>
            </w:r>
          </w:p>
        </w:tc>
        <w:tc>
          <w:tcPr>
            <w:tcW w:type="dxa" w:w="532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Cria o contexto (cliente/programa/jornada), define granularidade, é a cola estratégia-execução</w:t>
            </w:r>
          </w:p>
        </w:tc>
        <w:tc>
          <w:tcPr>
            <w:tcW w:type="dxa" w:w="144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Definir titular</w:t>
            </w:r>
          </w:p>
        </w:tc>
      </w:tr>
      <w:tr>
        <w:tc>
          <w:tcPr>
            <w:tcW w:type="dxa" w:w="288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Engenheiros AI</w:t>
            </w:r>
          </w:p>
        </w:tc>
        <w:tc>
          <w:tcPr>
            <w:tcW w:type="dxa" w:w="532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Executam com contexto pré-carregado, usam MCPs/Skills, comitam e atualizam o board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Bootcamp a iniciar</w:t>
            </w:r>
          </w:p>
        </w:tc>
      </w:tr>
      <w:tr>
        <w:tc>
          <w:tcPr>
            <w:tcW w:type="dxa" w:w="288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Líder de FSW AI</w:t>
            </w:r>
          </w:p>
        </w:tc>
        <w:tc>
          <w:tcPr>
            <w:tcW w:type="dxa" w:w="532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Fluxo de trabalho, sincronização board-Git-execução, ritos, histórias context-ready</w:t>
            </w:r>
          </w:p>
        </w:tc>
        <w:tc>
          <w:tcPr>
            <w:tcW w:type="dxa" w:w="144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Definir titular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5. Plano de Implementação por Fases</w:t>
      </w:r>
    </w:p>
    <w:p>
      <w:r>
        <w:rPr>
          <w:rFonts w:ascii="Arial" w:hAnsi="Arial"/>
          <w:b w:val="0"/>
          <w:i w:val="0"/>
          <w:color w:val="1A1A1A"/>
          <w:sz w:val="20"/>
        </w:rPr>
        <w:t>Sequência em ondas, com prova de valor antes de escalar. Datas propostas, alinhadas ao roadmap do CoE (Fábrica Agêntica em Jul/2026).</w:t>
      </w:r>
    </w:p>
    <w:p>
      <w:r>
        <w:rPr>
          <w:rFonts w:ascii="Arial" w:hAnsi="Arial"/>
          <w:b/>
          <w:i w:val="0"/>
          <w:color w:val="1B3A5C"/>
          <w:sz w:val="24"/>
        </w:rPr>
        <w:t>Fase 0 - Decisões e fundação (Mai-Jun)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Fechar as decisões fundadoras (seção 8): engenheiro pessoa/agente, gates humanos, escopo do piloto.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Nomear Gerente de Delivery, Champion AI e Líder de FSW AI.</w:t>
      </w:r>
    </w:p>
    <w:p>
      <w:r>
        <w:rPr>
          <w:rFonts w:ascii="Arial" w:hAnsi="Arial"/>
          <w:b/>
          <w:i w:val="0"/>
          <w:color w:val="1B3A5C"/>
          <w:sz w:val="24"/>
        </w:rPr>
        <w:t>Fase 1 - Stack mínima viável (Jun)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Knowledge Base seed: 1 arquitetura de referência SF + guidelines + 3 templates.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3 MCPs/Skills seed: Engenharia, Governança e Contexto (versões mínimas).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Context Loader: spec + POC montando o contexto de 1 item real.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Ambiente: Cursor + Salesforce DX + Git + sandbox configurados.</w:t>
      </w:r>
    </w:p>
    <w:p>
      <w:r>
        <w:rPr>
          <w:rFonts w:ascii="Arial" w:hAnsi="Arial"/>
          <w:b/>
          <w:i w:val="0"/>
          <w:color w:val="1B3A5C"/>
          <w:sz w:val="24"/>
        </w:rPr>
        <w:t>Fase 2 - Bootcamp e piloto (Jul)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Bootcamp dos Engenheiros AI (seção 6).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Piloto em 1 projeto Salesforce de baixo risco: 1 Champion + 2 Engenheiros AI.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Gates humanos explícitos: PR obrigatório e verificação antes de concluir.</w:t>
      </w:r>
    </w:p>
    <w:p>
      <w:r>
        <w:rPr>
          <w:rFonts w:ascii="Arial" w:hAnsi="Arial"/>
          <w:b/>
          <w:i w:val="0"/>
          <w:color w:val="1B3A5C"/>
          <w:sz w:val="24"/>
        </w:rPr>
        <w:t>Fase 3 - Instrumentar e provar (Jul-Ago)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Telemetria ativa; baseline contra um projeto tradicional comparável.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Medir lead time, defeitos, retrabalho e custo por entrega - decidir escalar.</w:t>
      </w:r>
    </w:p>
    <w:p>
      <w:r>
        <w:rPr>
          <w:rFonts w:ascii="Arial" w:hAnsi="Arial"/>
          <w:b/>
          <w:i w:val="0"/>
          <w:color w:val="1B3A5C"/>
          <w:sz w:val="24"/>
        </w:rPr>
        <w:t>Fase 4 - Endurecer (Ago)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Segurança/LGPD do contexto, FinOps (custo por entrega), versionamento de MCP/Skill, cadência de feedback ao CoE.</w:t>
      </w:r>
    </w:p>
    <w:p>
      <w:r>
        <w:rPr>
          <w:rFonts w:ascii="Arial" w:hAnsi="Arial"/>
          <w:b/>
          <w:i w:val="0"/>
          <w:color w:val="1B3A5C"/>
          <w:sz w:val="24"/>
        </w:rPr>
        <w:t>Fase 5 - Escalar (Set+)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Ampliar catálogo de MCPs/Skills, capacitar mais engenheiros, codificar o playbook; QBR.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72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518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Entregável-chave</w:t>
            </w:r>
          </w:p>
        </w:tc>
        <w:tc>
          <w:tcPr>
            <w:tcW w:type="dxa" w:w="230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Responsável</w:t>
            </w:r>
          </w:p>
        </w:tc>
        <w:tc>
          <w:tcPr>
            <w:tcW w:type="dxa" w:w="144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Alvo</w:t>
            </w:r>
          </w:p>
        </w:tc>
      </w:tr>
      <w:tr>
        <w:tc>
          <w:tcPr>
            <w:tcW w:type="dxa" w:w="72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0</w:t>
            </w:r>
          </w:p>
        </w:tc>
        <w:tc>
          <w:tcPr>
            <w:tcW w:type="dxa" w:w="518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Decisões fechadas + papéis nomeados</w:t>
            </w:r>
          </w:p>
        </w:tc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Ana + Gerente Delivery</w:t>
            </w:r>
          </w:p>
        </w:tc>
        <w:tc>
          <w:tcPr>
            <w:tcW w:type="dxa" w:w="144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Mai-Jun</w:t>
            </w:r>
          </w:p>
        </w:tc>
      </w:tr>
      <w:tr>
        <w:tc>
          <w:tcPr>
            <w:tcW w:type="dxa" w:w="72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1</w:t>
            </w:r>
          </w:p>
        </w:tc>
        <w:tc>
          <w:tcPr>
            <w:tcW w:type="dxa" w:w="518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Stack mínima (KB + 3 MCPs + Context Loader + ambiente)</w:t>
            </w:r>
          </w:p>
        </w:tc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Jun</w:t>
            </w:r>
          </w:p>
        </w:tc>
      </w:tr>
      <w:tr>
        <w:tc>
          <w:tcPr>
            <w:tcW w:type="dxa" w:w="72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2</w:t>
            </w:r>
          </w:p>
        </w:tc>
        <w:tc>
          <w:tcPr>
            <w:tcW w:type="dxa" w:w="518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Bootcamp + piloto SF rodando com gates</w:t>
            </w:r>
          </w:p>
        </w:tc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Gerente Delivery + Champion</w:t>
            </w:r>
          </w:p>
        </w:tc>
        <w:tc>
          <w:tcPr>
            <w:tcW w:type="dxa" w:w="144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Jul</w:t>
            </w:r>
          </w:p>
        </w:tc>
      </w:tr>
      <w:tr>
        <w:tc>
          <w:tcPr>
            <w:tcW w:type="dxa" w:w="72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3</w:t>
            </w:r>
          </w:p>
        </w:tc>
        <w:tc>
          <w:tcPr>
            <w:tcW w:type="dxa" w:w="518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Métricas + prova de ROI vs baseline</w:t>
            </w:r>
          </w:p>
        </w:tc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Gerente Delivery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Jul-Ago</w:t>
            </w:r>
          </w:p>
        </w:tc>
      </w:tr>
      <w:tr>
        <w:tc>
          <w:tcPr>
            <w:tcW w:type="dxa" w:w="72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4</w:t>
            </w:r>
          </w:p>
        </w:tc>
        <w:tc>
          <w:tcPr>
            <w:tcW w:type="dxa" w:w="518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Stack endurecida (segurança, FinOps, versionamento)</w:t>
            </w:r>
          </w:p>
        </w:tc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CoE</w:t>
            </w:r>
          </w:p>
        </w:tc>
        <w:tc>
          <w:tcPr>
            <w:tcW w:type="dxa" w:w="144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Ago</w:t>
            </w:r>
          </w:p>
        </w:tc>
      </w:tr>
      <w:tr>
        <w:tc>
          <w:tcPr>
            <w:tcW w:type="dxa" w:w="72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5</w:t>
            </w:r>
          </w:p>
        </w:tc>
        <w:tc>
          <w:tcPr>
            <w:tcW w:type="dxa" w:w="518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Escala + playbook + QBR</w:t>
            </w:r>
          </w:p>
        </w:tc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Gerente Delivery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Set+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6. Capacitação e Coaching</w:t>
      </w:r>
    </w:p>
    <w:p>
      <w:r>
        <w:rPr>
          <w:rFonts w:ascii="Arial" w:hAnsi="Arial"/>
          <w:b/>
          <w:i w:val="0"/>
          <w:color w:val="1B3A5C"/>
          <w:sz w:val="24"/>
        </w:rPr>
        <w:t>6.1 Bootcamp dos Engenheiros AI (CoE + Gerente Delivery)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Fundamentos da fábrica agêntica: arquitetura, conceito de MCP/Skill, programação orientada a contexto.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Uso da stack: Cursor, Context Loader, execução em linguagem natural.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Prática guiada: criar componente SF via MCP, usar templates oficiais.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Governança e pipeline: PR padrão, quality gate, deploy.</w:t>
      </w:r>
    </w:p>
    <w:p>
      <w:r>
        <w:rPr>
          <w:rFonts w:ascii="Arial" w:hAnsi="Arial"/>
          <w:b/>
          <w:i w:val="0"/>
          <w:color w:val="1B3A5C"/>
          <w:sz w:val="24"/>
        </w:rPr>
        <w:t>6.2 Coaching (Champion AI)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Preparação do contexto: jornada, programa e arquitetura aplicada.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Execução inicial: seleção de histórias, uso correto dos MCPs/Skills, validação.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Acompanhamento: revisão de PRs, ajustes de contexto, correção de desvios.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Evolução da autonomia: aumentar a complexidade e reduzir a dependência do Champion.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Feedback para a stack: gaps identificados retroalimentam o CoE.</w:t>
      </w:r>
    </w:p>
    <w:p>
      <w:r>
        <w:rPr>
          <w:rFonts w:ascii="Arial" w:hAnsi="Arial"/>
          <w:b/>
          <w:i w:val="0"/>
          <w:color w:val="1B3A5C"/>
          <w:sz w:val="28"/>
        </w:rPr>
        <w:t>7. Métricas e Prova de Valor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211"/>
        <w:gridCol w:w="3211"/>
        <w:gridCol w:w="3211"/>
      </w:tblGrid>
      <w:tr>
        <w:tc>
          <w:tcPr>
            <w:tcW w:type="dxa" w:w="288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4752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Para que</w:t>
            </w:r>
          </w:p>
        </w:tc>
        <w:tc>
          <w:tcPr>
            <w:tcW w:type="dxa" w:w="2016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Meta inicial</w:t>
            </w:r>
          </w:p>
        </w:tc>
      </w:tr>
      <w:tr>
        <w:tc>
          <w:tcPr>
            <w:tcW w:type="dxa" w:w="288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Lead time por entrega</w:t>
            </w:r>
          </w:p>
        </w:tc>
        <w:tc>
          <w:tcPr>
            <w:tcW w:type="dxa" w:w="475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Velocidade ponta a ponta</w:t>
            </w:r>
          </w:p>
        </w:tc>
        <w:tc>
          <w:tcPr>
            <w:tcW w:type="dxa" w:w="2016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&lt; baseline tradicional</w:t>
            </w:r>
          </w:p>
        </w:tc>
      </w:tr>
      <w:tr>
        <w:tc>
          <w:tcPr>
            <w:tcW w:type="dxa" w:w="288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Defeitos escapados</w:t>
            </w:r>
          </w:p>
        </w:tc>
        <w:tc>
          <w:tcPr>
            <w:tcW w:type="dxa" w:w="475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Qualidade do código gerado</w:t>
            </w:r>
          </w:p>
        </w:tc>
        <w:tc>
          <w:tcPr>
            <w:tcW w:type="dxa" w:w="2016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&lt;= baseline</w:t>
            </w:r>
          </w:p>
        </w:tc>
      </w:tr>
      <w:tr>
        <w:tc>
          <w:tcPr>
            <w:tcW w:type="dxa" w:w="288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Taxa de retrabalho</w:t>
            </w:r>
          </w:p>
        </w:tc>
        <w:tc>
          <w:tcPr>
            <w:tcW w:type="dxa" w:w="475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Confiabilidade da stack</w:t>
            </w:r>
          </w:p>
        </w:tc>
        <w:tc>
          <w:tcPr>
            <w:tcW w:type="dxa" w:w="2016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&lt; 10%</w:t>
            </w:r>
          </w:p>
        </w:tc>
      </w:tr>
      <w:tr>
        <w:tc>
          <w:tcPr>
            <w:tcW w:type="dxa" w:w="288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Aderência aos padrões</w:t>
            </w:r>
          </w:p>
        </w:tc>
        <w:tc>
          <w:tcPr>
            <w:tcW w:type="dxa" w:w="475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Uso correto dos MCPs/Skills</w:t>
            </w:r>
          </w:p>
        </w:tc>
        <w:tc>
          <w:tcPr>
            <w:tcW w:type="dxa" w:w="2016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&gt;= 90%</w:t>
            </w:r>
          </w:p>
        </w:tc>
      </w:tr>
      <w:tr>
        <w:tc>
          <w:tcPr>
            <w:tcW w:type="dxa" w:w="288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Custo por entrega</w:t>
            </w:r>
          </w:p>
        </w:tc>
        <w:tc>
          <w:tcPr>
            <w:tcW w:type="dxa" w:w="475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FinOps da stack (tokens + infra)</w:t>
            </w:r>
          </w:p>
        </w:tc>
        <w:tc>
          <w:tcPr>
            <w:tcW w:type="dxa" w:w="2016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Mapear e controlar</w:t>
            </w:r>
          </w:p>
        </w:tc>
      </w:tr>
      <w:tr>
        <w:tc>
          <w:tcPr>
            <w:tcW w:type="dxa" w:w="288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Uso de MCP/Skills</w:t>
            </w:r>
          </w:p>
        </w:tc>
        <w:tc>
          <w:tcPr>
            <w:tcW w:type="dxa" w:w="475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Adoção da stack</w:t>
            </w:r>
          </w:p>
        </w:tc>
        <w:tc>
          <w:tcPr>
            <w:tcW w:type="dxa" w:w="2016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Crescente</w:t>
            </w:r>
          </w:p>
        </w:tc>
      </w:tr>
    </w:tbl>
    <w:p>
      <w:r>
        <w:rPr>
          <w:rFonts w:ascii="Arial" w:hAnsi="Arial"/>
          <w:b w:val="0"/>
          <w:i w:val="0"/>
          <w:color w:val="1A1A1A"/>
          <w:sz w:val="20"/>
        </w:rPr>
        <w:t>Princípio: medir desfecho (defeito, retrabalho) com mais peso que volume (PRs, linhas) - volume não é valor.</w:t>
      </w:r>
    </w:p>
    <w:p>
      <w:r>
        <w:rPr>
          <w:rFonts w:ascii="Arial" w:hAnsi="Arial"/>
          <w:b/>
          <w:i w:val="0"/>
          <w:color w:val="1B3A5C"/>
          <w:sz w:val="28"/>
        </w:rPr>
        <w:t>8. Decisões Fundadoras (em aberto)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6"/>
        <w:gridCol w:w="4816"/>
      </w:tblGrid>
      <w:tr>
        <w:tc>
          <w:tcPr>
            <w:tcW w:type="dxa" w:w="504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Decisão</w:t>
            </w:r>
          </w:p>
        </w:tc>
        <w:tc>
          <w:tcPr>
            <w:tcW w:type="dxa" w:w="460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Encaminhamento</w:t>
            </w:r>
          </w:p>
        </w:tc>
      </w:tr>
      <w:tr>
        <w:tc>
          <w:tcPr>
            <w:tcW w:type="dxa" w:w="504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Foco SF / custom / ambos</w:t>
            </w:r>
          </w:p>
        </w:tc>
        <w:tc>
          <w:tcPr>
            <w:tcW w:type="dxa" w:w="4608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Decidido: foco Salesforce (stack também atende custom)</w:t>
            </w:r>
          </w:p>
        </w:tc>
      </w:tr>
      <w:tr>
        <w:tc>
          <w:tcPr>
            <w:tcW w:type="dxa" w:w="504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Engenheiro AI = pessoa apoiada por IA ou agente autônomo</w:t>
            </w:r>
          </w:p>
        </w:tc>
        <w:tc>
          <w:tcPr>
            <w:tcW w:type="dxa" w:w="4608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Em aberto - definir antes do piloto</w:t>
            </w:r>
          </w:p>
        </w:tc>
      </w:tr>
      <w:tr>
        <w:tc>
          <w:tcPr>
            <w:tcW w:type="dxa" w:w="504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Gates humanos inegociáveis (PR + verificação antes de concluir)</w:t>
            </w:r>
          </w:p>
        </w:tc>
        <w:tc>
          <w:tcPr>
            <w:tcW w:type="dxa" w:w="4608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Em aberto - recomendado obrigatório</w:t>
            </w:r>
          </w:p>
        </w:tc>
      </w:tr>
      <w:tr>
        <w:tc>
          <w:tcPr>
            <w:tcW w:type="dxa" w:w="504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Reusar a governança da fábrica tradicional (DoR/DoD, F0-F5)</w:t>
            </w:r>
          </w:p>
        </w:tc>
        <w:tc>
          <w:tcPr>
            <w:tcW w:type="dxa" w:w="4608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Em aberto - recomendado sim</w:t>
            </w:r>
          </w:p>
        </w:tc>
      </w:tr>
      <w:tr>
        <w:tc>
          <w:tcPr>
            <w:tcW w:type="dxa" w:w="504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Champion: um por projeto, por programa ou compartilhado</w:t>
            </w:r>
          </w:p>
        </w:tc>
        <w:tc>
          <w:tcPr>
            <w:tcW w:type="dxa" w:w="4608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Em aberto - define a escala</w:t>
            </w:r>
          </w:p>
        </w:tc>
      </w:tr>
      <w:tr>
        <w:tc>
          <w:tcPr>
            <w:tcW w:type="dxa" w:w="504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Glossário: o que são SM AI, Stu AI e o warmup</w:t>
            </w:r>
          </w:p>
        </w:tc>
        <w:tc>
          <w:tcPr>
            <w:tcW w:type="dxa" w:w="4608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Em aberto - padronizar termos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9. Riscos e Pontos de Atenção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211"/>
        <w:gridCol w:w="3211"/>
        <w:gridCol w:w="3211"/>
      </w:tblGrid>
      <w:tr>
        <w:tc>
          <w:tcPr>
            <w:tcW w:type="dxa" w:w="388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Ponto</w:t>
            </w:r>
          </w:p>
        </w:tc>
        <w:tc>
          <w:tcPr>
            <w:tcW w:type="dxa" w:w="1296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446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Mitigação</w:t>
            </w:r>
          </w:p>
        </w:tc>
      </w:tr>
      <w:tr>
        <w:tc>
          <w:tcPr>
            <w:tcW w:type="dxa" w:w="388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Contexto ruim gera erro em escala</w:t>
            </w:r>
          </w:p>
        </w:tc>
        <w:tc>
          <w:tcPr>
            <w:tcW w:type="dxa" w:w="129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Risco</w:t>
            </w:r>
          </w:p>
        </w:tc>
        <w:tc>
          <w:tcPr>
            <w:tcW w:type="dxa" w:w="446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DoR de contexto + validação antes de executar</w:t>
            </w:r>
          </w:p>
        </w:tc>
      </w:tr>
      <w:tr>
        <w:tc>
          <w:tcPr>
            <w:tcW w:type="dxa" w:w="388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Champion vira gargalo</w:t>
            </w:r>
          </w:p>
        </w:tc>
        <w:tc>
          <w:tcPr>
            <w:tcW w:type="dxa" w:w="129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Risco</w:t>
            </w:r>
          </w:p>
        </w:tc>
        <w:tc>
          <w:tcPr>
            <w:tcW w:type="dxa" w:w="446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Definir escala do papel e reduzir dependência via coaching</w:t>
            </w:r>
          </w:p>
        </w:tc>
      </w:tr>
      <w:tr>
        <w:tc>
          <w:tcPr>
            <w:tcW w:type="dxa" w:w="388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Qualidade/verificação do código IA</w:t>
            </w:r>
          </w:p>
        </w:tc>
        <w:tc>
          <w:tcPr>
            <w:tcW w:type="dxa" w:w="129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Gap</w:t>
            </w:r>
          </w:p>
        </w:tc>
        <w:tc>
          <w:tcPr>
            <w:tcW w:type="dxa" w:w="446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Gerar e revisar testes; gate humano antes de concluir</w:t>
            </w:r>
          </w:p>
        </w:tc>
      </w:tr>
      <w:tr>
        <w:tc>
          <w:tcPr>
            <w:tcW w:type="dxa" w:w="388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Segurança/LGPD no contexto/prompt</w:t>
            </w:r>
          </w:p>
        </w:tc>
        <w:tc>
          <w:tcPr>
            <w:tcW w:type="dxa" w:w="129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Risco</w:t>
            </w:r>
          </w:p>
        </w:tc>
        <w:tc>
          <w:tcPr>
            <w:tcW w:type="dxa" w:w="446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Política de dados + proteção contra prompt injection</w:t>
            </w:r>
          </w:p>
        </w:tc>
      </w:tr>
      <w:tr>
        <w:tc>
          <w:tcPr>
            <w:tcW w:type="dxa" w:w="388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Custo da stack sem controle</w:t>
            </w:r>
          </w:p>
        </w:tc>
        <w:tc>
          <w:tcPr>
            <w:tcW w:type="dxa" w:w="129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Risco</w:t>
            </w:r>
          </w:p>
        </w:tc>
        <w:tc>
          <w:tcPr>
            <w:tcW w:type="dxa" w:w="446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FinOps: custo por entrega + guardrails de consumo</w:t>
            </w:r>
          </w:p>
        </w:tc>
      </w:tr>
      <w:tr>
        <w:tc>
          <w:tcPr>
            <w:tcW w:type="dxa" w:w="388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Lock-in e drift de modelo</w:t>
            </w:r>
          </w:p>
        </w:tc>
        <w:tc>
          <w:tcPr>
            <w:tcW w:type="dxa" w:w="129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Risco</w:t>
            </w:r>
          </w:p>
        </w:tc>
        <w:tc>
          <w:tcPr>
            <w:tcW w:type="dxa" w:w="446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Versionar prompts/skills + teste de regressão da stack</w:t>
            </w:r>
          </w:p>
        </w:tc>
      </w:tr>
      <w:tr>
        <w:tc>
          <w:tcPr>
            <w:tcW w:type="dxa" w:w="388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Métrica de volume incentiva o errado</w:t>
            </w:r>
          </w:p>
        </w:tc>
        <w:tc>
          <w:tcPr>
            <w:tcW w:type="dxa" w:w="129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Risco</w:t>
            </w:r>
          </w:p>
        </w:tc>
        <w:tc>
          <w:tcPr>
            <w:tcW w:type="dxa" w:w="446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Pesar desfecho (defeito/retrabalho) acima de volume</w:t>
            </w:r>
          </w:p>
        </w:tc>
      </w:tr>
      <w:tr>
        <w:tc>
          <w:tcPr>
            <w:tcW w:type="dxa" w:w="388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Stack cobre só F2-F4</w:t>
            </w:r>
          </w:p>
        </w:tc>
        <w:tc>
          <w:tcPr>
            <w:tcW w:type="dxa" w:w="129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Gap</w:t>
            </w:r>
          </w:p>
        </w:tc>
        <w:tc>
          <w:tcPr>
            <w:tcW w:type="dxa" w:w="446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Mapear onde vivem F0/F1 (intake) e F5 (KT/runbook)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10. Próximos Passos Imediatos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211"/>
        <w:gridCol w:w="3211"/>
        <w:gridCol w:w="3211"/>
      </w:tblGrid>
      <w:tr>
        <w:tc>
          <w:tcPr>
            <w:tcW w:type="dxa" w:w="576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76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Ação</w:t>
            </w:r>
          </w:p>
        </w:tc>
        <w:tc>
          <w:tcPr>
            <w:tcW w:type="dxa" w:w="230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576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1</w:t>
            </w:r>
          </w:p>
        </w:tc>
        <w:tc>
          <w:tcPr>
            <w:tcW w:type="dxa" w:w="67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Fechar as decisões fundadoras da seção 8</w:t>
            </w:r>
          </w:p>
        </w:tc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Ana + Gerente Delivery</w:t>
            </w:r>
          </w:p>
        </w:tc>
      </w:tr>
      <w:tr>
        <w:tc>
          <w:tcPr>
            <w:tcW w:type="dxa" w:w="576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2</w:t>
            </w:r>
          </w:p>
        </w:tc>
        <w:tc>
          <w:tcPr>
            <w:tcW w:type="dxa" w:w="676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Nomear Gerente de Delivery, Champion AI e Líder de FSW AI</w:t>
            </w:r>
          </w:p>
        </w:tc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Ana Lima</w:t>
            </w:r>
          </w:p>
        </w:tc>
      </w:tr>
      <w:tr>
        <w:tc>
          <w:tcPr>
            <w:tcW w:type="dxa" w:w="576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3</w:t>
            </w:r>
          </w:p>
        </w:tc>
        <w:tc>
          <w:tcPr>
            <w:tcW w:type="dxa" w:w="67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Definir o escopo do projeto-piloto Salesforce</w:t>
            </w:r>
          </w:p>
        </w:tc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Gerente Delivery</w:t>
            </w:r>
          </w:p>
        </w:tc>
      </w:tr>
      <w:tr>
        <w:tc>
          <w:tcPr>
            <w:tcW w:type="dxa" w:w="576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4</w:t>
            </w:r>
          </w:p>
        </w:tc>
        <w:tc>
          <w:tcPr>
            <w:tcW w:type="dxa" w:w="676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CoE inicia a Knowledge Base seed e os 3 MCPs/Skills</w:t>
            </w:r>
          </w:p>
        </w:tc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CoE</w:t>
            </w:r>
          </w:p>
        </w:tc>
      </w:tr>
      <w:tr>
        <w:tc>
          <w:tcPr>
            <w:tcW w:type="dxa" w:w="576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5</w:t>
            </w:r>
          </w:p>
        </w:tc>
        <w:tc>
          <w:tcPr>
            <w:tcW w:type="dxa" w:w="67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Especificar o Context Loader e rodar o POC</w:t>
            </w:r>
          </w:p>
        </w:tc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CoE</w:t>
            </w:r>
          </w:p>
        </w:tc>
      </w:tr>
    </w:tbl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