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F2342"/>
          <w:sz w:val="44"/>
        </w:rPr>
        <w:t>SysMap Fabric — Visão 1: Status Geral da Fábrica</w:t>
      </w:r>
    </w:p>
    <w:p>
      <w:r>
        <w:rPr>
          <w:color w:val="475569"/>
          <w:sz w:val="20"/>
        </w:rPr>
        <w:t>Fábrica Tradicional + Fábrica Agêntica  ·  Maio 2026  ·  Confidencial — SysMap Solutions</w:t>
      </w:r>
    </w:p>
    <w:p>
      <w:r>
        <w:rPr>
          <w:i/>
          <w:color w:val="475569"/>
          <w:sz w:val="18"/>
        </w:rPr>
        <w:t>Documento de referência interna e divulgação — consolida o status das frentes, o roadmap da fábrica agêntica e o backlog de decisões em aberto.</w:t>
      </w:r>
    </w:p>
    <w:p>
      <w:r>
        <w:rPr>
          <w:b/>
          <w:color w:val="1D4ED8"/>
          <w:sz w:val="30"/>
        </w:rPr>
        <w:t>1. Sumário Executivo</w:t>
      </w:r>
    </w:p>
    <w:p>
      <w:r>
        <w:rPr>
          <w:b w:val="0"/>
          <w:i w:val="0"/>
          <w:sz w:val="20"/>
        </w:rPr>
        <w:t>A SysMap Fabric organiza a operação Salesforce em duas dimensões complementares: a Fábrica Tradicional (entrega conduzida por pessoas — escopo fechado, evolutivos e AMS) e a Fábrica Agêntica (a mesma entrega via Programação Orientada a Contexto — stack de MCPs/Skills que empodera pessoas). Ambas compartilham a mesma governança, o mesmo Jira e o mesmo CoE.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662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Spec de configuração Jira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8"/>
              </w:rPr>
              <w:t>v1.2 revisada — pronta para configurar (restam campos do SSG)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Frentes da fábrica tradicional</w:t>
            </w:r>
          </w:p>
        </w:tc>
        <w:tc>
          <w:tcPr>
            <w:tcW w:type="dxa" w:w="6624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6 de 8 concluídas · 2 bloqueadas (SSG↔Jira, Calculadora)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Fábrica Agêntica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8"/>
              </w:rPr>
              <w:t>Protótipo existe (app de fluxo) — stack a estruturar; decisões fundadoras em aberto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CoE Salesforce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8"/>
              </w:rPr>
              <w:t>Estrutura oficial pronta — pendente nomear Domain Owner SF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Decisões no backlog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8"/>
              </w:rPr>
              <w:t>9 itens (P1/P2/P3) — ver seção 4</w:t>
            </w:r>
          </w:p>
        </w:tc>
      </w:tr>
    </w:tbl>
    <w:p>
      <w:r>
        <w:rPr>
          <w:b/>
          <w:color w:val="1D4ED8"/>
          <w:sz w:val="30"/>
        </w:rPr>
        <w:t>2. Fábrica Tradicional — Status das Frentes</w:t>
      </w:r>
    </w:p>
    <w:p>
      <w:r>
        <w:rPr>
          <w:b w:val="0"/>
          <w:i w:val="0"/>
          <w:sz w:val="20"/>
        </w:rPr>
        <w:t>Entrega conduzida por pessoas, governada pela estrutura Jira (spec v1.2), pelo Kit de Governança e pelo CoE. Modalidades: Escopo Fechado, Evolutivos e Sustentação/AMS.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Frente</w:t>
            </w:r>
          </w:p>
        </w:tc>
        <w:tc>
          <w:tcPr>
            <w:tcW w:type="dxa" w:w="388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Pendência principal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F1 · Estrutura Jira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spec-jira-sysmap-fabric-v1.2.docx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 (v1.2)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Campos do SSG (input externo)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F2 · Board Admin + Power BI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board-admin-jira-powerbi-v1.0.docx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Pronto p/ executar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Nayara configura · Ana conecta BI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F3 · CoE Salesforce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coe-sf-sysmap-v1.0 (docx + pptx)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Nomear Domain Owner SF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F4 · Kit de Governança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kit-governanca-jornadas-sharepoint-v1.0.docx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F5 · Jornada por Público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incluído no kit-gov seção 4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Design visual dashboards (ver 4.5)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F6 · Estrutura SharePoint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incluído no kit-gov seção 5</w:t>
            </w:r>
          </w:p>
        </w:tc>
        <w:tc>
          <w:tcPr>
            <w:tcW w:type="dxa" w:w="2016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Concluído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F7 · SSG ↔ Jira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decisões registradas · sem spec técnica</w:t>
            </w:r>
          </w:p>
        </w:tc>
        <w:tc>
          <w:tcPr>
            <w:tcW w:type="dxa" w:w="2016"/>
            <w:shd w:val="clear" w:fill="FEE2E2"/>
          </w:tcPr>
          <w:p>
            <w:r/>
            <w:r>
              <w:rPr>
                <w:b w:val="0"/>
                <w:color w:val="B91C1C"/>
                <w:sz w:val="18"/>
              </w:rPr>
              <w:t>🔴 Bloqueado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Levantar campos com área SSG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F8 · Calculadora de Estimativa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spec-jira v1.2 seção 5 (19 tipos)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Aguardando TL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Validar horas com TL + Arquiteto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Priorização (MoSCoW/WSJF)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decisão de intake registrada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Agendado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WSJF p/ sprints · evolutivos c/ cliente</w:t>
            </w:r>
          </w:p>
        </w:tc>
      </w:tr>
    </w:tbl>
    <w:p>
      <w:r>
        <w:rPr>
          <w:b/>
          <w:color w:val="1D4ED8"/>
          <w:sz w:val="30"/>
        </w:rPr>
        <w:t>3. Fábrica Agêntica — Status e Roadmap</w:t>
      </w:r>
    </w:p>
    <w:p>
      <w:r>
        <w:rPr>
          <w:b w:val="0"/>
          <w:i w:val="0"/>
          <w:sz w:val="20"/>
        </w:rPr>
        <w:t>Modelo: Programação Orientada a Contexto com implementação em linguagem natural. Não são "agentes autônomos" — é uma stack agêntica (Cursor + MCPs/Skills + Context Loader + Knowledge Base) que empodera pessoas. Fluxo Jira-cêntrico: o Engenheiro AI seleciona o card, o Context Loader monta o contexto, implementa no Cursor, comita no Git e atualiza o card. Já existe um protótipo (app de fluxo); o objetivo agora é estruturar para escalar.</w:t>
      </w:r>
    </w:p>
    <w:p>
      <w:r>
        <w:rPr>
          <w:b/>
          <w:i w:val="0"/>
          <w:color w:val="0F2342"/>
          <w:sz w:val="20"/>
        </w:rPr>
        <w:t>Papéis (organograma):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532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Responsabilidade</w:t>
            </w:r>
          </w:p>
        </w:tc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Gerente de Delivery da F. Agêntica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Performance global, evolução da stack, governança, conteúdo dos Engenheiros AI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Definir titular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CoE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Constrói MCPs/Skills, Context Loader, Knowledge Base, templates e bootcamp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🟡 Em estruturação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Champion AI (Arquiteto de Contexto)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Cria o contexto (cliente/programa/jornada), granularidade, 'cola' estratégia↔execução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Definir titular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Engenheiros AI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Executam com contexto pré-carregado, usam MCPs/Skills, comitam e atualizam o Jira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Bootcamp a iniciar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Líder de FSW AI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Fluxo de trabalho, sincronização Jira↔Git↔execução, ritos, histórias context-ready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Definir titular</w:t>
            </w:r>
          </w:p>
        </w:tc>
      </w:tr>
    </w:tbl>
    <w:p>
      <w:r>
        <w:rPr>
          <w:b/>
          <w:i w:val="0"/>
          <w:color w:val="0F2342"/>
          <w:sz w:val="20"/>
        </w:rPr>
        <w:t>Componentes da stack: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32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O que é</w:t>
            </w:r>
          </w:p>
        </w:tc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MCP/Skill Contexto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Docs de negócio e técnicos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construir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MCP/Skill Engenharia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Templates, geração de serviços, Backstage, Git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construir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MCP/Skill Governança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Pipeline DevSecOps, quality gate, design patterns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construir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Context Loader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Monta o contexto do card (repo + KB + ticket) — componente-chave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Sem spec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Knowledge Base Arquitetural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Padrões (microserviços, EDA, BFF, segurança), guidelines, templates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estruturar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Stack de execução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Cursor + Git + Supabase + Event Broker (Kafka/NATS) + pipeline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🟡 Protótipo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Telemetria / Dashboards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8"/>
              </w:rPr>
              <w:t>Uso de MCP/Skills, produtividade, aderência, lead time, defeitos</w:t>
            </w:r>
          </w:p>
        </w:tc>
        <w:tc>
          <w:tcPr>
            <w:tcW w:type="dxa" w:w="2016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⚠ A definir</w:t>
            </w:r>
          </w:p>
        </w:tc>
      </w:tr>
    </w:tbl>
    <w:p>
      <w:r>
        <w:rPr>
          <w:b/>
          <w:i w:val="0"/>
          <w:color w:val="B45309"/>
          <w:sz w:val="20"/>
        </w:rPr>
        <w:t>Gaps a estruturar (da revisão crítica):</w:t>
      </w:r>
    </w:p>
    <w:p>
      <w:pPr>
        <w:pStyle w:val="ListBullet"/>
      </w:pPr>
      <w:r>
        <w:rPr>
          <w:sz w:val="18"/>
        </w:rPr>
        <w:t>Decisões fundadoras: entrega SF/custom/ambos · Engenheiro = pessoa ou agente · gates humanos · reuso da governança tradicional.</w:t>
      </w:r>
    </w:p>
    <w:p>
      <w:pPr>
        <w:pStyle w:val="ListBullet"/>
      </w:pPr>
      <w:r>
        <w:rPr>
          <w:sz w:val="18"/>
        </w:rPr>
        <w:t>Spec do Context Loader (o que carrega, de onde, orçamento de tokens, frescor) — hoje é caixa-preta.</w:t>
      </w:r>
    </w:p>
    <w:p>
      <w:pPr>
        <w:pStyle w:val="ListBullet"/>
      </w:pPr>
      <w:r>
        <w:rPr>
          <w:sz w:val="18"/>
        </w:rPr>
        <w:t>Catálogo de MCPs/Skills com dono, versão e entradas/saídas — o ativo central ainda não existe.</w:t>
      </w:r>
    </w:p>
    <w:p>
      <w:pPr>
        <w:pStyle w:val="ListBullet"/>
      </w:pPr>
      <w:r>
        <w:rPr>
          <w:sz w:val="18"/>
        </w:rPr>
        <w:t>Camada de qualidade/verificação do código gerado por IA (testes, revisão, gate antes de auto-update do Jira).</w:t>
      </w:r>
    </w:p>
    <w:p>
      <w:pPr>
        <w:pStyle w:val="ListBullet"/>
      </w:pPr>
      <w:r>
        <w:rPr>
          <w:sz w:val="18"/>
        </w:rPr>
        <w:t>DoR de contexto: o que torna uma história 'context-ready' antes de executar.</w:t>
      </w:r>
    </w:p>
    <w:p>
      <w:pPr>
        <w:pStyle w:val="ListBullet"/>
      </w:pPr>
      <w:r>
        <w:rPr>
          <w:sz w:val="18"/>
        </w:rPr>
        <w:t>Segurança/LGPD do contexto (dados de cliente no prompt, prompt injection) e FinOps (custo/história, guardrails).</w:t>
      </w:r>
    </w:p>
    <w:p>
      <w:pPr>
        <w:pStyle w:val="ListBullet"/>
      </w:pPr>
      <w:r>
        <w:rPr>
          <w:sz w:val="18"/>
        </w:rPr>
        <w:t>Mapeamento ao ciclo F0–F5: a stack cobre F2–F4; falta onde vivem F0/F1 e F5.</w:t>
      </w:r>
    </w:p>
    <w:p>
      <w:r>
        <w:rPr>
          <w:b/>
          <w:color w:val="1D4ED8"/>
          <w:sz w:val="30"/>
        </w:rPr>
        <w:t>4. Pontos em Aberto &amp; Backlog de Decisões</w:t>
      </w:r>
    </w:p>
    <w:p>
      <w:r>
        <w:rPr>
          <w:b w:val="0"/>
          <w:i w:val="0"/>
          <w:sz w:val="20"/>
        </w:rPr>
        <w:t>O que precisamos fazer e divulgar internamente. Prioridade: P1 (bloqueia o 1º projeto) · P2 (importante) · P3 (melhoria).</w:t>
      </w:r>
    </w:p>
    <w:p>
      <w:r>
        <w:rPr>
          <w:b/>
          <w:color w:val="0F2342"/>
          <w:sz w:val="24"/>
        </w:rPr>
        <w:t>4.1 Decididos na v1.2 — confirmar com o responsável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4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74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Proposta aplicada</w:t>
            </w:r>
          </w:p>
        </w:tc>
        <w:tc>
          <w:tcPr>
            <w:tcW w:type="dxa" w:w="201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Confirmar com</w:t>
            </w:r>
          </w:p>
        </w:tc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Prio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Tipo de board no Jira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Projeto Scrum (habilita openSprints)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Nayara/Jira Admin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D-02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Project Key padrão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SSG+ID (ex: SSG47709)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Swimlanes do board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4: Upstream/Downstream/Overhead/Bugs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Ana + 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'Espaço' por cliente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Project Category no Jira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D-05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Overhead por tipo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Fechado 10% · Evol. 15% · AMS 20%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Tech Lead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D-06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Throughput conta o quê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Só US em F3–F5 (downstream)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Tech Lead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Horas custom vs nativo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Manter custom; desativar Time Tracking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Tech Lead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D-08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AMS board vs swimlane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≥3 tickets/sem → board próprio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Ana + Nayara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P3</w:t>
            </w:r>
          </w:p>
        </w:tc>
      </w:tr>
    </w:tbl>
    <w:p>
      <w:r>
        <w:rPr>
          <w:b/>
          <w:color w:val="0F2342"/>
          <w:sz w:val="24"/>
        </w:rPr>
        <w:t>4.2 Bloqueios — dependem de input externo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592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60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O que falta</w:t>
            </w:r>
          </w:p>
        </w:tc>
        <w:tc>
          <w:tcPr>
            <w:tcW w:type="dxa" w:w="172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Dono</w:t>
            </w:r>
          </w:p>
        </w:tc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Prio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B-01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Campos do SSG no Jira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Validar candidatos com área SSG (v1.2 já pré-propõe)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Ana + Área SSG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B-02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Validar calculadora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Sessão TL+Arquiteto nos 19 tipos (5 marcados Validar)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TL / Arquiteto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B-03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Sonar/SonarCloud p/ Apex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TI confirmar instância/custo (~USD 450/mês ou Community)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TL + TI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B-04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Integração SSG ↔ Jira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API disponível? Spec técnica ou SOP manual + trigger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Ana + TI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B-05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Padrão de quebra de tasks</w:t>
            </w:r>
          </w:p>
        </w:tc>
        <w:tc>
          <w:tcPr>
            <w:tcW w:type="dxa" w:w="4608"/>
          </w:tcPr>
          <w:p>
            <w:r/>
            <w:r>
              <w:rPr>
                <w:b w:val="0"/>
                <w:sz w:val="18"/>
              </w:rPr>
              <w:t>Granularidade real além do 'máx 8h'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TL + Squad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P3</w:t>
            </w:r>
          </w:p>
        </w:tc>
      </w:tr>
    </w:tbl>
    <w:p>
      <w:r>
        <w:rPr>
          <w:b/>
          <w:color w:val="0F2342"/>
          <w:sz w:val="24"/>
        </w:rPr>
        <w:t>4.3 Automações Jira — ordem de implementação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008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Automação</w:t>
            </w:r>
          </w:p>
        </w:tc>
        <w:tc>
          <w:tcPr>
            <w:tcW w:type="dxa" w:w="518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Prio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Bloquear → Done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se DoD Completo? = Falso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Bloquear → In QA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se PR não aprovado / não linkado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Alerta bug crítico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Bug GUT Crítico → e-mail DM + Ana (+ Teams/Slack)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Demais gates (Tab. 6–9)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checklist manual por coluna até automatizar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</w:tbl>
    <w:p>
      <w:r>
        <w:rPr>
          <w:b/>
          <w:color w:val="0F2342"/>
          <w:sz w:val="24"/>
        </w:rPr>
        <w:t>4.4 Pendências de confirmação factual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7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3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518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Pergunta</w:t>
            </w:r>
          </w:p>
        </w:tc>
        <w:tc>
          <w:tcPr>
            <w:tcW w:type="dxa" w:w="144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Dono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F-01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KPI '9 documentos'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Quais são os 9? Identificados 6 artefatos (5 docx + 1 pptx)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F-02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Aderência estimativa em AMS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8"/>
              </w:rPr>
              <w:t>AMS tem baseline de horas? Se sim, deveria medir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</w:tr>
    </w:tbl>
    <w:p>
      <w:r>
        <w:rPr>
          <w:b/>
          <w:color w:val="0F2342"/>
          <w:sz w:val="24"/>
        </w:rPr>
        <w:t>4.5 Resolvidos / reclassificados na revisão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576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Ponto aberto original (Tabela 19)</w:t>
            </w:r>
          </w:p>
        </w:tc>
        <w:tc>
          <w:tcPr>
            <w:tcW w:type="dxa" w:w="432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Novo status</w:t>
            </w:r>
          </w:p>
        </w:tc>
      </w:tr>
      <w:tr>
        <w:tc>
          <w:tcPr>
            <w:tcW w:type="dxa" w:w="5760"/>
          </w:tcPr>
          <w:p>
            <w:r/>
            <w:r>
              <w:rPr>
                <w:b w:val="0"/>
                <w:sz w:val="18"/>
              </w:rPr>
              <w:t>#9 — Campos do SharePoint por projeto</w:t>
            </w:r>
          </w:p>
        </w:tc>
        <w:tc>
          <w:tcPr>
            <w:tcW w:type="dxa" w:w="4320"/>
            <w:shd w:val="clear" w:fill="DCFCE7"/>
          </w:tcPr>
          <w:p>
            <w:r/>
            <w:r>
              <w:rPr>
                <w:b w:val="0"/>
                <w:color w:val="059669"/>
                <w:sz w:val="18"/>
              </w:rPr>
              <w:t>✅ Resolvido — kit-gov v1.0 seção 5</w:t>
            </w:r>
          </w:p>
        </w:tc>
      </w:tr>
      <w:tr>
        <w:tc>
          <w:tcPr>
            <w:tcW w:type="dxa" w:w="5760"/>
          </w:tcPr>
          <w:p>
            <w:r/>
            <w:r>
              <w:rPr>
                <w:b w:val="0"/>
                <w:sz w:val="18"/>
              </w:rPr>
              <w:t>#10 — Spec dos dashboards Power BI</w:t>
            </w:r>
          </w:p>
        </w:tc>
        <w:tc>
          <w:tcPr>
            <w:tcW w:type="dxa" w:w="4320"/>
            <w:shd w:val="clear" w:fill="FEF3C7"/>
          </w:tcPr>
          <w:p>
            <w:r/>
            <w:r>
              <w:rPr>
                <w:b w:val="0"/>
                <w:color w:val="B45309"/>
                <w:sz w:val="18"/>
              </w:rPr>
              <w:t>🟡 Parcial — falta design visual do dashboard cliente e executivo</w:t>
            </w:r>
          </w:p>
        </w:tc>
      </w:tr>
    </w:tbl>
    <w:p>
      <w:r>
        <w:rPr>
          <w:b/>
          <w:color w:val="1D4ED8"/>
          <w:sz w:val="30"/>
        </w:rPr>
        <w:t>5. Próximas Ações Críticas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57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90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216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1440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Prazo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Validar o backlog de 9 decisões da revisão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Hoje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Nayara configura o board admin Jira (6 épicos, ~45 stories)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Hoje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Nomear o Domain Owner SF do CoE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Sessão de validação da calculadora (19 tipos) com TL + Arquiteto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 + TL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Levantar campos do SSG com área responsável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Criar 21 campos no Jira + 3 automações MVP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Nayara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8"/>
              </w:rPr>
              <w:t>Iniciar spec da Fábrica Agêntica (5 agentes)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Ana Lima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Jun/2026</w:t>
            </w:r>
          </w:p>
        </w:tc>
      </w:tr>
    </w:tbl>
    <w:p>
      <w:r>
        <w:rPr>
          <w:b/>
          <w:color w:val="1D4ED8"/>
          <w:sz w:val="30"/>
        </w:rPr>
        <w:t>6. Cronograma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7776"/>
            <w:shd w:val="clear" w:fill="1D4ED8"/>
          </w:tcPr>
          <w:p>
            <w:r/>
            <w:r>
              <w:rPr>
                <w:b/>
                <w:color w:val="FFFFFF"/>
                <w:sz w:val="18"/>
              </w:rPr>
              <w:t>Marco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D1–D7 (concluído)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Decisões Jira, specs, CoE, Kit Governança e revisão v1.2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D8 (bloqueado)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SSG ↔ Jira e validação da calculadora — aguardam input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D9–D11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Board configurado · Power BI · go-live do modelo tradicional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Jun/2026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Padrões técnicos do CoE · SysMap University · spec dos agentes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Jul/2026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Fábrica Agêntica — 5 agentes (Demand/Setup/Dev/QA/AIOps)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Set/2026</w:t>
            </w:r>
          </w:p>
        </w:tc>
        <w:tc>
          <w:tcPr>
            <w:tcW w:type="dxa" w:w="7776"/>
          </w:tcPr>
          <w:p>
            <w:r/>
            <w:r>
              <w:rPr>
                <w:b w:val="0"/>
                <w:sz w:val="18"/>
              </w:rPr>
              <w:t>Escala · CoE as a Service (1º cliente) · QBR semestral</w:t>
            </w:r>
          </w:p>
        </w:tc>
      </w:tr>
    </w:tbl>
    <w:p/>
    <w:p>
      <w:r>
        <w:rPr>
          <w:color w:val="475569"/>
          <w:sz w:val="16"/>
        </w:rPr>
        <w:t>Confidencial — SysMap Solutions · SysMap Fabric · Status Geral · Mai 2026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