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rPr>
          <w:rFonts w:ascii="Arial" w:cs="Arial" w:eastAsia="Arial" w:hAnsi="Arial"/>
          <w:b/>
          <w:bCs/>
          <w:color w:val="1B3A5C"/>
          <w:sz w:val="64"/>
          <w:szCs w:val="64"/>
        </w:rPr>
        <w:t xml:space="preserve">SysMap Fabric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0D9488"/>
          <w:sz w:val="40"/>
          <w:szCs w:val="40"/>
        </w:rPr>
        <w:t xml:space="preserve">Especificação de Configuração Jira</w:t>
      </w:r>
    </w:p>
    <w:p>
      <w:pPr>
        <w:spacing w:after="0" w:before="8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Estrutura · Campos · Padrão de Escrita · Indicadores · Quality Gates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color w:val="64748B"/>
          <w:sz w:val="20"/>
          <w:szCs w:val="20"/>
        </w:rPr>
        <w:t>Versão 1.2  ·  Maio 2026  ·  Confidencial — SysMap Solutions</w:t>
      </w:r>
    </w:p>
    <w:p>
      <w:pPr>
        <w:spacing w:after="0" w:before="4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 xml:space="preserve">Documento em elaboração — pontos em aberto sinalizados com ⚠ A DEFINIR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Visão Geral do Modelo</w:t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Este documento especifica a estrutura completa do Jira para a SysMap Fabric — incluindo arquitetura de projetos, hierarquia de itens, campos customizados, padrão de escrita, quality gates e indicadores de agilidade. Serve como referência para configuração manual no Jira e para futuras automações.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1.1 Decisões de Arquitetura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Decisão</w:t>
            </w:r>
          </w:p>
        </w:tc>
        <w:tc>
          <w:tcPr>
            <w:tcW w:type="dxa" w:w="3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Escolha</w:t>
            </w:r>
          </w:p>
        </w:tc>
        <w:tc>
          <w:tcPr>
            <w:tcW w:type="dxa" w:w="33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Unidade base no Jira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Um projeto Jira por ID SSG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Separação upstream/downstream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4 swimlanes no mesmo board: Upstream / Downstream / Overhead / Bugs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Ciclo de entrega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Sprint 2 semanas — Scrumban (Kanban dentro da sprint)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Métrica de entrega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Throughput + Horas realizadas (sem story points)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WIP Limits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Só visualização por enquanto — sem bloqueio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Quality Gates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Bloqueio por coluna — regras explícitas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Card próprio (tipo Bug) vinculado à US — não subtask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Épico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 módulo/entrega + label semestral (ex: 2026-S1)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Overhead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Campo separado de horas de entrega + tipo item Overhead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Visibilidade do bug ao cliente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 criticidade GUT — regra definida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 xml:space="preserve">✅ Fechado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Estimativa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Calculadora por tipo de configuração Salesforce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97706"/>
                <w:sz w:val="19"/>
                <w:szCs w:val="19"/>
              </w:rPr>
              <w:t xml:space="preserve">⚠ A validar com TL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Campos do SSG no Jira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 levantar com área responsável pelo SSG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97706"/>
                <w:sz w:val="19"/>
                <w:szCs w:val="19"/>
              </w:rPr>
              <w:t xml:space="preserve">⚠ A definir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% padrão de overhead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10% fechado · 15% evolutivos · 20% AMS — sugerido v1.2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97706"/>
                <w:sz w:val="19"/>
                <w:szCs w:val="19"/>
              </w:rPr>
              <w:t>⚠ A confirmar com TL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Sonar / Quality Gate técnico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Bloqueia merge — Apex &lt; 75% e bug crítico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97706"/>
                <w:sz w:val="19"/>
                <w:szCs w:val="19"/>
              </w:rPr>
              <w:t xml:space="preserve">⚠ A validar viabilidade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Tipo de board no Jira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Projeto Scrum (habilita sprints/openSprints)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>✅ Fechado (v1.2)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Project Key padrão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SSG + dígitos do ID SSG (ex: SSG47709)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9"/>
                <w:szCs w:val="19"/>
              </w:rPr>
              <w:t>✅ Fechado (v1.2)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Arquitetura de Projetos Jira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2.1 Estrutura hierárquica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Cada projeto no SSG gera um projeto independente no Jira. O ID do SSG é o identificador do projeto Jira — garantindo rastreabilidade sem integração técnica.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3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Unidade</w:t>
            </w:r>
          </w:p>
        </w:tc>
        <w:tc>
          <w:tcPr>
            <w:tcW w:type="dxa" w:w="43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Exemplo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Project Category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Por cliente — agrupa os projetos (Jira Settings → Projects → Categories)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Claro / Vivo / TIM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Projeto Jira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 entrega SSG (1 projeto = 1 contrato)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SSG-47709 — Claro — Solar NMG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Épico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 módulo ou entrega principal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Módulo Oportunidades — 2026-S1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Por bloco funcional dentro do épico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Cadastro e Edição de Oportunidade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User Story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Unidade de valor entregável e testável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Como vendedor quero filtrar por stage...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Task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Unidade de trabalho técnico (máx 8h)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[APEX] Criar handler de validação CNPJ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Bug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Defeito — card próprio vinculado à US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BUG-CRÍTICO | Oportunidades — Erro ao salvar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Enabler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Trabalho técnico sem valor direto ao usuário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[CONFIG] Setup ambiente sandbox QA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Overhead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Atividade não prevista (reunião, suporte ad hoc)</w:t>
            </w:r>
          </w:p>
        </w:tc>
        <w:tc>
          <w:tcPr>
            <w:tcW w:type="dxa" w:w="4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Reunião extra alinhamento cliente 2h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2.2 Nomenclatura de projetos Jira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Formato do nome</w:t>
            </w:r>
          </w:p>
        </w:tc>
        <w:tc>
          <w:tcPr>
            <w:tcW w:type="dxa" w:w="33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Exemplo · Project Key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Escopo fechado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SSG-[ID] — [Cliente] — [Nome projeto]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SSG-47709 — Claro — Solar NMG  ·  Key: SSG47709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Evolutivos / backlog contínuo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SSG-[ID] — [Cliente] — Evolutivos [Ano]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SSG-47800 — Claro — Evolutivos 2026  ·  Key: SSG47800E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Sustentação / AMS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SSG-[ID] — [Cliente] — AMS [Ano]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SSG-47900 — Claro — AMS 2026  ·  Key: SSG47900A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Interno fábrica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FABRIC-INTERNO — [Área]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FABRIC-INTERNO — CoE SF  ·  Key: FABINTCOE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2.3 Boards — Swimlanes por projeto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Cada projeto de cliente é criado como tipo Scrum no Jira (para habilitar sprints e os JQLs com openSprints()). O board tem quatro swimlanes: UPSTREAM (F0–F2), DOWNSTREAM (F3–F5), OVERHEAD (todas) e BUGS (F3–F5). O cycle time é medido exclusivamente na swimlane DOWNSTREAM. A sprint de 2 semanas é o container de planejamento; o item flui pelo board via colunas de status (Scrumban).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Swimlane</w:t>
            </w:r>
          </w:p>
        </w:tc>
        <w:tc>
          <w:tcPr>
            <w:tcW w:type="dxa" w:w="2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Fases</w:t>
            </w:r>
          </w:p>
        </w:tc>
        <w:tc>
          <w:tcPr>
            <w:tcW w:type="dxa" w:w="51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Colunas</w:t>
            </w:r>
          </w:p>
        </w:tc>
      </w:tr>
      <w:tr>
        <w:tc>
          <w:tcPr>
            <w:tcW w:type="dxa" w:w="220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FEF3C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UPSTREAM</w:t>
            </w:r>
          </w:p>
        </w:tc>
        <w:tc>
          <w:tcPr>
            <w:tcW w:type="dxa" w:w="200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FEF3C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F0 · F1 · F2</w:t>
            </w:r>
          </w:p>
        </w:tc>
        <w:tc>
          <w:tcPr>
            <w:tcW w:type="dxa" w:w="516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FEF3C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Backlog → F0 Onboarding → F1 Intake &amp; Discovery → F2 Setup &amp; Plan. → Aceito</w:t>
            </w:r>
          </w:p>
        </w:tc>
      </w:tr>
      <w:tr>
        <w:tc>
          <w:tcPr>
            <w:tcW w:type="dxa" w:w="2200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0D948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DOWNSTREAM</w:t>
            </w:r>
          </w:p>
        </w:tc>
        <w:tc>
          <w:tcPr>
            <w:tcW w:type="dxa" w:w="2000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0D948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F3 · F4 · F5</w:t>
            </w:r>
          </w:p>
        </w:tc>
        <w:tc>
          <w:tcPr>
            <w:tcW w:type="dxa" w:w="5160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0D948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To Do → In Dev → In Review (PR) → In QA → UAT → Done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OVERHEAD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Todas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Overhead Registrado (lançamentos de horas não previstas)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BUGS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F3 · F4 · F5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Aberto → Em resolução → Aguardando validação → Resolvido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>⚠ A DEFINIR: Sustentação/AMS — board próprio ou swimlane no projeto do cliente. Critério sugerido v1.2: se o volume for ≥ 3 tickets AMS/semana, usar board próprio (melhor controle de SLA); se for pontual, usar swimlane no projeto do cliente. Confirmar com Ana Lima + Nayara.</w:t>
      </w:r>
      <w:r>
        <w:rPr>
          <w:rFonts w:ascii="Arial" w:cs="Arial" w:eastAsia="Arial" w:hAnsi="Arial"/>
          <w:color w:val="92400E"/>
          <w:sz w:val="20"/>
          <w:szCs w:val="20"/>
        </w:rPr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Campos Customizados — Configuração Jira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Estes campos devem ser criados manualmente no Jira em Project Settings → Fields. Após criados, associar aos tipos de item indicados e tornar obrigatórios conforme a coluna. Os campos #4 e #5 substituem o Time Tracking nativo do Jira — desative Story Points e Time Tracking nos tipos de item para evitar preenchimento duplo. No Power BI os campos custom chegam como customfield_NNNNN; renomeie no Power Query para os nomes legíveis desta tabela.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400"/>
        <w:gridCol w:w="1600"/>
        <w:gridCol w:w="1200"/>
        <w:gridCol w:w="2560"/>
      </w:tblGrid>
      <w:tr>
        <w:tc>
          <w:tcPr>
            <w:tcW w:type="dxa" w:w="4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Nome do campo</w:t>
            </w:r>
          </w:p>
        </w:tc>
        <w:tc>
          <w:tcPr>
            <w:tcW w:type="dxa" w:w="14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Aplica em</w:t>
            </w:r>
          </w:p>
        </w:tc>
        <w:tc>
          <w:tcPr>
            <w:tcW w:type="dxa" w:w="12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Obrigatório?</w:t>
            </w:r>
          </w:p>
        </w:tc>
        <w:tc>
          <w:tcPr>
            <w:tcW w:type="dxa" w:w="25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Valores / Observação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SSG ID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Texto curto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Épico / Projeto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Ex: SSG-47709 — espelhar do SSG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Fase da Fábrica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 / Task / 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>F0 / F1 / F2 / F3 / F4 / F5 — fase de execução do item (Bug: fase em que foi encontrado)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Tipo de Entrega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Épico / Projeto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Escopo Fechado / Evolutivo / Sustentação / AMS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Estimativa Original (h)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Número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 / Task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Horas — preenchido no planning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Horas Realizadas — Entrega (h)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Número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 / Task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 ao fechar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Horas de trabalho na entrega — excluir overhead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6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Horas Realizadas — Overhead (h)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Número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 / Task / Overhead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 ao fechar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Reuniões extras, suporte ad hoc, alinhamentos não previstos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7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Cobertura Apex %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Número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 (downstream)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 antes de Done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Preenchido pelo dev — mínimo 75% para mover para Done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8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Resultado UAT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>Sim em F4/F5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Aprovado / Reprovado / Pendente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9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Origem do Defeito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Dev / QA / PRD / Regressão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10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Criticidade GUT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Crítico (≥27) / Alto (18-26) / Médio (9-17) / Baixo (1-8)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11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Score GUT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Número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G×U×T — calculado pelo criador do bug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12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DoD Completo?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Checkbox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 antes de Done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Verdadeiro = pode ir para Done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13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Dentro do Escopo?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 / 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Sim / Não — precisa CR / Análise pendente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14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Visível ao Cliente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Sim — imediato (crítico) / Sim — weekly report / Não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15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Data de Resolução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Data/hora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 ao resolver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Para calcular MTTR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16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Comunicado em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Data/hora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 se visível ao cliente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Data/hora que o DM comunicou o cliente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17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Reaberto?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Checkbox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Bug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Verdadeiro = bug foi reaberto — para taxa de recorrência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18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Racional de Estimativa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Texto longo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Breakdown da calculadora — tipo de config + horas + fator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19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Label Semestral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Label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Épico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Ex: 2026-S1 / 2026-S2 — para agrupar por semestre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20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Cliente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Lista (select)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Projeto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6534"/>
                <w:sz w:val="17"/>
                <w:szCs w:val="17"/>
              </w:rPr>
              <w:t xml:space="preserve">Sim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Lista de clientes ativos — manter atualizada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21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Campos SSG (a definir)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>Vários — a definir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Projeto / Épico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⚠ A definir</w:t>
            </w:r>
          </w:p>
        </w:tc>
        <w:tc>
          <w:tcPr>
            <w:tcW w:type="dxa" w:w="2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>Candidatos: Custo previsto (R$), Receita prevista (R$), Baseline financeiro (R$), Margem prevista (%), Data contratual go-live, Tipo de contrato. Validar com área SSG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 xml:space="preserve">⚠ A DEFINIR: </w:t>
      </w:r>
      <w:r>
        <w:rPr>
          <w:rFonts w:ascii="Arial" w:cs="Arial" w:eastAsia="Arial" w:hAnsi="Arial"/>
          <w:color w:val="92400E"/>
          <w:sz w:val="20"/>
          <w:szCs w:val="20"/>
        </w:rPr>
        <w:t xml:space="preserve">Campos do SSG a espelhar no Jira: levantar com área responsável pelo SSG quais campos de custo previsto, receita prevista e baseline financeiro precisam aparecer no Jira para rastreabilidade.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Quality Gates — Regras de Bloqueio por Coluna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 regras abaixo devem ser configuradas como automações no Jira (Project Settings → Automation) ou enforçadas manualmente via checklist de coluna enquanto a automação não estiver ativa.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4.1 In Dev → In Review (PR)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Bloqueio?</w:t>
            </w:r>
          </w:p>
        </w:tc>
        <w:tc>
          <w:tcPr>
            <w:tcW w:type="dxa" w:w="2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Cobertura Apex % preenchida com valor ≥ 75%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Horas Realizadas — Entrega preenchidas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DoD Completo? = Verdadeiro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 criado no GitHub e linkado ao ticket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Horas realizadas dentro da estimativa — se excedeu, registrar desvio com racional (DM avalia se gera CR de escopo ou ajuste de estimativa)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 / DM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Racional de estimativa preenchido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🟡 Aviso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4.2 In Review → In QA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Bloqueio?</w:t>
            </w:r>
          </w:p>
        </w:tc>
        <w:tc>
          <w:tcPr>
            <w:tcW w:type="dxa" w:w="2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 aprovado por pelo menos 1 revisor (TL ou Arquiteto)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TL / Arquiteto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Sem conflitos de merge no GitHub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Deploy realizado no ambiente de destino (HML)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Cobertura Apex ≥ 75% confirmada no merge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TL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DM/PO revisou e aceitou a US antes de ir para QA (evita reabertura pós-Done)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DM / PO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4.3 In QA → UAT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Bloqueio?</w:t>
            </w:r>
          </w:p>
        </w:tc>
        <w:tc>
          <w:tcPr>
            <w:tcW w:type="dxa" w:w="2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bugs críticos (GUT ≥ 27) abertos vinculados à US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QA Lead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Cenários Given/When/Then todos executados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QA Lead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Relatório de testes preenchido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QA Lead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Bugs altos (GUT 18-26) com plano de resolução registrado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🟡 Aviso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QA Lead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4.4 UAT →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Bloqueio?</w:t>
            </w:r>
          </w:p>
        </w:tc>
        <w:tc>
          <w:tcPr>
            <w:tcW w:type="dxa" w:w="2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Resultado UAT = Aprovado (preenchido pelo DM)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DM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Zero bugs críticos abertos vinculados à US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DM / QA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Horas Realizadas — Entrega preenchidas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Dentro do Escopo? preenchido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DM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Cobertura Apex % preenchida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🔴 Bloqueia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Documentação técnica atualizada (se aplicável)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🟡 Aviso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 / TL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 xml:space="preserve">⚠ A DEFINIR: </w:t>
      </w:r>
      <w:r>
        <w:rPr>
          <w:rFonts w:ascii="Arial" w:cs="Arial" w:eastAsia="Arial" w:hAnsi="Arial"/>
          <w:color w:val="92400E"/>
          <w:sz w:val="20"/>
          <w:szCs w:val="20"/>
        </w:rPr>
        <w:t xml:space="preserve">Configurar as regras acima como automações no Jira (Project → Automation) — por enquanto aplicar manualmente via checklist de coluna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>⚠ A DEFINIR: Sonar / SonarCloud — o SonarCloud suporta Apex nativamente. Custo estimado ~USD 450/mês (até 100k LOC) ou SonarQube Community grátis (auto-hospedado, requer servidor). Validar com TI se já existe instância antes de bloquear o merge automaticamente.</w:t>
      </w:r>
      <w:r>
        <w:rPr>
          <w:rFonts w:ascii="Arial" w:cs="Arial" w:eastAsia="Arial" w:hAnsi="Arial"/>
          <w:color w:val="92400E"/>
          <w:sz w:val="20"/>
          <w:szCs w:val="20"/>
        </w:rPr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4.5 Regra de visibilidade do bug ao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500"/>
        <w:gridCol w:w="3560"/>
      </w:tblGrid>
      <w:tr>
        <w:tc>
          <w:tcPr>
            <w:tcW w:type="dxa" w:w="18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Criticidade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Score GUT</w:t>
            </w:r>
          </w:p>
        </w:tc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Visível ao cliente?</w:t>
            </w:r>
          </w:p>
        </w:tc>
        <w:tc>
          <w:tcPr>
            <w:tcW w:type="dxa" w:w="35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Canal e prazo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Crítico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≥ 27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Sim — comunicar imediatamente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DM comunica em até 2h após abertura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Alto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a 26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Sim — no weekly report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Inclui no relatório semanal com status e prazo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Médio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 a 17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Não — interno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Resolvido internamente sem comunicação formal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Baixo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a 8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Não — interno</w:t>
            </w:r>
          </w:p>
        </w:tc>
        <w:tc>
          <w:tcPr>
            <w:tcW w:type="dxa" w:w="3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Resolvido internamente sem comunicação formal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D97706"/>
          <w:sz w:val="20"/>
        </w:rPr>
        <w:t>⚠ A DEFINIR: Alerta de bug crítico (GUT ≥ 27) — configurar automação no Jira (Project → Automation): ao criar Bug com Criticidade GUT = Crítico, enviar e-mail ao Responsável (DM do projeto) + Ana Lima e, se disponível, postar no canal Teams/Slack #bugs-criticos. Sem isso, o prazo de 2h da seção 4.5 fica sem garantia.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Calculadora de Estimativa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estimativa é feita por tipo de configuração Salesforce. O responsável (Dev/TL) seleciona os tipos de trabalho da US, aplica o fator de complexidade e registra o total no campo Estimativa Original (h) com o racional no campo Racional de Estimativa.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 xml:space="preserve">⚠ A DEFINIR: </w:t>
      </w:r>
      <w:r>
        <w:rPr>
          <w:rFonts w:ascii="Arial" w:cs="Arial" w:eastAsia="Arial" w:hAnsi="Arial"/>
          <w:color w:val="92400E"/>
          <w:sz w:val="20"/>
          <w:szCs w:val="20"/>
        </w:rPr>
        <w:t xml:space="preserve">Validar a tabela de horas abaixo com o Tech Lead e Arquiteto — ajustar com base na realidade dos projetos SysMap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>⚠ A DEFINIR: Overhead padrão por tipo de projeto — sugerido v1.2: Escopo fechado 10% · Evolutivos 15% · Sustentação/AMS 20%. Confirmar percentuais com o Tech Lead.</w:t>
      </w:r>
      <w:r>
        <w:rPr>
          <w:rFonts w:ascii="Arial" w:cs="Arial" w:eastAsia="Arial" w:hAnsi="Arial"/>
          <w:color w:val="92400E"/>
          <w:sz w:val="20"/>
          <w:szCs w:val="20"/>
        </w:rPr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5.1 Tabela de referência por tipo de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300"/>
        <w:gridCol w:w="1300"/>
        <w:gridCol w:w="1300"/>
        <w:gridCol w:w="1160"/>
      </w:tblGrid>
      <w:tr>
        <w:tc>
          <w:tcPr>
            <w:tcW w:type="dxa" w:w="3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 de configuração</w:t>
            </w:r>
          </w:p>
        </w:tc>
        <w:tc>
          <w:tcPr>
            <w:tcW w:type="dxa" w:w="13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Baixa</w:t>
            </w:r>
          </w:p>
        </w:tc>
        <w:tc>
          <w:tcPr>
            <w:tcW w:type="dxa" w:w="13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13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Alta</w:t>
            </w:r>
          </w:p>
        </w:tc>
        <w:tc>
          <w:tcPr>
            <w:tcW w:type="dxa" w:w="13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Muito alta</w:t>
            </w:r>
          </w:p>
        </w:tc>
        <w:tc>
          <w:tcPr>
            <w:tcW w:type="dxa" w:w="11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Campo simples (text, number, picklist)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0,5h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Fórmula / Regra de validação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Flow simples (screen ou record-triggered)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Flow complexo / subflow / decision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24h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Apex class / trigger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>⚠ Validar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LWC componente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>⚠ Validar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Integração REST / SOAP / Platform Event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>⚠ Validar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Relatório / Dashboard Salesforce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Layout de página / App Builder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Permission Set / Profile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Objeto customizado completo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Deploy + validação (por entrega)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Code review (por PR)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Documentação técnica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Escrita de testes Apex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Experience Cloud (site + permissões)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>⚠ Validar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Agentforce / Prompt Builder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32h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>⚠ Validar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OmniScript / FlexCard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16h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32h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>⚠ Validar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CPQ — regra de preço / produto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8h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24h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—</w:t>
            </w:r>
          </w:p>
        </w:tc>
        <w:tc>
          <w:tcPr>
            <w:tcW w:type="dxa" w:w="1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6"/>
                <w:szCs w:val="16"/>
              </w:rPr>
              <w:t>⚠ Validar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5.2 Fatores de ajuste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360"/>
      </w:tblGrid>
      <w:tr>
        <w:tc>
          <w:tcPr>
            <w:tcW w:type="dxa" w:w="4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Fator</w:t>
            </w:r>
          </w:p>
        </w:tc>
        <w:tc>
          <w:tcPr>
            <w:tcW w:type="dxa" w:w="2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Multiplicador</w:t>
            </w:r>
          </w:p>
        </w:tc>
        <w:tc>
          <w:tcPr>
            <w:tcW w:type="dxa" w:w="33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Quando aplicar</w:t>
            </w:r>
          </w:p>
        </w:tc>
      </w:tr>
      <w:tr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Ambiente limpo / greenfield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1,0×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Projeto novo sem dados ou configurações existentes</w:t>
            </w:r>
          </w:p>
        </w:tc>
      </w:tr>
      <w:tr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Sistema existente com dados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1,3×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Há configurações existentes que podem ser afetadas</w:t>
            </w:r>
          </w:p>
        </w:tc>
      </w:tr>
      <w:tr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Integração com sistema legado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1,5×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API de terceiro, sistema on-premise, documentação incompleta</w:t>
            </w:r>
          </w:p>
        </w:tc>
      </w:tr>
      <w:tr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Alta criticidade de negócio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1,2×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Falha impacta operação crítica do cliente</w:t>
            </w:r>
          </w:p>
        </w:tc>
      </w:tr>
      <w:tr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Dev júnior no item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1,4×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Profissional em formação executando a task</w:t>
            </w:r>
          </w:p>
        </w:tc>
      </w:tr>
      <w:tr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Overhead padrão por US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+10/15/20%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8"/>
                <w:szCs w:val="18"/>
              </w:rPr>
              <w:t>Escopo fechado 10% · Evolutivos 15% · AMS 20% — sugerido v1.2, confirmar com TL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Padrão de Escrita — Templates por Tipo de Item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6.1 Épico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Formato / Instrução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Título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[CLIENTE] — [MÓDULO] — [SSG-ID] — [LABEL-SEMESTRAL]
Ex: Claro — Módulo Oportunidades — SSG-47709 — 2026-S1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Objetivo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O que este módulo/entrega representa para o negócio do cliente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Critérios de aceite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Lista de condições para o épico ser considerado concluído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Escopo dentro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Lista numerada do que está incluído no épico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Escopo fora (CR)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Lista do que NÃO está incluído — precisa de CR para incluir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SSG ID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Preencher com o ID do projeto no SSG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Label semestral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2026-S1 ou 2026-S2 — obrigatório para agrupamento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Tipo de Entrega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Escopo Fechado / Evolutivo / Sustentação / AMS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6.2 User 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Formato / Instrução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Título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Como [persona], quero [ação] para [benefício]
Ex: Como vendedor, quero filtrar oportunidades por stage para priorizar meu pipeline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Contexto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Situação atual e por que esta história é necessária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Critérios de aceite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Mínimo 1 cenário Given/When/Then por regra de negócio
DADO QUE [contexto] / QUANDO [ação] / ENTÃO [resultado]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Regras de negócio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Lista das regras que a US deve respeitar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Descrição — Fora do escopo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O que explicitamente NÃO será feito nesta US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Estimativa Original (h)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Total em horas — resultado da calculadora
Limite máximo por US: ⚠ A definir com TL (sugestão: ≤ 40h). Se maior, quebrar em duas US antes de entrar no sprint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Tamanho da US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A US deve caber em 1 sprint de 2 semanas. Se a estimativa ultrapassar o limite definido, quebrar antes do sprint planning — nunca entrar no sprint com US oversized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Racional de Estimativa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Breakdown: tipo de config + complexidade + fator + total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Fase da Fábrica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F0 a F5 — fase em que a US será executada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DoD Completo?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Marcar Verdadeiro somente quando todos critérios forem cumpridos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6.3 Task — Prefixos e Granularidade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Regra de granularidade: uma task = um tipo de trabalho + um responsável + máximo 8 horas. Se passar de 8h, quebrar em duas tasks.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Prefixo</w:t>
            </w:r>
          </w:p>
        </w:tc>
        <w:tc>
          <w:tcPr>
            <w:tcW w:type="dxa" w:w="3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 de trabalho</w:t>
            </w:r>
          </w:p>
        </w:tc>
        <w:tc>
          <w:tcPr>
            <w:tcW w:type="dxa" w:w="4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Exemplos de título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[CONFIG]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Configuração declarativa Salesforce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[CONFIG] Criar campo CNPJ no objeto Opportunity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[APEX]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Desenvolvimento Apex / triggers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[APEX] Criar classe OpportunityHandler — validação CNPJ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[FLOW]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Flow Builder / Process Builder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[FLOW] Construir flow de notificação ao gestor de vendas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[LWC]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Lightning Web Components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[LWC] Criar componente de busca de contas por CNPJ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[TEST]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Testes automatizados Apex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[TEST] Escrever testes Apex — classe OpportunityHandler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[QA]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Testes manuais / funcionais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[QA] Executar cenários G/W/T — filtro por stage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[DEPLOY]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Deploy e validação de ambiente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[DEPLOY] Deploy DEV → HML + smoke test módulo Oportunidades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[INTEG]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Integração com sistemas externos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[INTEG] Configurar callout REST para ERP SAP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[DOC]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Documentação técnica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[DOC] Atualizar SDD — seção Modelo de Dados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9488"/>
                <w:sz w:val="18"/>
                <w:szCs w:val="18"/>
              </w:rPr>
              <w:t xml:space="preserve">[OVERHEAD]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Atividade não prevista</w:t>
            </w:r>
          </w:p>
        </w:tc>
        <w:tc>
          <w:tcPr>
            <w:tcW w:type="dxa" w:w="4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[OVERHEAD] Reunião extra alinhamento cliente — 2h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6.4 Bug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Formato / Instrução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Título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[BUG-CRITICIDADE] | [ONDE] — [O QUE ACONTECE]
Ex: BUG-CRÍTICO | Oportunidades — Erro ao salvar sem Stage preenchido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Ambiente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DEV / HML / PRD — onde o bug foi encontrado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Fase da Fábrica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Fase em que o bug foi encontrado (F3/F4/F5)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US vinculada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>Usar Link Jira tipo 'is caused by' na US original (link nativo do Jira — não é campo custom)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Passos para reproduzir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Lista numerada — mínimo 3 passos para reproduzir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Resultado atual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O que acontece hoje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O que deveria acontecer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Evidência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Print / log / vídeo — obrigatório para bug crítico e alto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Score GUT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G × U × T — preencher os 3 valores e o total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Visível ao Cliente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Automático pela criticidade — confirmar antes de fechar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Dentro do Escopo?</w:t>
            </w:r>
          </w:p>
        </w:tc>
        <w:tc>
          <w:tcPr>
            <w:tcW w:type="dxa" w:w="6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8"/>
                <w:szCs w:val="18"/>
              </w:rPr>
              <w:t xml:space="preserve">Se Não, abrir CR antes de iniciar a resolução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Indicadores de Agilidade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Os indicadores abaixo são calculados a partir dos campos definidos neste documento. A fonte primária é o Jira — os dados são consumidos pelo Power BI para visualização.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7.1 Por tipo de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500"/>
        <w:gridCol w:w="1500"/>
        <w:gridCol w:w="2860"/>
      </w:tblGrid>
      <w:tr>
        <w:tc>
          <w:tcPr>
            <w:tcW w:type="dxa" w:w="24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Escopo fechado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Evolutivos</w:t>
            </w:r>
          </w:p>
        </w:tc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Sustentação/AMS</w:t>
            </w:r>
          </w:p>
        </w:tc>
        <w:tc>
          <w:tcPr>
            <w:tcW w:type="dxa" w:w="28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Fórmula / Fonte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Throughput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US Done / sprint de 2 semanas — Jira Sprint Report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Horas realizadas vs estimadas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Σ Campo #5 / Σ Campo #4 — Power BI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Cycle Time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Data Done − Data In Dev — Jira Control Chart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Lead Time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Data Done − Data criação — Jira Control Chart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Aderência à estimativa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(Estimado − Realizado) / Estimado × 100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Cobertura Apex 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Média campo #7 das US Done — Power BI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Taxa defeitos escapados PRD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Bugs PRD / US Done × 100 — JQL + Power BI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MTTR críticos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Σ (Campo #15 − Data abertura) / n bugs críticos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SLA cumprido 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Resolvidos no prazo / total × 100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Taxa de retrabalho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Bugs reabertos (campo #17) / total bugs × 100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Overhead 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Σ Campo #6 / (Σ Campo #5 + Σ Campo #6) × 100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Aging de itens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Dias sem movimentação — Jira + Power BI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7.2 JQL padrão — salvar como filtros no Jira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Nome do filtro</w:t>
            </w:r>
          </w:p>
        </w:tc>
        <w:tc>
          <w:tcPr>
            <w:tcW w:type="dxa" w:w="63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Query JQL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Sprint atual — projeto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sprint in openSprints()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US downstream — sprint atual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sprint in openSprints() AND "Fase da Fábrica" in (F3, F4, F5)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Bugs críticos abertos em PRD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issuetype = Bug AND "Criticidade GUT" = Crítico AND status != Done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Throughput — últimas 2 semanas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>project = "SSG-XXXXX" AND status changed to Done during (-14d, now()) AND issuetype = Story AND "Fase da Fábrica" in (F3, F4, F5)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Itens sem horas preenchidas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"Horas Realizadas — Entrega (h)" is EMPTY AND status = Done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Aging — parado há mais de 3 dias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status != Done AND updated &lt;= -3d AND sprint in openSprints()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Overhead da sprint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issuetype = Overhead AND sprint in openSprints()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Bugs visíveis ao cliente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6"/>
                <w:szCs w:val="16"/>
              </w:rPr>
              <w:t xml:space="preserve">project = "SSG-XXXXX" AND issuetype = Bug AND "Visível ao Cliente" in ("Sim — imediato", "Sim — weekly report")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D97706"/>
          <w:sz w:val="20"/>
          <w:szCs w:val="20"/>
        </w:rPr>
        <w:t xml:space="preserve">⚠ A DEFINIR: </w:t>
      </w:r>
      <w:r>
        <w:rPr>
          <w:rFonts w:ascii="Arial" w:cs="Arial" w:eastAsia="Arial" w:hAnsi="Arial"/>
          <w:color w:val="92400E"/>
          <w:sz w:val="20"/>
          <w:szCs w:val="20"/>
        </w:rPr>
        <w:t xml:space="preserve">Substituir SSG-XXXXX pelo ID real de cada projeto ao salvar o filtro no Jira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Pontos em Aberto — Próximas Revisões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Todos os itens abaixo precisam ser definidos e validados antes da configuração final do Jira. Cada item tem um responsável sugerido.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500"/>
        <w:gridCol w:w="2000"/>
        <w:gridCol w:w="1800"/>
        <w:gridCol w:w="1660"/>
      </w:tblGrid>
      <w:tr>
        <w:tc>
          <w:tcPr>
            <w:tcW w:type="dxa" w:w="4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Ponto em aberto</w:t>
            </w:r>
          </w:p>
        </w:tc>
        <w:tc>
          <w:tcPr>
            <w:tcW w:type="dxa" w:w="20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18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166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Campos do SSG a espelhar no Jira (ID, custo previsto, receita prevista, baseline, outros)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Rastreabilidade financeira SSG ↔ Jira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Ana Lima + Área SSG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Validar tabela de horas da calculadora com Tech Lead e Arquiteto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Qualidade das estimativas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TL / Arquiteto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Confirmar % de overhead padrão por US (sugestão: 10%)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Margem e custo real do projeto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Ana Lima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Viabilidade do Sonar/SonarCloud para Salesforce/Apex (custo, configuração)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Quality gate técnico automatizado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Tech Lead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Configurar automações de quality gate no Jira (Project → Automation)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Enforçamento das regras de bloqueio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Nayara + Jira Admin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6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Definir padrão de quebra de tasks com o squad (granularidade mínima real)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Clareza operacional do time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Tech Lead + Squad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7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Sustentação/AMS: board próprio ou swimlane no projeto do cliente?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Arquitetura de boards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Ana Lima + Nayara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Integração SSG ↔ Jira: API disponível ou processo manual? Spec técnica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Pipeline de oportunidades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Ana Lima + TI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 xml:space="preserve">A definir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9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Campos do SharePoint por projeto — estrutura de pastas mínima requerida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Organização de artefatos do projeto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Nayara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>✅ Resolvido — kit-gov v1.0 seção 5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10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Spec dos dashboards Power BI (cliente, gestão, diretoria)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4748B"/>
                <w:sz w:val="17"/>
                <w:szCs w:val="17"/>
              </w:rPr>
              <w:t xml:space="preserve">Relatórios e jornada por público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Ana Lima</w:t>
            </w:r>
          </w:p>
        </w:tc>
        <w:tc>
          <w:tcPr>
            <w:tcW w:type="dxa" w:w="1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97706"/>
                <w:sz w:val="17"/>
                <w:szCs w:val="17"/>
              </w:rPr>
              <w:t>🟡 Parcial — board-admin seção 2 + kit-gov seção 4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4748B"/>
          <w:sz w:val="18"/>
          <w:szCs w:val="18"/>
        </w:rPr>
        <w:t>Versão 1.2 — Correções aplicadas: (1) Swimlanes unificadas em 4 (Upstream/Downstream/Overhead/Bugs) e projetos definidos como tipo Scrum. (2) Project Category por cliente (antes 'Espaço Jira') e padrão de Project Key (SSG+ID). (3) Calculadora ampliada com Experience Cloud, Agentforce, OmniScript e CPQ. (4) Overhead por tipo (10/15/20%). (5) Nota sobre Time Tracking nativo vs campos custom e mapeamento no Power BI. (6) Automação de alerta de bug crítico. (7) Contexto de custo do SonarCloud. (8) Critério AMS board vs swimlane. (9) Correções de campo #2/#8/#21, gate de desvio de estimativa, link de bug e JQL de throughput. (10) Pontos #9 (SharePoint) e #10 (Power BI) atualizados como resolvido/parcial.   |   Versão 1.1 — Correções aplicadas: (1) Aceite do PO/DM adicionado como gate bloqueante em In Review → In QA, alinhado ao DoR/DoD do framework Salesforce. (2) Critério de tamanho máximo de US adicionado no template e no gate de In Dev → In Review — US oversized deve ser quebrada antes do sprint planning.</w:t>
      </w:r>
    </w:p>
    <w:sectPr>
      <w:headerReference w:type="default" r:id="rId7"/>
      <w:footerReference w:type="default" r:id="rId8"/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 w:before="6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64748B"/>
        <w:sz w:val="16"/>
        <w:szCs w:val="16"/>
      </w:rPr>
      <w:t xml:space="preserve">Confidencial — SysMap Solutions  |  Especificação Jira SysMap Fabric  |  v1.0  |  Mai 2026  |  Pág.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olor w:val="64748B"/>
        <w:sz w:val="16"/>
        <w:szCs w:val="16"/>
      </w:rPr>
      <w:t xml:space="preserve"> de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/>
        <w:left w:val="none"/>
        <w:bottom w:val="single" w:color="0D9488" w:sz="4"/>
        <w:right w:val="none"/>
        <w:insideH w:val="none"/>
        <w:insideV w:val="none"/>
      </w:tblBorders>
    </w:tblPr>
    <w:tblGrid>
      <w:gridCol w:w="6000"/>
      <w:gridCol w:w="3360"/>
    </w:tblGrid>
    <w:tr>
      <w:tc>
        <w:tcPr>
          <w:tcW w:type="dxa" w:w="6000"/>
          <w:tcBorders>
            <w:top w:val="single" w:color="FFFFFF" w:sz="4"/>
            <w:left w:val="single" w:color="FFFFFF" w:sz="4"/>
            <w:bottom w:val="single" w:color="FFFFFF" w:sz="4"/>
            <w:right w:val="single" w:color="FFFFFF" w:sz="4"/>
          </w:tcBorders>
          <w:shd w:fill="FFFFFF" w:color="auto" w:val="clear"/>
          <w:tcMar>
            <w:top w:type="dxa" w:w="80"/>
            <w:left w:type="dxa" w:w="120"/>
            <w:bottom w:type="dxa" w:w="80"/>
            <w:right w:type="dxa" w:w="120"/>
          </w:tcMar>
          <w:vAlign w:val="top"/>
        </w:tcPr>
        <w:p>
          <w:pPr>
            <w:spacing w:after="60" w:before="6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1B3A5C"/>
              <w:sz w:val="18"/>
              <w:szCs w:val="18"/>
            </w:rPr>
            <w:t xml:space="preserve">SysMap Fabric — Especificação Jira</w:t>
          </w:r>
        </w:p>
      </w:tc>
      <w:tc>
        <w:tcPr>
          <w:tcW w:type="dxa" w:w="3360"/>
          <w:tcBorders>
            <w:top w:val="single" w:color="FFFFFF" w:sz="4"/>
            <w:left w:val="single" w:color="FFFFFF" w:sz="4"/>
            <w:bottom w:val="single" w:color="FFFFFF" w:sz="4"/>
            <w:right w:val="single" w:color="FFFFFF" w:sz="4"/>
          </w:tcBorders>
          <w:shd w:fill="FFFFFF" w:color="auto" w:val="clear"/>
          <w:tcMar>
            <w:top w:type="dxa" w:w="80"/>
            <w:left w:type="dxa" w:w="120"/>
            <w:bottom w:type="dxa" w:w="80"/>
            <w:right w:type="dxa" w:w="120"/>
          </w:tcMar>
          <w:vAlign w:val="top"/>
        </w:tcPr>
        <w:p>
          <w:pPr>
            <w:spacing w:after="60" w:before="6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64748B"/>
              <w:sz w:val="16"/>
              <w:szCs w:val="16"/>
            </w:rPr>
            <w:t xml:space="preserve">Confidencial — SysMap Solutions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B3A5C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2026-05-21T02:57:49.914Z</dcterms:created>
  <dcterms:modified xsi:type="dcterms:W3CDTF">2026-05-21T02:57:49.927Z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