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1B3A5C"/>
          <w:sz w:val="56"/>
        </w:rPr>
        <w:t>SysMap Fabric</w:t>
      </w:r>
    </w:p>
    <w:p>
      <w:r>
        <w:rPr>
          <w:rFonts w:ascii="Arial" w:hAnsi="Arial"/>
          <w:b w:val="0"/>
          <w:i w:val="0"/>
          <w:color w:val="64748B"/>
          <w:sz w:val="32"/>
        </w:rPr>
        <w:t>Fábrica Agêntica - Guia de Início</w:t>
      </w:r>
    </w:p>
    <w:p>
      <w:r>
        <w:rPr>
          <w:rFonts w:ascii="Arial" w:hAnsi="Arial"/>
          <w:b w:val="0"/>
          <w:i w:val="0"/>
          <w:color w:val="64748B"/>
          <w:sz w:val="22"/>
        </w:rPr>
        <w:t>Por onde começar do zero - escopo fechado em Salesforce, passo a passo</w:t>
      </w:r>
    </w:p>
    <w:p>
      <w:r>
        <w:rPr>
          <w:rFonts w:ascii="Arial" w:hAnsi="Arial"/>
          <w:b w:val="0"/>
          <w:i w:val="0"/>
          <w:color w:val="64748B"/>
          <w:sz w:val="20"/>
        </w:rPr>
        <w:t>Versão 1.0  |  Maio 2026  |  Confidencial - SysMap Solutions</w:t>
      </w:r>
    </w:p>
    <w:p>
      <w:r>
        <w:rPr>
          <w:rFonts w:ascii="Arial" w:hAnsi="Arial"/>
          <w:b/>
          <w:i w:val="0"/>
          <w:color w:val="1B3A5C"/>
          <w:sz w:val="28"/>
        </w:rPr>
        <w:t>1. A regra de ouro</w:t>
      </w:r>
    </w:p>
    <w:p>
      <w:r>
        <w:rPr>
          <w:rFonts w:ascii="Arial" w:hAnsi="Arial"/>
          <w:b w:val="0"/>
          <w:i w:val="0"/>
          <w:color w:val="1A1A1A"/>
          <w:sz w:val="20"/>
        </w:rPr>
        <w:t>Não construa a plataforma no abstrato. Comece por UM projeto real pequeno. O erro mais comum é tentar montar toda a stack (todos os MCPs, Context Loader, Knowledge Base completa) antes de ter um projeto rodando. A fábrica nasce de dentro de um projeto real - você destila a stack a partir do que fez à mão, não o contrário.</w:t>
      </w:r>
    </w:p>
    <w:p>
      <w:r>
        <w:rPr>
          <w:rFonts w:ascii="Arial" w:hAnsi="Arial"/>
          <w:b/>
          <w:i w:val="0"/>
          <w:color w:val="1B3A5C"/>
          <w:sz w:val="19"/>
        </w:rPr>
        <w:t>Mentalidade: engatinhar, andar, correr. Primeiro 1 história funcionando; depois sistematizar.</w:t>
      </w:r>
    </w:p>
    <w:p>
      <w:r>
        <w:rPr>
          <w:rFonts w:ascii="Arial" w:hAnsi="Arial"/>
          <w:b/>
          <w:i w:val="0"/>
          <w:color w:val="1B3A5C"/>
          <w:sz w:val="28"/>
        </w:rPr>
        <w:t>2. Precisamos de um caso de uso primeiro? Sim.</w:t>
      </w:r>
    </w:p>
    <w:p>
      <w:r>
        <w:rPr>
          <w:rFonts w:ascii="Arial" w:hAnsi="Arial"/>
          <w:b w:val="0"/>
          <w:i w:val="0"/>
          <w:color w:val="1A1A1A"/>
          <w:sz w:val="20"/>
        </w:rPr>
        <w:t>O caso de uso piloto é o veículo de aprendizado. Sem ele, não há como saber que contexto, padrões e ferramentas a fábrica precisa. Escolha um projeto Salesforce de escopo fechado com estas características: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4816"/>
        <w:gridCol w:w="4816"/>
      </w:tblGrid>
      <w:tr>
        <w:tc>
          <w:tcPr>
            <w:tcW w:type="dxa" w:w="2160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Critério</w:t>
            </w:r>
          </w:p>
        </w:tc>
        <w:tc>
          <w:tcPr>
            <w:tcW w:type="dxa" w:w="7488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O que procurar</w:t>
            </w:r>
          </w:p>
        </w:tc>
      </w:tr>
      <w:tr>
        <w:tc>
          <w:tcPr>
            <w:tcW w:type="dxa" w:w="2160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Tamanho</w:t>
            </w:r>
          </w:p>
        </w:tc>
        <w:tc>
          <w:tcPr>
            <w:tcW w:type="dxa" w:w="748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Pequeno - 2 a 4 semanas de trabalho</w:t>
            </w:r>
          </w:p>
        </w:tc>
      </w:tr>
      <w:tr>
        <w:tc>
          <w:tcPr>
            <w:tcW w:type="dxa" w:w="2160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Risco</w:t>
            </w:r>
          </w:p>
        </w:tc>
        <w:tc>
          <w:tcPr>
            <w:tcW w:type="dxa" w:w="7488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Baixo - não pode ser crítico para o cliente</w:t>
            </w:r>
          </w:p>
        </w:tc>
      </w:tr>
      <w:tr>
        <w:tc>
          <w:tcPr>
            <w:tcW w:type="dxa" w:w="2160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Escopo</w:t>
            </w:r>
          </w:p>
        </w:tc>
        <w:tc>
          <w:tcPr>
            <w:tcW w:type="dxa" w:w="748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Fechado e claro - poucas histórias bem definidas</w:t>
            </w:r>
          </w:p>
        </w:tc>
      </w:tr>
      <w:tr>
        <w:tc>
          <w:tcPr>
            <w:tcW w:type="dxa" w:w="2160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Domínio</w:t>
            </w:r>
          </w:p>
        </w:tc>
        <w:tc>
          <w:tcPr>
            <w:tcW w:type="dxa" w:w="7488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Conhecido pelo time - evitar novidade dupla (negócio + ferramenta)</w:t>
            </w:r>
          </w:p>
        </w:tc>
      </w:tr>
      <w:tr>
        <w:tc>
          <w:tcPr>
            <w:tcW w:type="dxa" w:w="2160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Cliente</w:t>
            </w:r>
          </w:p>
        </w:tc>
        <w:tc>
          <w:tcPr>
            <w:tcW w:type="dxa" w:w="748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Interno ou um cliente parceiro/tolerante</w:t>
            </w:r>
          </w:p>
        </w:tc>
      </w:tr>
      <w:tr>
        <w:tc>
          <w:tcPr>
            <w:tcW w:type="dxa" w:w="2160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Tecnologia</w:t>
            </w:r>
          </w:p>
        </w:tc>
        <w:tc>
          <w:tcPr>
            <w:tcW w:type="dxa" w:w="7488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Salesforce declarativo + um pouco de Apex/LWC - sem integrações complexas</w:t>
            </w:r>
          </w:p>
        </w:tc>
      </w:tr>
    </w:tbl>
    <w:p>
      <w:r>
        <w:rPr>
          <w:rFonts w:ascii="Arial" w:hAnsi="Arial"/>
          <w:b/>
          <w:i w:val="0"/>
          <w:color w:val="1B3A5C"/>
          <w:sz w:val="19"/>
        </w:rPr>
        <w:t>Sugestão: comece por um módulo pequeno (ex.: um objeto com campos, validações, um Flow e um LWC simples).</w:t>
      </w:r>
    </w:p>
    <w:p>
      <w:r>
        <w:rPr>
          <w:rFonts w:ascii="Arial" w:hAnsi="Arial"/>
          <w:b/>
          <w:i w:val="0"/>
          <w:color w:val="1B3A5C"/>
          <w:sz w:val="28"/>
        </w:rPr>
        <w:t>3. As ferramentas (o que instalar e para que)</w:t>
      </w:r>
    </w:p>
    <w:p>
      <w:r>
        <w:rPr>
          <w:rFonts w:ascii="Arial" w:hAnsi="Arial"/>
          <w:b w:val="0"/>
          <w:i w:val="0"/>
          <w:color w:val="1A1A1A"/>
          <w:sz w:val="20"/>
        </w:rPr>
        <w:t>O conjunto mínimo para começar. Não precisa de tudo da arquitetura no dia 1.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211"/>
        <w:gridCol w:w="3211"/>
        <w:gridCol w:w="3211"/>
      </w:tblGrid>
      <w:tr>
        <w:tc>
          <w:tcPr>
            <w:tcW w:type="dxa" w:w="2160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Ferramenta</w:t>
            </w:r>
          </w:p>
        </w:tc>
        <w:tc>
          <w:tcPr>
            <w:tcW w:type="dxa" w:w="4320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Para que serve</w:t>
            </w:r>
          </w:p>
        </w:tc>
        <w:tc>
          <w:tcPr>
            <w:tcW w:type="dxa" w:w="3168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Como obter / custo</w:t>
            </w:r>
          </w:p>
        </w:tc>
      </w:tr>
      <w:tr>
        <w:tc>
          <w:tcPr>
            <w:tcW w:type="dxa" w:w="2160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Cursor</w:t>
            </w:r>
          </w:p>
        </w:tc>
        <w:tc>
          <w:tcPr>
            <w:tcW w:type="dxa" w:w="4320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Editor com IA onde o engenheiro escreve em linguagem natural e a IA gera o código</w:t>
            </w:r>
          </w:p>
        </w:tc>
        <w:tc>
          <w:tcPr>
            <w:tcW w:type="dxa" w:w="316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cursor.com - plano Pro ~US$20/mês por usuário</w:t>
            </w:r>
          </w:p>
        </w:tc>
      </w:tr>
      <w:tr>
        <w:tc>
          <w:tcPr>
            <w:tcW w:type="dxa" w:w="2160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Claude (modelo)</w:t>
            </w:r>
          </w:p>
        </w:tc>
        <w:tc>
          <w:tcPr>
            <w:tcW w:type="dxa" w:w="4320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O motor de IA. Começar com o Claude embutido no Cursor; API depois para automações</w:t>
            </w:r>
          </w:p>
        </w:tc>
        <w:tc>
          <w:tcPr>
            <w:tcW w:type="dxa" w:w="3168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Incluído no Cursor; API em console.anthropic.com</w:t>
            </w:r>
          </w:p>
        </w:tc>
      </w:tr>
      <w:tr>
        <w:tc>
          <w:tcPr>
            <w:tcW w:type="dxa" w:w="2160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Salesforce CLI (sf)</w:t>
            </w:r>
          </w:p>
        </w:tc>
        <w:tc>
          <w:tcPr>
            <w:tcW w:type="dxa" w:w="4320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Conectar na org, baixar/enviar metadados, rodar testes Apex</w:t>
            </w:r>
          </w:p>
        </w:tc>
        <w:tc>
          <w:tcPr>
            <w:tcW w:type="dxa" w:w="316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Gratuito - developer.salesforce.com/tools/salesforcecli</w:t>
            </w:r>
          </w:p>
        </w:tc>
      </w:tr>
      <w:tr>
        <w:tc>
          <w:tcPr>
            <w:tcW w:type="dxa" w:w="2160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Salesforce Extensions</w:t>
            </w:r>
          </w:p>
        </w:tc>
        <w:tc>
          <w:tcPr>
            <w:tcW w:type="dxa" w:w="4320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Plugins do Cursor/VS Code para trabalhar com SF</w:t>
            </w:r>
          </w:p>
        </w:tc>
        <w:tc>
          <w:tcPr>
            <w:tcW w:type="dxa" w:w="3168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Gratuito - marketplace</w:t>
            </w:r>
          </w:p>
        </w:tc>
      </w:tr>
      <w:tr>
        <w:tc>
          <w:tcPr>
            <w:tcW w:type="dxa" w:w="2160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Sandbox / Scratch Org</w:t>
            </w:r>
          </w:p>
        </w:tc>
        <w:tc>
          <w:tcPr>
            <w:tcW w:type="dxa" w:w="4320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Ambiente Salesforce de desenvolvimento isolado</w:t>
            </w:r>
          </w:p>
        </w:tc>
        <w:tc>
          <w:tcPr>
            <w:tcW w:type="dxa" w:w="316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Parte da licença SF / Dev Hub</w:t>
            </w:r>
          </w:p>
        </w:tc>
      </w:tr>
      <w:tr>
        <w:tc>
          <w:tcPr>
            <w:tcW w:type="dxa" w:w="2160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Git + GitHub</w:t>
            </w:r>
          </w:p>
        </w:tc>
        <w:tc>
          <w:tcPr>
            <w:tcW w:type="dxa" w:w="4320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Versionar o código e abrir Pull Requests</w:t>
            </w:r>
          </w:p>
        </w:tc>
        <w:tc>
          <w:tcPr>
            <w:tcW w:type="dxa" w:w="3168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GitHub - free/team</w:t>
            </w:r>
          </w:p>
        </w:tc>
      </w:tr>
      <w:tr>
        <w:tc>
          <w:tcPr>
            <w:tcW w:type="dxa" w:w="2160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Jira</w:t>
            </w:r>
          </w:p>
        </w:tc>
        <w:tc>
          <w:tcPr>
            <w:tcW w:type="dxa" w:w="4320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Card da história (já em uso na fábrica)</w:t>
            </w:r>
          </w:p>
        </w:tc>
        <w:tc>
          <w:tcPr>
            <w:tcW w:type="dxa" w:w="316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Já possuem</w:t>
            </w:r>
          </w:p>
        </w:tc>
      </w:tr>
      <w:tr>
        <w:tc>
          <w:tcPr>
            <w:tcW w:type="dxa" w:w="2160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Knowledge Base (início)</w:t>
            </w:r>
          </w:p>
        </w:tc>
        <w:tc>
          <w:tcPr>
            <w:tcW w:type="dxa" w:w="4320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Padrões e templates - comece como uma pasta /docs de arquivos markdown no repositório</w:t>
            </w:r>
          </w:p>
        </w:tc>
        <w:tc>
          <w:tcPr>
            <w:tcW w:type="dxa" w:w="3168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Sem custo - usar o próprio Git/SharePoint</w:t>
            </w:r>
          </w:p>
        </w:tc>
      </w:tr>
      <w:tr>
        <w:tc>
          <w:tcPr>
            <w:tcW w:type="dxa" w:w="2160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MCP servers</w:t>
            </w:r>
          </w:p>
        </w:tc>
        <w:tc>
          <w:tcPr>
            <w:tcW w:type="dxa" w:w="4320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Dão à IA acesso a ferramentas (ler arquivos, Git, rodar comandos). Começar com os prontos</w:t>
            </w:r>
          </w:p>
        </w:tc>
        <w:tc>
          <w:tcPr>
            <w:tcW w:type="dxa" w:w="3168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Open source; construir os próprios depois</w:t>
            </w:r>
          </w:p>
        </w:tc>
      </w:tr>
    </w:tbl>
    <w:p>
      <w:r>
        <w:rPr>
          <w:rFonts w:ascii="Arial" w:hAnsi="Arial"/>
          <w:b/>
          <w:i w:val="0"/>
          <w:color w:val="1B3A5C"/>
          <w:sz w:val="19"/>
        </w:rPr>
        <w:t>MCP em uma frase: é a tomada que conecta a IA às suas ferramentas e dados. No início, use os MCPs prontos (arquivos, Git). Construir MCPs próprios é fase posterior.</w:t>
      </w:r>
    </w:p>
    <w:p>
      <w:r>
        <w:rPr>
          <w:rFonts w:ascii="Arial" w:hAnsi="Arial"/>
          <w:b/>
          <w:i w:val="0"/>
          <w:color w:val="1B3A5C"/>
          <w:sz w:val="28"/>
        </w:rPr>
        <w:t>4. Por onde começar - as primeiras 3 semanas</w:t>
      </w:r>
    </w:p>
    <w:p>
      <w:r>
        <w:rPr>
          <w:rFonts w:ascii="Arial" w:hAnsi="Arial"/>
          <w:b/>
          <w:i w:val="0"/>
          <w:color w:val="1B3A5C"/>
          <w:sz w:val="24"/>
        </w:rPr>
        <w:t>Semana 0 - Preparar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Escolher o caso de uso piloto (seção 2).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Definir a dupla: 1 Champion (monta o contexto) + 1 Engenheiro AI (executa).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Instalar e conectar: Cursor, Salesforce CLI, sandbox, Git. Autenticar a org.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Criar o repositório com uma pasta /docs (a Knowledge Base inicial, vazia).</w:t>
      </w:r>
    </w:p>
    <w:p>
      <w:r>
        <w:rPr>
          <w:rFonts w:ascii="Arial" w:hAnsi="Arial"/>
          <w:b/>
          <w:i w:val="0"/>
          <w:color w:val="1B3A5C"/>
          <w:sz w:val="24"/>
        </w:rPr>
        <w:t>Semana 1 - A primeira história, à mão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Pegar UMA história simples do piloto e fazer ponta a ponta no Cursor (ver seção 5).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Revisão humana obrigatória do que a IA gerar. Rodar testes. Deploy na sandbox.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Anotar tudo: que contexto faltou, o que a IA errou, que padrão usamos.</w:t>
      </w:r>
    </w:p>
    <w:p>
      <w:r>
        <w:rPr>
          <w:rFonts w:ascii="Arial" w:hAnsi="Arial"/>
          <w:b/>
          <w:i w:val="0"/>
          <w:color w:val="1B3A5C"/>
          <w:sz w:val="24"/>
        </w:rPr>
        <w:t>Semana 2 - Repetir e observar padrões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Fazer mais 2 a 3 histórias da mesma forma.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Quando algo se repetir (um tipo de prompt, um template, uma checagem), anotar - é candidato a virar Skill/template.</w:t>
      </w:r>
    </w:p>
    <w:p>
      <w:r>
        <w:rPr>
          <w:rFonts w:ascii="Arial" w:hAnsi="Arial"/>
          <w:b/>
          <w:i w:val="0"/>
          <w:color w:val="1B3A5C"/>
          <w:sz w:val="24"/>
        </w:rPr>
        <w:t>Semana 3 - Destilar a stack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Transformar os padrões repetidos nos primeiros artefatos: 2 a 3 templates na Knowledge Base, um checklist de qualidade, um roteiro de prompt padrão.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Só agora começar a pensar em Context Loader e MCPs próprios - com base no que de fato repetiu.</w:t>
      </w:r>
    </w:p>
    <w:p>
      <w:r>
        <w:rPr>
          <w:rFonts w:ascii="Arial" w:hAnsi="Arial"/>
          <w:b/>
          <w:i w:val="0"/>
          <w:color w:val="1B3A5C"/>
          <w:sz w:val="28"/>
        </w:rPr>
        <w:t>5. A primeira história - passo a passo (exemplo Salesforce)</w:t>
      </w:r>
    </w:p>
    <w:p>
      <w:r>
        <w:rPr>
          <w:rFonts w:ascii="Arial" w:hAnsi="Arial"/>
          <w:b w:val="0"/>
          <w:i w:val="0"/>
          <w:color w:val="1A1A1A"/>
          <w:sz w:val="20"/>
        </w:rPr>
        <w:t>Exemplo concreto: 'Como vendedor, quero um campo CNPJ validado na Oportunidade'.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211"/>
        <w:gridCol w:w="3211"/>
        <w:gridCol w:w="3211"/>
      </w:tblGrid>
      <w:tr>
        <w:tc>
          <w:tcPr>
            <w:tcW w:type="dxa" w:w="576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7200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Passo</w:t>
            </w:r>
          </w:p>
        </w:tc>
        <w:tc>
          <w:tcPr>
            <w:tcW w:type="dxa" w:w="1872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Quem</w:t>
            </w:r>
          </w:p>
        </w:tc>
      </w:tr>
      <w:tr>
        <w:tc>
          <w:tcPr>
            <w:tcW w:type="dxa" w:w="576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1</w:t>
            </w:r>
          </w:p>
        </w:tc>
        <w:tc>
          <w:tcPr>
            <w:tcW w:type="dxa" w:w="7200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Champion monta o contexto num markdown: objeto Opportunity, regra do CNPJ, padrão de nomenclatura e um exemplo de validação existente</w:t>
            </w:r>
          </w:p>
        </w:tc>
        <w:tc>
          <w:tcPr>
            <w:tcW w:type="dxa" w:w="1872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Champion</w:t>
            </w:r>
          </w:p>
        </w:tc>
      </w:tr>
      <w:tr>
        <w:tc>
          <w:tcPr>
            <w:tcW w:type="dxa" w:w="576"/>
            <w:shd w:val="clear" w:fill="FFFFFF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2</w:t>
            </w:r>
          </w:p>
        </w:tc>
        <w:tc>
          <w:tcPr>
            <w:tcW w:type="dxa" w:w="7200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Engenheiro abre o Cursor no repositório SF (Salesforce DX), com a sandbox conectada</w:t>
            </w:r>
          </w:p>
        </w:tc>
        <w:tc>
          <w:tcPr>
            <w:tcW w:type="dxa" w:w="1872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Engenheiro</w:t>
            </w:r>
          </w:p>
        </w:tc>
      </w:tr>
      <w:tr>
        <w:tc>
          <w:tcPr>
            <w:tcW w:type="dxa" w:w="576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3</w:t>
            </w:r>
          </w:p>
        </w:tc>
        <w:tc>
          <w:tcPr>
            <w:tcW w:type="dxa" w:w="7200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Escreve um prompt estruturado: 'Com base nos padrões em /docs e no objeto Opportunity, crie o campo CNPJ (texto, 14), a Validation Rule de formato e o teste Apex, com cobertura &gt;=75%'</w:t>
            </w:r>
          </w:p>
        </w:tc>
        <w:tc>
          <w:tcPr>
            <w:tcW w:type="dxa" w:w="1872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Engenheiro</w:t>
            </w:r>
          </w:p>
        </w:tc>
      </w:tr>
      <w:tr>
        <w:tc>
          <w:tcPr>
            <w:tcW w:type="dxa" w:w="576"/>
            <w:shd w:val="clear" w:fill="FFFFFF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4</w:t>
            </w:r>
          </w:p>
        </w:tc>
        <w:tc>
          <w:tcPr>
            <w:tcW w:type="dxa" w:w="7200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O Cursor + Claude geram os metadados, a validação e o teste</w:t>
            </w:r>
          </w:p>
        </w:tc>
        <w:tc>
          <w:tcPr>
            <w:tcW w:type="dxa" w:w="1872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IA</w:t>
            </w:r>
          </w:p>
        </w:tc>
      </w:tr>
      <w:tr>
        <w:tc>
          <w:tcPr>
            <w:tcW w:type="dxa" w:w="576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5</w:t>
            </w:r>
          </w:p>
        </w:tc>
        <w:tc>
          <w:tcPr>
            <w:tcW w:type="dxa" w:w="7200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Engenheiro REVISA o que foi gerado (gate humano), roda os testes (sf apex run test) e faz deploy na sandbox (sf project deploy)</w:t>
            </w:r>
          </w:p>
        </w:tc>
        <w:tc>
          <w:tcPr>
            <w:tcW w:type="dxa" w:w="1872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Engenheiro</w:t>
            </w:r>
          </w:p>
        </w:tc>
      </w:tr>
      <w:tr>
        <w:tc>
          <w:tcPr>
            <w:tcW w:type="dxa" w:w="576"/>
            <w:shd w:val="clear" w:fill="FFFFFF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6</w:t>
            </w:r>
          </w:p>
        </w:tc>
        <w:tc>
          <w:tcPr>
            <w:tcW w:type="dxa" w:w="7200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Abre Pull Request no Git; TL revisa e confirma a cobertura</w:t>
            </w:r>
          </w:p>
        </w:tc>
        <w:tc>
          <w:tcPr>
            <w:tcW w:type="dxa" w:w="1872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Engenheiro + TL</w:t>
            </w:r>
          </w:p>
        </w:tc>
      </w:tr>
      <w:tr>
        <w:tc>
          <w:tcPr>
            <w:tcW w:type="dxa" w:w="576"/>
            <w:shd w:val="clear" w:fill="F9FAFB"/>
            <w:vAlign w:val="center"/>
          </w:tcPr>
          <w:p>
            <w:r>
              <w:rPr>
                <w:rFonts w:ascii="Arial" w:hAnsi="Arial"/>
                <w:b/>
                <w:i w:val="0"/>
                <w:color w:val="1B3A5C"/>
                <w:sz w:val="17"/>
              </w:rPr>
              <w:t>7</w:t>
            </w:r>
          </w:p>
        </w:tc>
        <w:tc>
          <w:tcPr>
            <w:tcW w:type="dxa" w:w="7200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Atualiza o card no Jira e anota o que faltou de contexto</w:t>
            </w:r>
          </w:p>
        </w:tc>
        <w:tc>
          <w:tcPr>
            <w:tcW w:type="dxa" w:w="1872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64748B"/>
                <w:sz w:val="17"/>
              </w:rPr>
              <w:t>Engenheiro</w:t>
            </w:r>
          </w:p>
        </w:tc>
      </w:tr>
    </w:tbl>
    <w:p>
      <w:r>
        <w:rPr>
          <w:rFonts w:ascii="Arial" w:hAnsi="Arial"/>
          <w:b/>
          <w:i w:val="0"/>
          <w:color w:val="1B3A5C"/>
          <w:sz w:val="19"/>
        </w:rPr>
        <w:t>O passo 7 é o mais importante no início: o que faltou de contexto vira melhoria do markdown - o embrião do Context Loader e da Knowledge Base.</w:t>
      </w:r>
    </w:p>
    <w:p>
      <w:r>
        <w:rPr>
          <w:rFonts w:ascii="Arial" w:hAnsi="Arial"/>
          <w:b/>
          <w:i w:val="0"/>
          <w:color w:val="1B3A5C"/>
          <w:sz w:val="28"/>
        </w:rPr>
        <w:t>6. Como a stack emerge (de cada história)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4816"/>
        <w:gridCol w:w="4816"/>
      </w:tblGrid>
      <w:tr>
        <w:tc>
          <w:tcPr>
            <w:tcW w:type="dxa" w:w="5184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O que você observa na história</w:t>
            </w:r>
          </w:p>
        </w:tc>
        <w:tc>
          <w:tcPr>
            <w:tcW w:type="dxa" w:w="4464"/>
            <w:shd w:val="clear" w:fill="1B3A5C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Vira o quê na fábrica</w:t>
            </w:r>
          </w:p>
        </w:tc>
      </w:tr>
      <w:tr>
        <w:tc>
          <w:tcPr>
            <w:tcW w:type="dxa" w:w="518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Que contexto o engenheiro teve que reunir à mão</w:t>
            </w:r>
          </w:p>
        </w:tc>
        <w:tc>
          <w:tcPr>
            <w:tcW w:type="dxa" w:w="446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Context Loader (o que carregar automaticamente)</w:t>
            </w:r>
          </w:p>
        </w:tc>
      </w:tr>
      <w:tr>
        <w:tc>
          <w:tcPr>
            <w:tcW w:type="dxa" w:w="518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Que padrão/template de código se repetiu</w:t>
            </w:r>
          </w:p>
        </w:tc>
        <w:tc>
          <w:tcPr>
            <w:tcW w:type="dxa" w:w="446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Knowledge Base + templates oficiais</w:t>
            </w:r>
          </w:p>
        </w:tc>
      </w:tr>
      <w:tr>
        <w:tc>
          <w:tcPr>
            <w:tcW w:type="dxa" w:w="518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Que checagem de qualidade fizemos</w:t>
            </w:r>
          </w:p>
        </w:tc>
        <w:tc>
          <w:tcPr>
            <w:tcW w:type="dxa" w:w="4464"/>
            <w:shd w:val="clear" w:fill="F9FAFB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MCP/Skill de Governança (quality gate)</w:t>
            </w:r>
          </w:p>
        </w:tc>
      </w:tr>
      <w:tr>
        <w:tc>
          <w:tcPr>
            <w:tcW w:type="dxa" w:w="518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Que comando técnico repetimos (deploy, testes)</w:t>
            </w:r>
          </w:p>
        </w:tc>
        <w:tc>
          <w:tcPr>
            <w:tcW w:type="dxa" w:w="4464"/>
            <w:shd w:val="clear" w:fill="FFFFFF"/>
            <w:vAlign w:val="center"/>
          </w:tcPr>
          <w:p>
            <w:r>
              <w:rPr>
                <w:rFonts w:ascii="Arial" w:hAnsi="Arial"/>
                <w:b w:val="0"/>
                <w:i w:val="0"/>
                <w:color w:val="1A1A1A"/>
                <w:sz w:val="18"/>
              </w:rPr>
              <w:t>MCP/Skill de Engenharia</w:t>
            </w:r>
          </w:p>
        </w:tc>
      </w:tr>
    </w:tbl>
    <w:p>
      <w:r>
        <w:rPr>
          <w:rFonts w:ascii="Arial" w:hAnsi="Arial"/>
          <w:b/>
          <w:i w:val="0"/>
          <w:color w:val="1B3A5C"/>
          <w:sz w:val="28"/>
        </w:rPr>
        <w:t>7. O que NÃO fazer agora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Não construir todos os MCPs próprios antes de ter um projeto rodando.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Não automatizar um passo que vocês ainda não fizeram bem à mão.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Não pular o gate humano - no início, toda saída da IA é revisada.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Não escolher um projeto crítico ou complexo como piloto.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Não tentar medir produtividade no piloto - o piloto é para aprender, não para bater meta.</w:t>
      </w:r>
    </w:p>
    <w:p>
      <w:r>
        <w:rPr>
          <w:rFonts w:ascii="Arial" w:hAnsi="Arial"/>
          <w:b/>
          <w:i w:val="0"/>
          <w:color w:val="1B3A5C"/>
          <w:sz w:val="28"/>
        </w:rPr>
        <w:t>8. Sinais de que estamos prontos para a próxima fase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3 a 5 histórias entregues com a stack mínima, com qualidade.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Um conjunto inicial de templates e padrões que se provou útil.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O time consegue repetir o fluxo sem o Champion segurar a mão o tempo todo.</w:t>
      </w:r>
    </w:p>
    <w:p>
      <w:pPr>
        <w:pStyle w:val="ListBullet"/>
      </w:pPr>
      <w:r>
        <w:rPr>
          <w:rFonts w:ascii="Arial" w:hAnsi="Arial"/>
          <w:b w:val="0"/>
          <w:i w:val="0"/>
          <w:color w:val="1A1A1A"/>
          <w:sz w:val="20"/>
        </w:rPr>
        <w:t>Métricas básicas coletadas (lead time, defeitos) para comparar com o baseline tradicional.</w:t>
      </w:r>
    </w:p>
    <w:p>
      <w:r>
        <w:rPr>
          <w:rFonts w:ascii="Arial" w:hAnsi="Arial"/>
          <w:b w:val="0"/>
          <w:i w:val="0"/>
          <w:color w:val="1A1A1A"/>
          <w:sz w:val="20"/>
        </w:rPr>
        <w:t>A partir daí, seguir o plano por fases do documento 00-plano-implementacao-fabrica-agentica (Fase 1 em diante): formalizar MCPs/Skills, Context Loader e telemetria.</w:t>
      </w:r>
    </w:p>
    <w:sectPr w:rsidR="00FC693F" w:rsidRPr="0006063C" w:rsidSect="00034616">
      <w:pgSz w:w="11909" w:h="16834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