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Fábrica Agêntica - Plano de Implementação</w:t>
      </w:r>
    </w:p>
    <w:p>
      <w:r>
        <w:rPr>
          <w:rFonts w:ascii="Arial" w:hAnsi="Arial"/>
          <w:b w:val="0"/>
          <w:i w:val="0"/>
          <w:color w:val="64748B"/>
          <w:sz w:val="22"/>
        </w:rPr>
        <w:t>Base: modelo SysMap (arquitetura, organograma e onboarding). Objetivo: instanciar para Salesforce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1.1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Visão Geral e Objetivo</w:t>
      </w:r>
    </w:p>
    <w:p>
      <w:r>
        <w:rPr>
          <w:rFonts w:ascii="Arial" w:hAnsi="Arial"/>
          <w:b w:val="0"/>
          <w:i w:val="0"/>
          <w:color w:val="1A1A1A"/>
          <w:sz w:val="20"/>
        </w:rPr>
        <w:t>Este plano parte do modelo da Fábrica de Software Agêntica da SysMap (documentado no app de fluxo e nas três telas: arquitetura, organograma e onboarding) e o usa como base para criar a Fábrica Agêntica Salesforce. O modelo é de Programação Orientada a Contexto com implementação em linguagem natural - uma stack (Cursor + MCPs/Skills + Context Loader + Knowledge Base) que empodera pessoas. A versão Salesforce mantém a mesma estrutura, papéis e processos, instanciando cada componente para o ecossistema SF.</w:t>
      </w:r>
    </w:p>
    <w:p>
      <w:r>
        <w:rPr>
          <w:rFonts w:ascii="Arial" w:hAnsi="Arial"/>
          <w:b/>
          <w:i w:val="0"/>
          <w:color w:val="1B3A5C"/>
          <w:sz w:val="28"/>
        </w:rPr>
        <w:t>2. Modelo Base - Fábrica Agêntica SysMap</w:t>
      </w:r>
    </w:p>
    <w:p>
      <w:r>
        <w:rPr>
          <w:rFonts w:ascii="Arial" w:hAnsi="Arial"/>
          <w:b w:val="0"/>
          <w:i w:val="0"/>
          <w:color w:val="1A1A1A"/>
          <w:sz w:val="20"/>
        </w:rPr>
        <w:t>Reproduzido fielmente das três telas. É o referencial que a versão Salesforce instancia.</w:t>
      </w:r>
    </w:p>
    <w:p>
      <w:r>
        <w:rPr>
          <w:rFonts w:ascii="Arial" w:hAnsi="Arial"/>
          <w:b/>
          <w:i w:val="0"/>
          <w:color w:val="1B3A5C"/>
          <w:sz w:val="24"/>
        </w:rPr>
        <w:t>2.1 Arquitetura (fluxo de ponta a ponta)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Entrada: Cliente / Projeto / Jornada alimenta o MCP/Skill de Contexto (docs de negócio e técnicos).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Primeiro Prompt Estruturador: (1) identifica os MCPs/Skills necessários; (2) executa o warmup do contexto.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Engenheiro AI seleciona o card no Jira, implementa no IDE Cursor (Dev/Setup), comita no Git e atualiza o card.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Camada técnica: Git (branch/PR/versionamento), SGBD via MCP (modelagem, functions/RPC), Event Broker (Kafka/NATS - EDA), Front MCP (BFF/Back).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Saída: DevSecOps conduz ao Deploy.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Retroalimentação: Telemetria da fábrica e dashboards (Produto e Stack AI) avaliam os indicadores e dão feedback para melhorar o contexto.</w:t>
      </w:r>
    </w:p>
    <w:p>
      <w:r>
        <w:rPr>
          <w:rFonts w:ascii="Arial" w:hAnsi="Arial"/>
          <w:b/>
          <w:i w:val="0"/>
          <w:color w:val="1B3A5C"/>
          <w:sz w:val="24"/>
        </w:rPr>
        <w:t>2.2 MCPs/Skills e Knowledge 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88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 no modelo base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Contexto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Docs de negócio e técnicos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Engenharia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Repositório técnico (Backstage) e repositório de código (Git); geração de serviços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Governança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Pipeline DevSecOps, Quality Gate, Design Patterns AI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Knowledge Base Arquitetural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de microserviços, arquitetura orientada a eventos, padrões BFF e Front, padrões FrontEnd, padrões de segurança, guidelines de código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4"/>
        </w:rPr>
        <w:t>2.3 Papéis (organograma)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88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no modelo base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 Delivery da F. Agêntica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Performance global, evolução da stack, governança, conteúdo dos Engenheiros AI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Constrói MCPs/Skills, Context Loader, Knowledge Base, templates; conduz o bootcamp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 AI (Arquiteto de Contexto)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Cria o contexto completo (cliente/programa/jornada), granularidade, cola estratégia-execução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Engenheiros AI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Executam com contexto pré-carregado, usam MCPs/Skills, comitam e atualizam o Jira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Líder de FSW AI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Fluxo de trabalho, sincronização Jira-Git-execução, ritos, histórias context-ready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SM AI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Avalia os indicadores da stack e dá feedback para melhoria de contexto (confirmar definição)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Stu AI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o card no Jira no fluxo (confirmar definição)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4"/>
        </w:rPr>
        <w:t>2.4 Processos de onboarding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Preparação da base (CoE): padrões arquiteturais &gt; construção de MCPs/Skills &gt; estruturação da Knowledge Base &gt; implementação do Context Loader &gt; publicação e versionamento.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Capacitação dos Engenheiros AI (bootcamp): fundamentos, uso da stack, prática guiada, governança e pipeline.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Coaching (Champion AI): preparação do contexto &gt; execução inicial &gt; acompanhamento das primeiras implementações &gt; evolução da autonomia &gt; feedback para a stack.</w:t>
      </w:r>
    </w:p>
    <w:p>
      <w:r>
        <w:rPr>
          <w:rFonts w:ascii="Arial" w:hAnsi="Arial"/>
          <w:b/>
          <w:i w:val="0"/>
          <w:color w:val="1B3A5C"/>
          <w:sz w:val="24"/>
        </w:rPr>
        <w:t>2.5 Telemetria e dashboards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Dashboard Produto: evolução, defeitos, lead time.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Dashboard Stack AI: uso de MCP/Skills, produtividade, aderência.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Repositório de métricas e telemetria: uso de MCP, uso de skills, código gerado, lead time, defeitos.</w:t>
      </w:r>
    </w:p>
    <w:p>
      <w:r>
        <w:rPr>
          <w:rFonts w:ascii="Arial" w:hAnsi="Arial"/>
          <w:b/>
          <w:i w:val="0"/>
          <w:color w:val="1B3A5C"/>
          <w:sz w:val="28"/>
        </w:rPr>
        <w:t>3. Instanciação para Salesforce</w:t>
      </w:r>
    </w:p>
    <w:p>
      <w:r>
        <w:rPr>
          <w:rFonts w:ascii="Arial" w:hAnsi="Arial"/>
          <w:b w:val="0"/>
          <w:i w:val="0"/>
          <w:color w:val="1A1A1A"/>
          <w:sz w:val="20"/>
        </w:rPr>
        <w:t>Cada componente do modelo base é traduzido para o ecossistema Salesforce. A estrutura, os papéis e os processos permanecem iguais.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374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 base (SysMap)</w:t>
            </w:r>
          </w:p>
        </w:tc>
        <w:tc>
          <w:tcPr>
            <w:tcW w:type="dxa" w:w="59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Instanciação Salesforce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IDE Cursor (Dev/Setup)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Cursor + extensões Salesforce / ferramentas Agentforce DX</w:t>
            </w:r>
          </w:p>
        </w:tc>
      </w:tr>
      <w:tr>
        <w:tc>
          <w:tcPr>
            <w:tcW w:type="dxa" w:w="37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de microserviços</w:t>
            </w:r>
          </w:p>
        </w:tc>
        <w:tc>
          <w:tcPr>
            <w:tcW w:type="dxa" w:w="59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de serviço Salesforce: Apex services, Configuration First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Arquitetura orientada a eventos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Platform Events e Change Data Capture (CDC)</w:t>
            </w:r>
          </w:p>
        </w:tc>
      </w:tr>
      <w:tr>
        <w:tc>
          <w:tcPr>
            <w:tcW w:type="dxa" w:w="37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BFF e Front / FrontEnd</w:t>
            </w:r>
          </w:p>
        </w:tc>
        <w:tc>
          <w:tcPr>
            <w:tcW w:type="dxa" w:w="59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LWC, Lightning Design System, Experience Cloud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de segurança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Security Model SF: OWD, Sharing, Profiles, Permission Sets</w:t>
            </w:r>
          </w:p>
        </w:tc>
      </w:tr>
      <w:tr>
        <w:tc>
          <w:tcPr>
            <w:tcW w:type="dxa" w:w="37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Guidelines de código</w:t>
            </w:r>
          </w:p>
        </w:tc>
        <w:tc>
          <w:tcPr>
            <w:tcW w:type="dxa" w:w="59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Guidelines Apex/LWC/Flow, cobertura, nomenclatura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 Engenharia (Backstage + Git)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Catálogo de componentes SF + Salesforce DX (sfdx) + Git; geração de Apex/LWC/Flow/metadados</w:t>
            </w:r>
          </w:p>
        </w:tc>
      </w:tr>
      <w:tr>
        <w:tc>
          <w:tcPr>
            <w:tcW w:type="dxa" w:w="37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 Governança (DevSecOps, Quality Gate)</w:t>
            </w:r>
          </w:p>
        </w:tc>
        <w:tc>
          <w:tcPr>
            <w:tcW w:type="dxa" w:w="59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CI/CD Salesforce (sfdx, scratch orgs/sandboxes), gate de cobertura &gt;=75%, análise estática (PMD/Apex), security review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SGBD via MCP (modelagem DB)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Modelo de dados Salesforce (objetos, campos) via Metadata API</w:t>
            </w:r>
          </w:p>
        </w:tc>
      </w:tr>
      <w:tr>
        <w:tc>
          <w:tcPr>
            <w:tcW w:type="dxa" w:w="374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Event Broker (Kafka/NATS)</w:t>
            </w:r>
          </w:p>
        </w:tc>
        <w:tc>
          <w:tcPr>
            <w:tcW w:type="dxa" w:w="59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Platform Events / CDC (nativo SF)</w:t>
            </w:r>
          </w:p>
        </w:tc>
      </w:tr>
      <w:tr>
        <w:tc>
          <w:tcPr>
            <w:tcW w:type="dxa" w:w="374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Deploy (DevSecOps)</w:t>
            </w:r>
          </w:p>
        </w:tc>
        <w:tc>
          <w:tcPr>
            <w:tcW w:type="dxa" w:w="59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sfdx deploy: sandbox &gt; UAT &gt; produção, com validação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A definir: Confirmar o IDE/assistente: Cursor puro ou combinado com Agentforce/DX. Define a integração dos MCPs com a plataforma Salesforce.</w:t>
      </w:r>
    </w:p>
    <w:p>
      <w:r>
        <w:rPr>
          <w:rFonts w:ascii="Arial" w:hAnsi="Arial"/>
          <w:b/>
          <w:i w:val="0"/>
          <w:color w:val="1B3A5C"/>
          <w:sz w:val="28"/>
        </w:rPr>
        <w:t>4. Componentes a Construir (Salesforce)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604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16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Dono</w:t>
            </w:r>
          </w:p>
        </w:tc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60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Knowledge Base SF (Configuration First, Apex, LWC, Flow, segurança, guidelines)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Contexto (docs negócio/técnicos do cliente)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Engenharia SF (geração de metadados/Apex/LWC, sfdx, Git)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Governança SF (quality gate, pipeline, design patterns)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Context Loader (monta contexto: repo + KB + ticket; executa warmup)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Ambiente de execução (Cursor + Salesforce DX + Git + sandboxes)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 + TI</w:t>
            </w:r>
          </w:p>
        </w:tc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</w:tr>
      <w:tr>
        <w:tc>
          <w:tcPr>
            <w:tcW w:type="dxa" w:w="60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Telemetria e dashboards (Produto + Stack AI)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CoE</w:t>
            </w:r>
          </w:p>
        </w:tc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5. Plano de Implementação por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518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Entregável-chave</w:t>
            </w:r>
          </w:p>
        </w:tc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144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Alvo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0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Decisões fundadoras fechadas + papéis nomeados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+ Gerente Delivery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Mai-Jun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 mínima SF (KB + 3 MCPs + Context Loader + ambiente)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Jun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2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Bootcamp + piloto Salesforce com gates humanos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 + Champion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Jul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Telemetria + prova de ROI vs baseline tradicional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Jul-Ago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4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Endurecer: segurança/LGPD, FinOps, versionamento de MCP/Skill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  <w:tc>
          <w:tcPr>
            <w:tcW w:type="dxa" w:w="144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Ago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5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Escalar: catálogo, mais engenheiros, playbook, QBR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Set+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6. Capacitação e Coaching</w:t>
      </w:r>
    </w:p>
    <w:p>
      <w:r>
        <w:rPr>
          <w:rFonts w:ascii="Arial" w:hAnsi="Arial"/>
          <w:b w:val="0"/>
          <w:i w:val="0"/>
          <w:color w:val="1A1A1A"/>
          <w:sz w:val="20"/>
        </w:rPr>
        <w:t>Seguem os dois processos de onboarding do modelo base, instanciados para SF.</w:t>
      </w:r>
    </w:p>
    <w:p>
      <w:r>
        <w:rPr>
          <w:rFonts w:ascii="Arial" w:hAnsi="Arial"/>
          <w:b/>
          <w:i w:val="0"/>
          <w:color w:val="1B3A5C"/>
          <w:sz w:val="24"/>
        </w:rPr>
        <w:t>6.1 Bootcamp dos Engenheiros AI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Fundamentos: arquitetura da fábrica, conceito de MCP/Skill, programação orientada a contexto.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Uso da stack: Cursor, Context Loader, execução em linguagem natural.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Prática guiada: gerar componente SF (Apex/LWC/Flow) via MCP, usar templates oficiais.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Governança e pipeline: PR padrão, quality gate (cobertura/security), deploy via sfdx.</w:t>
      </w:r>
    </w:p>
    <w:p>
      <w:r>
        <w:rPr>
          <w:rFonts w:ascii="Arial" w:hAnsi="Arial"/>
          <w:b/>
          <w:i w:val="0"/>
          <w:color w:val="1B3A5C"/>
          <w:sz w:val="24"/>
        </w:rPr>
        <w:t>6.2 Coaching (Champion AI)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Preparação do contexto: jornada, programa e arquitetura SF aplicada.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Execução inicial: seleção de histórias, uso correto dos MCPs/Skills, validação.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Acompanhamento: revisão de PRs, ajustes de contexto, correção de desvios.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Evolução da autonomia: aumentar complexidade e reduzir dependência do Champion.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Feedback para a stack: gaps retroalimentam o CoE.</w:t>
      </w:r>
    </w:p>
    <w:p>
      <w:r>
        <w:rPr>
          <w:rFonts w:ascii="Arial" w:hAnsi="Arial"/>
          <w:b/>
          <w:i w:val="0"/>
          <w:color w:val="1B3A5C"/>
          <w:sz w:val="28"/>
        </w:rPr>
        <w:t>7. Métricas e Prova de Valor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331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Indicador (do modelo base)</w:t>
            </w:r>
          </w:p>
        </w:tc>
        <w:tc>
          <w:tcPr>
            <w:tcW w:type="dxa" w:w="41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Aplicação Salesforce</w:t>
            </w:r>
          </w:p>
        </w:tc>
        <w:tc>
          <w:tcPr>
            <w:tcW w:type="dxa" w:w="216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inicial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Lead time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Por entrega SF, ponta a ponta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&lt; baseline tradicional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Defeitos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Bugs escapados em PRD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&lt;= baseline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Código gerado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Volume gerado vs revisado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Acompanhar (desfecho &gt; volume)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Uso de MCP/Skills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Adoção da stack por engenheiro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Crescente</w:t>
            </w:r>
          </w:p>
        </w:tc>
      </w:tr>
      <w:tr>
        <w:tc>
          <w:tcPr>
            <w:tcW w:type="dxa" w:w="331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Aderência</w:t>
            </w:r>
          </w:p>
        </w:tc>
        <w:tc>
          <w:tcPr>
            <w:tcW w:type="dxa" w:w="417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% itens seguindo padrões (governança MCP)</w:t>
            </w:r>
          </w:p>
        </w:tc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&gt;= 90%</w:t>
            </w:r>
          </w:p>
        </w:tc>
      </w:tr>
      <w:tr>
        <w:tc>
          <w:tcPr>
            <w:tcW w:type="dxa" w:w="331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Cobertura Apex</w:t>
            </w:r>
          </w:p>
        </w:tc>
        <w:tc>
          <w:tcPr>
            <w:tcW w:type="dxa" w:w="417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Qualidade do código gerado</w:t>
            </w:r>
          </w:p>
        </w:tc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&gt;= 75%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8. Decisões Fundadoras (em aberto)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475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Decisão</w:t>
            </w:r>
          </w:p>
        </w:tc>
        <w:tc>
          <w:tcPr>
            <w:tcW w:type="dxa" w:w="48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Encaminhamento</w:t>
            </w:r>
          </w:p>
        </w:tc>
      </w:tr>
      <w:tr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Foco SF / custom / ambos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Decidido: base SysMap instanciada para Salesforce (custom é variante posterior)</w:t>
            </w:r>
          </w:p>
        </w:tc>
      </w:tr>
      <w:tr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 AI = pessoa apoiada por IA ou agente autônomo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definir antes do piloto</w:t>
            </w:r>
          </w:p>
        </w:tc>
      </w:tr>
      <w:tr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Gates humanos (PR + verificação antes de concluir)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recomendado obrigatório</w:t>
            </w:r>
          </w:p>
        </w:tc>
      </w:tr>
      <w:tr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Reusar governança tradicional (DoR/DoD, F0-F5)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recomendado sim</w:t>
            </w:r>
          </w:p>
        </w:tc>
      </w:tr>
      <w:tr>
        <w:tc>
          <w:tcPr>
            <w:tcW w:type="dxa" w:w="475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Champion: um por projeto, programa ou compartilhado</w:t>
            </w:r>
          </w:p>
        </w:tc>
        <w:tc>
          <w:tcPr>
            <w:tcW w:type="dxa" w:w="489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define a escala</w:t>
            </w:r>
          </w:p>
        </w:tc>
      </w:tr>
      <w:tr>
        <w:tc>
          <w:tcPr>
            <w:tcW w:type="dxa" w:w="475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Definição de SM AI, Stu AI e do warmup</w:t>
            </w:r>
          </w:p>
        </w:tc>
        <w:tc>
          <w:tcPr>
            <w:tcW w:type="dxa" w:w="489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aberto - padronizar a partir do modelo base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9. Riscos e Pontos de Atenção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388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Ponto</w:t>
            </w:r>
          </w:p>
        </w:tc>
        <w:tc>
          <w:tcPr>
            <w:tcW w:type="dxa" w:w="12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46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Contexto ruim gera erro em escala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DoR de contexto + validação antes de executar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 vira gargalo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Definir escala do papel e reduzir dependência via coaching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Verificação do código gerado por IA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Gap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Gerar e revisar testes; gate humano antes de concluir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Segurança/LGPD no contexto/prompt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Política de dados + proteção contra prompt injection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Custo da stack sem controle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Risco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FinOps: custo por entrega + guardrails</w:t>
            </w:r>
          </w:p>
        </w:tc>
      </w:tr>
      <w:tr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Stack do modelo base é cloud-native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Atenção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Instanciar MCPs de dados/eventos para Platform Events/Metadata API (SF)</w:t>
            </w:r>
          </w:p>
        </w:tc>
      </w:tr>
      <w:tr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Cobertura do ciclo F0-F5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Gap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Mapear onde vivem F0/F1 (intake) e F5 (KT/runbook)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10. Próximos Passos Imediatos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5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230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Fechar as decisões fundadoras (seção 8)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+ Gerente Delivery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2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Nomear Gerente de Delivery, Champion AI e Líder de FSW AI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Ana Lima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Definir o escopo do projeto-piloto Salesforce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Gerente Delivery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4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 inicia a Knowledge Base SF e os 3 MCPs/Skills</w:t>
            </w:r>
          </w:p>
        </w:tc>
        <w:tc>
          <w:tcPr>
            <w:tcW w:type="dxa" w:w="230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5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Especificar o Context Loader e rodar o POC</w:t>
            </w:r>
          </w:p>
        </w:tc>
        <w:tc>
          <w:tcPr>
            <w:tcW w:type="dxa" w:w="230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CoE</w:t>
            </w:r>
          </w:p>
        </w:tc>
      </w:tr>
    </w:tbl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