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AM Temas Presupuestales</w:t>
      </w:r>
      <w:r>
        <w:br/>
      </w:r>
      <w:r>
        <w:t xml:space="preserve">Región </w:t>
      </w:r>
      <w:r>
        <w:t>Cajamarca</w:t>
      </w:r>
      <w:r>
        <w:br/>
      </w:r>
      <w:r>
        <w:t>21-09-21</w:t>
      </w:r>
    </w:p>
    <w:p>
      <w:pPr>
        <w:pStyle w:val="Ttulo1"/>
      </w:pPr>
      <w:r>
        <w:t>1. Financiamiento de plazas 2021</w:t>
      </w:r>
    </w:p>
    <w:p>
      <w:pPr>
        <w:pStyle w:val="Listaconvietas"/>
      </w:pPr>
      <w:r>
        <w:t xml:space="preserve">A través del DS 078-2021-EF, se financiaron </w:t>
      </w:r>
      <w:r>
        <w:t>XXX</w:t>
      </w:r>
      <w:r>
        <w:t xml:space="preserve"> plazas de docentes de aula en el marco de los resultados del proceso de racionalización 2020 en servicios educativos públicos de la región </w:t>
      </w:r>
      <w:r>
        <w:t>Cajamarca</w:t>
      </w:r>
      <w:r>
        <w:t xml:space="preserve"> con la siguiente distribución por UGEL:</w:t>
      </w:r>
    </w:p>
    <w:p>
      <w:pPr>
        <w:pStyle w:val="Ttulo1"/>
      </w:pPr>
      <w:r>
        <w:t>2. Resultados proceso de racionalización 2020</w:t>
      </w:r>
    </w:p>
    <w:p>
      <w:pPr>
        <w:pStyle w:val="Listaconvietas"/>
      </w:pPr>
      <w:r>
        <w:t xml:space="preserve">En el proceso de racionalización 2020, se identificó en la región </w:t>
      </w:r>
      <w:r>
        <w:rPr>
          <w:b/>
        </w:rPr>
        <w:t>Cajamarca</w:t>
      </w:r>
      <w:r>
        <w:rPr>
          <w:b/>
        </w:rPr>
        <w:t xml:space="preserve"> un total de </w:t>
      </w:r>
      <w:r>
        <w:rPr>
          <w:b/>
        </w:rPr>
        <w:t>XXX</w:t>
      </w:r>
      <w:r>
        <w:rPr>
          <w:b/>
        </w:rPr>
        <w:t xml:space="preserve"> plazas de docentes de aula excedentes y </w:t>
      </w:r>
      <w:r>
        <w:rPr>
          <w:b/>
        </w:rPr>
        <w:t>XXX</w:t>
      </w:r>
      <w:r>
        <w:rPr>
          <w:b/>
        </w:rPr>
        <w:t xml:space="preserve"> plazas de requerimiento</w:t>
      </w:r>
      <w:r>
        <w:t>. A partir de esos resultados, se procedió a calcular el requerimiento y la excedencia por UGEL y el agregado a nivel regional, ello se puede observar en las dos últimas columnas del siguiente cuadro:</w:t>
      </w:r>
    </w:p>
    <w:p>
      <w:pPr>
        <w:pStyle w:val="Listaconvietas"/>
      </w:pPr>
      <w:r>
        <w:t xml:space="preserve">En el proceso de racionalización 2020, se identificó en la región </w:t>
      </w:r>
      <w:r>
        <w:rPr>
          <w:b/>
        </w:rPr>
        <w:t>Cajamarca</w:t>
      </w:r>
      <w:r>
        <w:t xml:space="preserve"> un total de </w:t>
      </w:r>
      <w:r>
        <w:t>XXX</w:t>
      </w:r>
      <w:r>
        <w:t xml:space="preserve"> plazas de docentes de aula excedentes y </w:t>
      </w:r>
      <w:r>
        <w:t>XXX</w:t>
      </w:r>
      <w:r>
        <w:t xml:space="preserve"> plazas de requerimiento. A partir de esos resultados, se procedió a  calcular el requerimiento y la excedencia por UGEL y el agregado a nivel regional,  ello se puede observar en las dos últimas columnas del siguiente cuadro:</w:t>
      </w:r>
    </w:p>
    <w:p>
      <w:pPr>
        <w:pStyle w:val="Listaconvietas"/>
      </w:pPr>
      <w:r>
        <w:t xml:space="preserve">Por lo tanto, a nivel regional se contaba con una brecha interna de </w:t>
      </w:r>
      <w:r>
        <w:t>XXX</w:t>
      </w:r>
      <w:r>
        <w:t xml:space="preserve"> plazas en </w:t>
      </w:r>
      <w:r>
        <w:t>XXX</w:t>
      </w:r>
      <w:r>
        <w:t xml:space="preserve"> UGEL, y un excedente neto de plazas vacantes ascendente a </w:t>
      </w:r>
      <w:r>
        <w:t>XXX</w:t>
      </w:r>
      <w:r>
        <w:t xml:space="preserve"> plazas en </w:t>
      </w:r>
      <w:r>
        <w:t>XXX</w:t>
      </w:r>
      <w:r>
        <w:t xml:space="preserve"> UGEL. Con ello, se obtuvo un requerimiento neto a nivel regional igual a </w:t>
      </w:r>
      <w:r>
        <w:t>XXX</w:t>
      </w:r>
      <w:r>
        <w:t>.</w:t>
      </w:r>
    </w:p>
    <w:p>
      <w:pPr>
        <w:pStyle w:val="Ttulo1"/>
      </w:pPr>
      <w:r>
        <w:t>3. Acciones de reordenamiento territorial 2020</w:t>
      </w:r>
    </w:p>
    <w:p>
      <w:pPr>
        <w:pStyle w:val="Listaconvietas"/>
      </w:pPr>
      <w:r>
        <w:t xml:space="preserve">En el marco del proceso de racionalización 2020, en la región </w:t>
      </w:r>
      <w:r>
        <w:t>Cajamarca</w:t>
      </w:r>
      <w:r>
        <w:t xml:space="preserve"> no se inhabilitaron plazas a pesar de contar con </w:t>
      </w:r>
      <w:r>
        <w:t>XX</w:t>
      </w:r>
      <w:r>
        <w:t xml:space="preserve"> plazas vacantes identificadas como excedencia neta.</w:t>
      </w:r>
    </w:p>
    <w:p>
      <w:pPr>
        <w:pStyle w:val="Ttulo1"/>
      </w:pPr>
      <w:r>
        <w:t xml:space="preserve">4. Intervenciones pedagógicas </w:t>
      </w:r>
    </w:p>
    <w:p>
      <w:pPr>
        <w:pStyle w:val="Listaconvietas"/>
      </w:pPr>
      <w:r>
        <w:t xml:space="preserve">En las Unidades Ejecutoras de Educación de </w:t>
      </w:r>
      <w:r>
        <w:t>Cajamarca</w:t>
      </w:r>
      <w:r>
        <w:t xml:space="preserve"> vienen implementando </w:t>
      </w:r>
      <w:r>
        <w:t>XXX</w:t>
      </w:r>
      <w:r>
        <w:t xml:space="preserve"> intervenciones y acciones pedagógicas en el Año 2021, en el marco de la Norma  Técnica “Disposiciones para la implementación de las intervenciones y acciones pedagógicas  del Ministerio de Educación en los Gobiernos Regionales y Lima Metropolitana en el Año Fiscal  2021”, aprobada mediante RM N° 043-2021-MINEDU y modificada RM N° 159-2021-MINEDU.</w:t>
      </w:r>
    </w:p>
    <w:p>
      <w:pPr>
        <w:pStyle w:val="Listaconvietas"/>
      </w:pPr>
      <w:r>
        <w:t xml:space="preserve">Las Unidades Ejecutoras de Educación de </w:t>
      </w:r>
      <w:r>
        <w:t>Cajamarca</w:t>
      </w:r>
      <w:r>
        <w:t xml:space="preserve"> cuentan con S/ </w:t>
      </w:r>
      <w:r>
        <w:t>XXX</w:t>
      </w:r>
      <w:r>
        <w:t xml:space="preserve"> en su Presupuesto Institucional Modificado (PIM), que permite cubrir el costo para la implementación de las referidas intervenciones y acciones pedagógicas, por un monto de S/ </w:t>
      </w:r>
      <w:r>
        <w:t>XXX</w:t>
      </w:r>
      <w:r>
        <w:t xml:space="preserve">. De dichos recursos, a fecha de corte del </w:t>
      </w:r>
      <w:r>
        <w:t>21-09-21</w:t>
      </w:r>
      <w:r>
        <w:t xml:space="preserve">, se han ejecutado S/ </w:t>
      </w:r>
      <w:r>
        <w:t>XXX</w:t>
      </w:r>
      <w:r>
        <w:t xml:space="preserve">, lo que equivale al </w:t>
      </w:r>
      <w:r>
        <w:t>XXX</w:t>
      </w:r>
      <w:r>
        <w:t xml:space="preserve"> respecto al costo de los recursos.</w:t>
      </w:r>
    </w:p>
    <w:p>
      <w:pPr>
        <w:pStyle w:val="Ttulo1"/>
      </w:pPr>
      <w:r>
        <w:t xml:space="preserve">Ejecución de intervenciones en </w:t>
      </w:r>
      <w:r>
        <w:t>Cajamarca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Intervenciones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Cert.</w:t>
            </w:r>
          </w:p>
        </w:tc>
        <w:tc>
          <w:tcPr>
            <w:tcW w:type="dxa" w:w="1440"/>
          </w:tcPr>
          <w:p>
            <w:r>
              <w:t>Comp.</w:t>
            </w:r>
          </w:p>
        </w:tc>
        <w:tc>
          <w:tcPr>
            <w:tcW w:type="dxa" w:w="1440"/>
          </w:tcPr>
          <w:p>
            <w:r>
              <w:t>Deveng.</w:t>
            </w:r>
          </w:p>
        </w:tc>
        <w:tc>
          <w:tcPr>
            <w:tcW w:type="dxa" w:w="1440"/>
          </w:tcPr>
          <w:p>
            <w:r>
              <w:t>% Ejecución</w:t>
            </w:r>
          </w:p>
        </w:tc>
      </w:tr>
      <w:tr>
        <w:tc>
          <w:tcPr>
            <w:tcW w:type="dxa" w:w="1440"/>
          </w:tcPr>
          <w:p>
            <w:r>
              <w:t>Acompañatic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  <w:tr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  <w:tr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</w:tr>
    </w:tbl>
    <w:p>
      <w:pPr>
        <w:pStyle w:val="Ttulo1"/>
      </w:pPr>
      <w:r>
        <w:t>5. Condiciones para la reapertura de IIEE: Mascarillas y protectores faciales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