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CAJAMARCA</w:t>
      </w:r>
      <w:r>
        <w:rPr>
          <w:u w:val="single"/>
        </w:rPr>
      </w:r>
    </w:p>
    <w:p>
      <w:r>
        <w:drawing>
          <wp:inline xmlns:a="http://schemas.openxmlformats.org/drawingml/2006/main" xmlns:pic="http://schemas.openxmlformats.org/drawingml/2006/picture">
            <wp:extent cx="2743200" cy="3703854"/>
            <wp:docPr id="1" name="Picture 1"/>
            <wp:cNvGraphicFramePr>
              <a:graphicFrameLocks noChangeAspect="1"/>
            </wp:cNvGraphicFramePr>
            <a:graphic>
              <a:graphicData uri="http://schemas.openxmlformats.org/drawingml/2006/picture">
                <pic:pic>
                  <pic:nvPicPr>
                    <pic:cNvPr id="0" name="CAJAMARCA.PNG"/>
                    <pic:cNvPicPr/>
                  </pic:nvPicPr>
                  <pic:blipFill>
                    <a:blip r:embed="rId12"/>
                    <a:stretch>
                      <a:fillRect/>
                    </a:stretch>
                  </pic:blipFill>
                  <pic:spPr>
                    <a:xfrm>
                      <a:off x="0" y="0"/>
                      <a:ext cx="2743200" cy="3703854"/>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25,156,954</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5.9</w:t>
            </w:r>
          </w:p>
        </w:tc>
      </w:tr>
      <w:tr>
        <w:tc>
          <w:tcPr>
            <w:tcW w:type="dxa" w:w="4320"/>
          </w:tcPr>
          <w:p>
            <w:r>
              <w:t>Kit de higiene</w:t>
            </w:r>
          </w:p>
        </w:tc>
        <w:tc>
          <w:tcPr>
            <w:tcW w:type="dxa" w:w="4320"/>
          </w:tcPr>
          <w:p>
            <w:r>
              <w:t>8,164,190</w:t>
            </w:r>
          </w:p>
        </w:tc>
      </w:tr>
      <w:tr>
        <w:tc>
          <w:tcPr>
            <w:tcW w:type="dxa" w:w="4320"/>
          </w:tcPr>
          <w:p>
            <w:r>
              <w:t>Estaciones de lavado de manos</w:t>
            </w:r>
          </w:p>
        </w:tc>
        <w:tc>
          <w:tcPr>
            <w:tcW w:type="dxa" w:w="4320"/>
          </w:tcPr>
          <w:p>
            <w:r>
              <w:t>7,020,000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CAJAMARCA</w:t>
      </w:r>
      <w:r>
        <w:t xml:space="preserve"> inicio con un PIA de </w:t>
      </w:r>
      <w:r>
        <w:t>16,680,028</w:t>
      </w:r>
      <w:r>
        <w:t xml:space="preserve">. En el transcurso del año fiscal, se ha realizado cuatro (04) transferencias, para complementar el financiamiento de las mismas, por un monto total de  </w:t>
      </w:r>
      <w:r>
        <w:t>25,156,954</w:t>
      </w:r>
      <w:r>
        <w:t xml:space="preserve">. Al </w:t>
      </w:r>
      <w:r>
        <w:t>20211024</w:t>
      </w:r>
      <w:r>
        <w:t xml:space="preserve"> cuentan con </w:t>
      </w:r>
      <w:r>
        <w:t>41,836,982</w:t>
      </w:r>
      <w:r>
        <w:t xml:space="preserve"> en su PIM. De los cuales se han ejecutado el </w:t>
      </w:r>
      <w:r>
        <w:t>66.3%</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CAJAMARCA</w:t>
      </w:r>
      <w:r>
        <w:t xml:space="preserve"> por la suma de S/ </w:t>
      </w:r>
      <w:r>
        <w:t>22,827,452</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5.9</w:t>
      </w:r>
      <w:r>
        <w:t xml:space="preserve"> a las UE del Gobierno Regional de </w:t>
      </w:r>
      <w:r>
        <w:t>CAJAMARCA</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8,164,190</w:t>
      </w:r>
      <w:r>
        <w:t xml:space="preserve"> y </w:t>
      </w:r>
      <w:r>
        <w:t>7,020,000</w:t>
      </w:r>
      <w:r>
        <w:t xml:space="preserve"> respectivamente. Estos han sido otorgados a las cuentas de los directores de las instituciones educativas en el marco del artículo 42 de la Ley 31084 y el artículo 2 del DU N° 021-2021. De ello, los directores han declarado la ejecución d </w:t>
      </w:r>
      <w:r>
        <w:t>7,871,009</w:t>
      </w:r>
      <w:r>
        <w:t>6,153,077</w:t>
      </w:r>
    </w:p>
    <w:p>
      <w:pPr>
        <w:pStyle w:val="Heading2"/>
      </w:pPr>
      <w:r>
        <w:t>Inversiones</w:t>
      </w:r>
    </w:p>
    <w:p>
      <w:pPr>
        <w:pStyle w:val="Heading5"/>
      </w:pPr>
      <w:r>
        <w:t>Mediante el Anexo 5 de la Ley de Presupuesto 2021 y Decreto Supremo N° 257-2021-EF, se transfieron recursos a la Región Cajamarca por el monto de S/ 10,329,028.00 para la ejecución de 9 inversiones correspondientes a instituciones educativas.</w:t>
      </w:r>
      <w:r>
        <w:t xml:space="preserve"> </w:t>
      </w:r>
    </w:p>
    <w:p>
      <w:pPr>
        <w:pStyle w:val="Heading2"/>
      </w:pPr>
      <w:r>
        <w:t>Pago de Encargaturas</w:t>
      </w:r>
    </w:p>
    <w:p>
      <w:pPr>
        <w:pStyle w:val="Heading5"/>
        <w:jc w:val="both"/>
      </w:pPr>
      <w:r>
        <w:t xml:space="preserve">Para la región </w:t>
      </w:r>
      <w:r>
        <w:t xml:space="preserve">CAJAMARCA, por concepto de encargaturas, </w:t>
      </w:r>
      <w:r>
        <w:t xml:space="preserve"> se ha calculado para el </w:t>
      </w:r>
      <w:r>
        <w:t>2021</w:t>
      </w:r>
      <w:r>
        <w:t xml:space="preserve"> un costo de S/.</w:t>
      </w:r>
      <w:r>
        <w:t>61,880,944</w:t>
      </w:r>
      <w:r>
        <w:t>Con Decreto Supremo N° 217-2021-EF publicado el 27 de agosto de 2021 en el marco de lo autorizado en el literal b) del numeral 40.1 de la Ley de Presupuesto 2021, se ha realizado una transferencia de partidas por el monto de S/.</w:t>
      </w:r>
      <w:r>
        <w:t>31,869,206</w:t>
      </w:r>
      <w:r>
        <w:t xml:space="preserve"> a favor de las Unidades Ejecutoras de Educación de la Región </w:t>
      </w:r>
      <w:r>
        <w:t>CAJAMARCA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CAJAMARCA</w:t>
      </w:r>
      <w:r>
        <w:t xml:space="preserve">, por concepto de Asignaciones Temporales , se ha calculado para el 2021 un costo de S/ </w:t>
      </w:r>
      <w:r>
        <w:t xml:space="preserve">77,320,122 </w:t>
      </w:r>
      <w:r>
        <w:t>Con un PIA 2021 por el monto de</w:t>
      </w:r>
      <w:r>
        <w:t>monto</w:t>
      </w:r>
      <w:r>
        <w:t xml:space="preserve">Con Decreto Supremo N° 187-2021-EF se ha realizado una transferencia de partidas por el monto de S/. </w:t>
      </w:r>
      <w:r>
        <w:t>35,019,412</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CAJAMARCA</w:t>
      </w:r>
      <w:r>
        <w:t xml:space="preserve">, por concepto de Beneficios Sociales se ha calculado un costo total de S/. </w:t>
      </w:r>
      <w:r>
        <w:t>14,249,236</w:t>
      </w:r>
      <w:r>
        <w:t xml:space="preserve">y se han aprobado pagos hasta por un costo de S/. </w:t>
      </w:r>
      <w:r>
        <w:t>7,661,491</w:t>
      </w:r>
      <w:r>
        <w:t xml:space="preserve">Se gestionó una programación directa de recursos en el PIA </w:t>
      </w:r>
      <w:r>
        <w:t xml:space="preserve"> por el monto de S/. </w:t>
      </w:r>
      <w:r>
        <w:t>7,755,635,</w:t>
      </w:r>
      <w:r>
        <w:t xml:space="preserve"> lo cual fue comunicado a través del </w:t>
      </w:r>
      <w:r>
        <w:t>Oficio Múltiple N° 00011-2021-MINEDU/SPE-OPEP-UPP</w:t>
      </w:r>
      <w:r>
        <w:t>Con Decreto Supremo N° 072-2021-EF</w:t>
      </w:r>
      <w:r>
        <w:t xml:space="preserve">, se ha transferido </w:t>
      </w:r>
      <w:r>
        <w:t>3,312,222.</w:t>
      </w:r>
      <w:r>
        <w:t xml:space="preserve">Mediante </w:t>
      </w:r>
      <w:r>
        <w:t>Decreto Supremo N° 256-2021-EF se realizó la segunda transferencia por</w:t>
      </w:r>
      <w:r>
        <w:t xml:space="preserve">S/. </w:t>
      </w:r>
      <w:r>
        <w:t>3,281,567.</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593</w:t>
      </w:r>
      <w:r>
        <w:t xml:space="preserve"> plazas de docentes de aula en el marco de los resultados del proceso de racionalización </w:t>
      </w:r>
      <w:r>
        <w:t xml:space="preserve">2020 </w:t>
      </w:r>
      <w:r>
        <w:t xml:space="preserve">en servicios educativos públicos de la región </w:t>
      </w:r>
      <w:r>
        <w:t>CAJAMARCA</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