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p>
    <w:p>
      <w:r>
        <w:drawing>
          <wp:inline xmlns:a="http://schemas.openxmlformats.org/drawingml/2006/main" xmlns:pic="http://schemas.openxmlformats.org/drawingml/2006/picture">
            <wp:extent cx="2468880" cy="3429279"/>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29279"/>
                  <wp:docPr id="2" name="Picture 2"/>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8,687,210</w:t>
            </w:r>
          </w:p>
        </w:tc>
      </w:tr>
      <w:tr>
        <w:tc>
          <w:tcPr>
            <w:tcW w:type="dxa" w:w="4320"/>
          </w:tcPr>
          <w:p>
            <w:r>
              <w:t>Conceptos remunerativos</w:t>
            </w:r>
          </w:p>
        </w:tc>
        <w:tc>
          <w:tcPr>
            <w:tcW w:type="dxa" w:w="4320"/>
          </w:tcPr>
          <w:p>
            <w:r>
              <w:t>35,109,265</w:t>
            </w:r>
          </w:p>
        </w:tc>
      </w:tr>
      <w:tr>
        <w:tc>
          <w:tcPr>
            <w:tcW w:type="dxa" w:w="4320"/>
          </w:tcPr>
          <w:p>
            <w:r>
              <w:t>Deuda social</w:t>
            </w:r>
          </w:p>
        </w:tc>
        <w:tc>
          <w:tcPr>
            <w:tcW w:type="dxa" w:w="4320"/>
          </w:tcPr>
          <w:p>
            <w:r>
              <w:t>2,158,581</w:t>
            </w:r>
          </w:p>
        </w:tc>
      </w:tr>
      <w:tr>
        <w:tc>
          <w:tcPr>
            <w:tcW w:type="dxa" w:w="4320"/>
          </w:tcPr>
          <w:p>
            <w:r>
              <w:t>Inversiones</w:t>
            </w:r>
          </w:p>
        </w:tc>
        <w:tc>
          <w:tcPr>
            <w:tcW w:type="dxa" w:w="4320"/>
          </w:tcPr>
          <w:p>
            <w:r>
              <w:t>572,170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1,930,562</w:t>
            </w:r>
          </w:p>
        </w:tc>
      </w:tr>
      <w:tr>
        <w:tc>
          <w:tcPr>
            <w:tcW w:type="dxa" w:w="4320"/>
          </w:tcPr>
          <w:p>
            <w:r>
              <w:t>Kit de higiene</w:t>
            </w:r>
          </w:p>
        </w:tc>
        <w:tc>
          <w:tcPr>
            <w:tcW w:type="dxa" w:w="4320"/>
          </w:tcPr>
          <w:p>
            <w:r>
              <w:t>2,682,135</w:t>
            </w:r>
          </w:p>
        </w:tc>
      </w:tr>
      <w:tr>
        <w:tc>
          <w:tcPr>
            <w:tcW w:type="dxa" w:w="4320"/>
          </w:tcPr>
          <w:p>
            <w:r>
              <w:t>Estaciones de lavado de manos</w:t>
            </w:r>
          </w:p>
        </w:tc>
        <w:tc>
          <w:tcPr>
            <w:tcW w:type="dxa" w:w="4320"/>
          </w:tcPr>
          <w:p>
            <w:r>
              <w:t>902,400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2,404,382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54,446,705</w:t>
            </w:r>
          </w:p>
        </w:tc>
      </w:tr>
    </w:tbl>
    <w:p>
      <w:pPr>
        <w:pStyle w:val="Heading2"/>
      </w:pPr>
      <w:r>
        <w:t>Intervenciones pedagógicas</w:t>
      </w:r>
    </w:p>
    <w:p>
      <w:pPr>
        <w:pStyle w:val="Heading3"/>
      </w:pPr>
      <w:r>
        <w:t>Corte: 28/11/2021</w:t>
      </w:r>
    </w:p>
    <w:p>
      <w:pPr>
        <w:pStyle w:val="Heading5"/>
        <w:jc w:val="both"/>
      </w:pPr>
      <w:r>
        <w:t xml:space="preserve">Al año 2021, el pliego de la región </w:t>
      </w:r>
      <w:r>
        <w:t>HUANCAVELICA</w:t>
      </w:r>
      <w:r>
        <w:t xml:space="preserve"> inició con un PIA de S/</w:t>
      </w:r>
      <w:r>
        <w:t>10,999,933</w:t>
      </w:r>
      <w:r>
        <w:t xml:space="preserve">. En el transcurso del año fiscal, se han realizado cuatro (04) transferencias para complementar el financiamiento de las intervenciones pedagógicas, por un monto total de S/ </w:t>
      </w:r>
      <w:r>
        <w:t>8,687,210</w:t>
      </w:r>
      <w:r>
        <w:t>. Al 28 de noviembre</w:t>
      </w:r>
      <w:r>
        <w:t xml:space="preserve"> cuentan con S/ </w:t>
      </w:r>
      <w:r>
        <w:t>17,797,752</w:t>
      </w:r>
      <w:r>
        <w:t xml:space="preserve"> en su PIM. De los cuales se han ejecutado el </w:t>
      </w:r>
      <w:r>
        <w:t>70.1%</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2,404,382</w:t>
      </w:r>
      <w:r>
        <w:t xml:space="preserve">. Con fecha de corte SIAF, la ejecución a nivel regional de los recursos de compromisos de desempeño fue de  </w:t>
      </w:r>
      <w:r>
        <w:t>34.5%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1,930,562</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77.4%</w:t>
      </w:r>
    </w:p>
    <w:p>
      <w:pPr>
        <w:pStyle w:val="Heading2"/>
      </w:pPr>
      <w:r>
        <w:t>Kit de higiene y estaciones de lavado de manos</w:t>
      </w:r>
    </w:p>
    <w:p>
      <w:pPr>
        <w:pStyle w:val="Heading5"/>
      </w:pPr>
      <w:r>
        <w:t xml:space="preserve">Con respecto al kit de higiene y al lavamanos, se transfirió S/ </w:t>
      </w:r>
      <w:r>
        <w:t>2,682,135</w:t>
      </w:r>
      <w:r>
        <w:t xml:space="preserve"> y S/ </w:t>
      </w:r>
      <w:r>
        <w:t>902,400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2,618,167</w:t>
      </w:r>
      <w:r>
        <w:t xml:space="preserve"> y S/ </w:t>
      </w:r>
      <w:r>
        <w:t>808,917</w:t>
      </w:r>
    </w:p>
    <w:p>
      <w:pPr>
        <w:pStyle w:val="Heading2"/>
      </w:pPr>
      <w:r>
        <w:t>Inversiones</w:t>
      </w:r>
    </w:p>
    <w:p>
      <w:pPr>
        <w:pStyle w:val="Heading5"/>
      </w:pPr>
      <w:r>
        <w:t>Mediante el Decreto Supremo N° 257-2021-EF, se transfieron recursos a la Región Huancavelica por el monto de S/ 572,170.00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 </w:t>
      </w:r>
      <w:r>
        <w:t>19,757,356</w:t>
      </w:r>
      <w:r>
        <w:t>. 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 xml:space="preserve">. Con un PIA 2021 por el monto de S/ </w:t>
      </w:r>
      <w:r>
        <w:t>26,578,010</w:t>
      </w:r>
      <w:r>
        <w:t xml:space="preserve">. Con Decreto Supremo N° 187-2021-EF se ha realizado una transferencia de partidas por el monto de S/ </w:t>
      </w:r>
      <w:r>
        <w:t>22,601,832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 y se han aprobado pagos hasta por un costo de S/. </w:t>
      </w:r>
      <w:r>
        <w:t>4,473,248</w:t>
      </w:r>
      <w:r>
        <w:t xml:space="preserve">. Se gestionó una programación directa de recursos en el PIA </w:t>
      </w:r>
      <w:r>
        <w:t xml:space="preserve"> por el monto de S/. </w:t>
      </w:r>
      <w:r>
        <w:t>2,516,493</w:t>
      </w:r>
      <w:r>
        <w:t xml:space="preserve"> lo cual fue comunicado a través del </w:t>
      </w:r>
      <w:r>
        <w:t>Oficio Múltiple N° 00011-2021-MINEDU/SPE-OPEP-UPP</w:t>
      </w:r>
      <w:r>
        <w:t>. Con Decreto Supremo N° 072-2021-EF</w:t>
      </w:r>
      <w:r>
        <w:t xml:space="preserve">, se ha transferido </w:t>
      </w:r>
      <w:r>
        <w:t>1,435,906</w:t>
      </w:r>
      <w:r>
        <w:t xml:space="preserve">. Mediante </w:t>
      </w:r>
      <w:r>
        <w:t>Decreto Supremo N° 256-2021-EF se realizó la segunda transferencia por</w:t>
      </w:r>
      <w:r>
        <w:t xml:space="preserve"> S/ </w:t>
      </w:r>
      <w:r>
        <w:t>615,814</w:t>
      </w:r>
    </w:p>
    <w:p>
      <w:pPr>
        <w:pStyle w:val="Heading2"/>
      </w:pPr>
      <w:r>
        <w:t>Financiamiento de plazas 2021</w:t>
      </w:r>
    </w:p>
    <w:p>
      <w:pPr>
        <w:pStyle w:val="Heading5"/>
        <w:jc w:val="both"/>
      </w:pPr>
      <w:r>
        <w:t xml:space="preserve"> A través del DS N° 078-2021-EF se financió </w:t>
      </w:r>
      <w:r>
        <w:t>8</w:t>
      </w:r>
      <w:r>
        <w:t xml:space="preserve"> plazas de docentes de aula por un monto de S/ </w:t>
      </w:r>
      <w:r>
        <w:t>166,608</w:t>
      </w:r>
      <w:r>
        <w:t xml:space="preserve">en el marco de los resultados del proceso de racionalización 2020 en la región de </w:t>
      </w:r>
      <w:r>
        <w:t>HUANCAVELICA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2,158,581</w:t>
      </w:r>
      <w:r>
        <w:t xml:space="preserve"> a la región </w:t>
      </w:r>
      <w:r>
        <w:t>HUANCAVELICA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