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p>
    <w:p>
      <w:r>
        <w:drawing>
          <wp:inline xmlns:a="http://schemas.openxmlformats.org/drawingml/2006/main" xmlns:pic="http://schemas.openxmlformats.org/drawingml/2006/picture">
            <wp:extent cx="2468880" cy="329184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4,914,447</w:t>
            </w:r>
          </w:p>
        </w:tc>
      </w:tr>
      <w:tr>
        <w:tc>
          <w:tcPr>
            <w:tcW w:type="dxa" w:w="4320"/>
          </w:tcPr>
          <w:p>
            <w:r>
              <w:t>Conceptos remunerativos</w:t>
            </w:r>
          </w:p>
        </w:tc>
        <w:tc>
          <w:tcPr>
            <w:tcW w:type="dxa" w:w="4320"/>
          </w:tcPr>
          <w:p>
            <w:r>
              <w:t>20,030,955</w:t>
            </w:r>
          </w:p>
        </w:tc>
      </w:tr>
      <w:tr>
        <w:tc>
          <w:tcPr>
            <w:tcW w:type="dxa" w:w="4320"/>
          </w:tcPr>
          <w:p>
            <w:r>
              <w:t>Deuda social</w:t>
            </w:r>
          </w:p>
        </w:tc>
        <w:tc>
          <w:tcPr>
            <w:tcW w:type="dxa" w:w="4320"/>
          </w:tcPr>
          <w:p>
            <w:r>
              <w:t>13,245,174</w:t>
            </w:r>
          </w:p>
        </w:tc>
      </w:tr>
      <w:tr>
        <w:tc>
          <w:tcPr>
            <w:tcW w:type="dxa" w:w="4320"/>
          </w:tcPr>
          <w:p>
            <w:r>
              <w:t>Inversiones</w:t>
            </w:r>
          </w:p>
        </w:tc>
        <w:tc>
          <w:tcPr>
            <w:tcW w:type="dxa" w:w="4320"/>
          </w:tcPr>
          <w:p>
            <w:r>
              <w:t>8,691,923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3,449,071</w:t>
            </w:r>
          </w:p>
        </w:tc>
      </w:tr>
      <w:tr>
        <w:tc>
          <w:tcPr>
            <w:tcW w:type="dxa" w:w="4320"/>
          </w:tcPr>
          <w:p>
            <w:r>
              <w:t>Kit de higiene</w:t>
            </w:r>
          </w:p>
        </w:tc>
        <w:tc>
          <w:tcPr>
            <w:tcW w:type="dxa" w:w="4320"/>
          </w:tcPr>
          <w:p>
            <w:r>
              <w:t>3,983,025</w:t>
            </w:r>
          </w:p>
        </w:tc>
      </w:tr>
      <w:tr>
        <w:tc>
          <w:tcPr>
            <w:tcW w:type="dxa" w:w="4320"/>
          </w:tcPr>
          <w:p>
            <w:r>
              <w:t>Estaciones de lavado de manos</w:t>
            </w:r>
          </w:p>
        </w:tc>
        <w:tc>
          <w:tcPr>
            <w:tcW w:type="dxa" w:w="4320"/>
          </w:tcPr>
          <w:p>
            <w:r>
              <w:t>1,137,600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1,024,049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56,476,244</w:t>
            </w:r>
          </w:p>
        </w:tc>
      </w:tr>
    </w:tbl>
    <w:p>
      <w:pPr>
        <w:pStyle w:val="Heading2"/>
      </w:pPr>
      <w:r>
        <w:t>Intervenciones pedagógicas</w:t>
      </w:r>
    </w:p>
    <w:p>
      <w:pPr>
        <w:pStyle w:val="Heading3"/>
      </w:pPr>
      <w:r>
        <w:t>Corte: 09/11/2021</w:t>
      </w:r>
    </w:p>
    <w:p>
      <w:pPr>
        <w:pStyle w:val="Heading5"/>
        <w:jc w:val="both"/>
      </w:pPr>
      <w:r>
        <w:t xml:space="preserve">Al año 2021, la región </w:t>
      </w:r>
      <w:r>
        <w:t>LAMBAYEQUE</w:t>
      </w:r>
      <w:r>
        <w:t xml:space="preserve"> inició con un PIA de S/</w:t>
      </w:r>
      <w:r>
        <w:t>7,309,141</w:t>
      </w:r>
      <w:r>
        <w:t xml:space="preserve">. En el transcurso del año fiscal, se han realizado cuatro (04) transferencias para complementar el financiamiento de las intervenciones pedagógicas, por un monto total de S/ </w:t>
      </w:r>
      <w:r>
        <w:t>4,914,447</w:t>
      </w:r>
      <w:r>
        <w:t>. Al 9 de noviembre</w:t>
      </w:r>
      <w:r>
        <w:t xml:space="preserve"> cuentan con S/ </w:t>
      </w:r>
      <w:r>
        <w:t>11,838,449</w:t>
      </w:r>
      <w:r>
        <w:t xml:space="preserve"> en su PIM. De los cuales se han ejecutado el </w:t>
      </w:r>
      <w:r>
        <w:t>66.9%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1,024,049</w:t>
      </w:r>
      <w:r>
        <w:t xml:space="preserve">. Con fecha de corte SIAF, la ejecución a nivel regional de los recursos de compromisos de desempeño fue de  </w:t>
      </w:r>
      <w:r>
        <w:t>22.6%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3,449,071</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0.4%</w:t>
      </w:r>
    </w:p>
    <w:p>
      <w:pPr>
        <w:pStyle w:val="Heading2"/>
      </w:pPr>
      <w:r>
        <w:t>Kit de higiene y estaciones de lavado de manos</w:t>
      </w:r>
    </w:p>
    <w:p>
      <w:pPr>
        <w:pStyle w:val="Heading5"/>
      </w:pPr>
      <w:r>
        <w:t xml:space="preserve">Con respecto al kit de higiene y al lavamanos, se transfirió S/ </w:t>
      </w:r>
      <w:r>
        <w:t>3,983,025</w:t>
      </w:r>
      <w:r>
        <w:t xml:space="preserve"> y S/ </w:t>
      </w:r>
      <w:r>
        <w:t>1,137,600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3,815,078</w:t>
      </w:r>
      <w:r>
        <w:t xml:space="preserve"> y S/ </w:t>
      </w:r>
      <w:r>
        <w:t>1,008,737</w:t>
      </w:r>
    </w:p>
    <w:p>
      <w:pPr>
        <w:pStyle w:val="Heading2"/>
      </w:pPr>
      <w:r>
        <w:t>Inversiones</w:t>
      </w:r>
    </w:p>
    <w:p>
      <w:pPr>
        <w:pStyle w:val="Heading5"/>
      </w:pPr>
      <w:r>
        <w:t>Mediante el Anexo 5 de la Ley de Presupuesto 2021 y el Decreto Supremo N° 257-2021-EF, se transfieron recursosa la Región Lambayeque por el monto de S/ 8,691,923.00 para la ejecución de 3 inversiones correspondientes a instituciones educativas.</w:t>
      </w:r>
      <w:r>
        <w:t xml:space="preserve"> </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 </w:t>
      </w:r>
      <w:r>
        <w:t>11,253,715</w:t>
      </w:r>
      <w:r>
        <w:t>. 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 xml:space="preserve">. Con un PIA 2021 por el monto de S/ </w:t>
      </w:r>
      <w:r>
        <w:t>8,980,348</w:t>
      </w:r>
      <w:r>
        <w:t xml:space="preserve">. Con Decreto Supremo N° 187-2021-EF se ha realizado una transferencia de partidas por el monto de S/ </w:t>
      </w:r>
      <w:r>
        <w:t>4,941,589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 y se han aprobado pagos hasta por un costo de S/. </w:t>
      </w:r>
      <w:r>
        <w:t>7,969,462</w:t>
      </w:r>
      <w:r>
        <w:t xml:space="preserve">. Se gestionó una programación directa de recursos en el PIA </w:t>
      </w:r>
      <w:r>
        <w:t xml:space="preserve"> por el monto de S/. </w:t>
      </w:r>
      <w:r>
        <w:t>6,270,966</w:t>
      </w:r>
      <w:r>
        <w:t xml:space="preserve"> lo cual fue comunicado a través del </w:t>
      </w:r>
      <w:r>
        <w:t>Oficio Múltiple N° 00011-2021-MINEDU/SPE-OPEP-UPP</w:t>
      </w:r>
      <w:r>
        <w:t>. Con Decreto Supremo N° 072-2021-EF</w:t>
      </w:r>
      <w:r>
        <w:t xml:space="preserve">, se ha transferido </w:t>
      </w:r>
      <w:r>
        <w:t>1,930,926</w:t>
      </w:r>
      <w:r>
        <w:t xml:space="preserve">. Mediante </w:t>
      </w:r>
      <w:r>
        <w:t>Decreto Supremo N° 256-2021-EF se realizó la segunda transferencia por</w:t>
      </w:r>
      <w:r>
        <w:t xml:space="preserve"> S/ </w:t>
      </w:r>
      <w:r>
        <w:t>974,788</w:t>
      </w:r>
    </w:p>
    <w:p>
      <w:pPr>
        <w:pStyle w:val="Heading2"/>
      </w:pPr>
      <w:r>
        <w:t>Financiamiento de plazas 2021</w:t>
      </w:r>
    </w:p>
    <w:p>
      <w:pPr>
        <w:pStyle w:val="Heading5"/>
        <w:jc w:val="both"/>
      </w:pPr>
      <w:r>
        <w:t xml:space="preserve"> A través del DS N° 078-2021-EF se financió </w:t>
      </w:r>
      <w:r>
        <w:t>324</w:t>
      </w:r>
      <w:r>
        <w:t xml:space="preserve"> plazas de docentes de aula por un monto de S/ </w:t>
      </w:r>
      <w:r>
        <w:t>6,747,624</w:t>
      </w:r>
      <w:r>
        <w:t xml:space="preserve">en el marco de los resultados del proceso de racionalización 2020 en la región de </w:t>
      </w:r>
      <w:r>
        <w:t>LAMBAYEQUE</w:t>
      </w:r>
      <w:r>
        <w:t>.</w:t>
      </w:r>
    </w:p>
    <w:p>
      <w:pPr>
        <w:pStyle w:val="Heading2"/>
      </w:pPr>
      <w:r>
        <w:t>Deudas Sociales</w:t>
      </w:r>
    </w:p>
    <w:p>
      <w:pPr>
        <w:pStyle w:val="Heading5"/>
      </w:pPr>
      <w:r>
        <w:t xml:space="preserve">Mediante el Decreto Supremo N° 216-2021-EF se transfirió S/ </w:t>
      </w:r>
      <w:r>
        <w:t>13,245,174</w:t>
      </w:r>
      <w:r>
        <w:t xml:space="preserve"> a la región </w:t>
      </w:r>
      <w:r>
        <w:t>LAMBAYEQUE</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