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HUANUCO</w:t>
      </w:r>
      <w:r/>
    </w:p>
    <w:p>
      <w:r>
        <w:drawing>
          <wp:inline xmlns:a="http://schemas.openxmlformats.org/drawingml/2006/main" xmlns:pic="http://schemas.openxmlformats.org/drawingml/2006/picture">
            <wp:extent cx="2468880" cy="3363120"/>
            <wp:docPr id="1" name="Picture 1"/>
            <wp:cNvGraphicFramePr>
              <a:graphicFrameLocks noChangeAspect="1"/>
            </wp:cNvGraphicFramePr>
            <a:graphic>
              <a:graphicData uri="http://schemas.openxmlformats.org/drawingml/2006/picture">
                <pic:pic>
                  <pic:nvPicPr>
                    <pic:cNvPr id="0" name="HUANUCO.PNG"/>
                    <pic:cNvPicPr/>
                  </pic:nvPicPr>
                  <pic:blipFill>
                    <a:blip r:embed="rId12"/>
                    <a:stretch>
                      <a:fillRect/>
                    </a:stretch>
                  </pic:blipFill>
                  <pic:spPr>
                    <a:xfrm>
                      <a:off x="0" y="0"/>
                      <a:ext cx="2468880" cy="3363120"/>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363120"/>
                  <wp:docPr id="2" name="Picture 2"/>
                  <wp:cNvGraphicFramePr>
                    <a:graphicFrameLocks noChangeAspect="1"/>
                  </wp:cNvGraphicFramePr>
                  <a:graphic>
                    <a:graphicData uri="http://schemas.openxmlformats.org/drawingml/2006/picture">
                      <pic:pic>
                        <pic:nvPicPr>
                          <pic:cNvPr id="0" name="HUANUCO.PNG"/>
                          <pic:cNvPicPr/>
                        </pic:nvPicPr>
                        <pic:blipFill>
                          <a:blip r:embed="rId12"/>
                          <a:stretch>
                            <a:fillRect/>
                          </a:stretch>
                        </pic:blipFill>
                        <pic:spPr>
                          <a:xfrm>
                            <a:off x="0" y="0"/>
                            <a:ext cx="2468880" cy="3363120"/>
                          </a:xfrm>
                          <a:prstGeom prst="rect"/>
                        </pic:spPr>
                      </pic:pic>
                    </a:graphicData>
                  </a:graphic>
                </wp:inline>
              </w:drawing>
            </w:r>
          </w:p>
        </w:tc>
        <w:tc>
          <w:tcPr>
            <w:tcW w:type="dxa" w:w="4320"/>
          </w:tcPr>
          <w:p/>
        </w:tc>
      </w:tr>
      <w:tr>
        <w:tc>
          <w:tcPr>
            <w:tcW w:type="dxa" w:w="4320"/>
          </w:tcPr>
          <w:p/>
        </w:tc>
        <w:tc>
          <w:tcPr>
            <w:tcW w:type="dxa" w:w="4320"/>
          </w:tcPr>
          <w:p/>
        </w:tc>
      </w:tr>
    </w:tbl>
    <w:p>
      <w:pPr>
        <w:pStyle w:val="Heading2"/>
      </w:pPr>
      <w:r>
        <w:t>Intervenciones pedagógicas</w:t>
      </w:r>
    </w:p>
    <w:p>
      <w:pPr>
        <w:pStyle w:val="Heading3"/>
      </w:pPr>
      <w:r>
        <w:t>Corte: 28/11/2021</w:t>
      </w:r>
    </w:p>
    <w:p>
      <w:pPr>
        <w:pStyle w:val="Heading5"/>
        <w:jc w:val="both"/>
      </w:pPr>
      <w:r>
        <w:t xml:space="preserve">Al año 2021, el pliego de la región </w:t>
      </w:r>
      <w:r>
        <w:t>HUANUCO</w:t>
      </w:r>
      <w:r>
        <w:t xml:space="preserve"> inició con un PIA de S/</w:t>
      </w:r>
      <w:r>
        <w:t>12,492,114</w:t>
      </w:r>
      <w:r>
        <w:t xml:space="preserve">. En el transcurso del año fiscal, se han realizado cuatro (04) transferencias para complementar el financiamiento de las intervenciones pedagógicas, por un monto total de S/ </w:t>
      </w:r>
      <w:r>
        <w:t>10,937,166</w:t>
      </w:r>
      <w:r>
        <w:t>. Al 28 de noviembre</w:t>
      </w:r>
      <w:r>
        <w:t xml:space="preserve"> cuentan con S/ </w:t>
      </w:r>
      <w:r>
        <w:t>22,232,074</w:t>
      </w:r>
      <w:r>
        <w:t xml:space="preserve"> en su PIM. De los cuales se han ejecutado el </w:t>
      </w:r>
      <w:r>
        <w:t>81.8%</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HUANUCO</w:t>
      </w:r>
      <w:r>
        <w:t xml:space="preserve"> por la suma de S/ </w:t>
      </w:r>
      <w:r>
        <w:t>5,218,966</w:t>
      </w:r>
      <w:r>
        <w:t xml:space="preserve">. Con fecha de corte SIAF, la ejecución a nivel regional de los recursos de compromisos de desempeño fue de  </w:t>
      </w:r>
      <w:r>
        <w:t>47.5%</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3,105,178</w:t>
      </w:r>
      <w:r>
        <w:t xml:space="preserve"> a las UE del Gobierno Regional de </w:t>
      </w:r>
      <w:r>
        <w:t>HUANUCO</w:t>
      </w:r>
      <w:r>
        <w:t xml:space="preserve"> para la adquisición y distribución de mascarillas faciales textiles de uso comunitario para estudiantes y personal, así como protectores faciales para el mencionado personal.</w:t>
      </w:r>
      <w:r>
        <w:t xml:space="preserve"> Al corte se ha ejecutado el </w:t>
      </w:r>
      <w:r>
        <w:t>92.8%</w:t>
      </w:r>
    </w:p>
    <w:p>
      <w:pPr>
        <w:pStyle w:val="Heading2"/>
      </w:pPr>
      <w:r>
        <w:t>Pago de Encargaturas</w:t>
      </w:r>
    </w:p>
    <w:p>
      <w:pPr>
        <w:pStyle w:val="Heading5"/>
        <w:jc w:val="both"/>
      </w:pPr>
      <w:r>
        <w:t xml:space="preserve">Para la región </w:t>
      </w:r>
      <w:r>
        <w:t xml:space="preserve">HUANUCO, por concepto de encargaturas, </w:t>
      </w:r>
      <w:r>
        <w:t xml:space="preserve"> se ha calculado para el </w:t>
      </w:r>
      <w:r>
        <w:t>2021</w:t>
      </w:r>
      <w:r>
        <w:t xml:space="preserve"> un costo de S/ </w:t>
      </w:r>
      <w:r>
        <w:t>22,338,269</w:t>
      </w:r>
      <w:r>
        <w:t>. Con Decreto Supremo N° 217-2021-EF publicado el 27 de agosto de 2021 en el marco de lo autorizado en el literal b) del numeral 40.1 de la Ley de Presupuesto 2021, se ha realizado una transferencia de partidas por el monto de S/.</w:t>
      </w:r>
      <w:r>
        <w:t>6,776,408</w:t>
      </w:r>
      <w:r>
        <w:t xml:space="preserve"> a favor de las Unidades Ejecutoras de Educación de la Región </w:t>
      </w:r>
      <w:r>
        <w:t>HUANUCO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HUANUCO</w:t>
      </w:r>
      <w:r>
        <w:t xml:space="preserve">, por concepto de Asignaciones Temporales , se ha calculado para el 2021 un costo de S/ </w:t>
      </w:r>
      <w:r>
        <w:t xml:space="preserve">31,423,113 </w:t>
      </w:r>
      <w:r>
        <w:t xml:space="preserve">. Con un PIA 2021 por el monto de S/ </w:t>
      </w:r>
      <w:r>
        <w:t>23,967,498</w:t>
      </w:r>
      <w:r>
        <w:t xml:space="preserve">. Con Decreto Supremo N° 187-2021-EF se ha realizado una transferencia de partidas por el monto de S/ </w:t>
      </w:r>
      <w:r>
        <w:t>14,006,299</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HUANUCO</w:t>
      </w:r>
      <w:r>
        <w:t xml:space="preserve">, por concepto de Beneficios Sociales se ha calculado un costo total de S/. </w:t>
      </w:r>
      <w:r>
        <w:t>8,053,583</w:t>
      </w:r>
      <w:r>
        <w:t xml:space="preserve"> y se han aprobado pagos hasta por un costo de S/. </w:t>
      </w:r>
      <w:r>
        <w:t>7,983,315</w:t>
      </w:r>
      <w:r>
        <w:t xml:space="preserve">. Se gestionó una programación directa de recursos en el PIA </w:t>
      </w:r>
      <w:r>
        <w:t xml:space="preserve"> por el monto de S/. </w:t>
      </w:r>
      <w:r>
        <w:t>4,461,579</w:t>
      </w:r>
      <w:r>
        <w:t xml:space="preserve"> lo cual fue comunicado a través del </w:t>
      </w:r>
      <w:r>
        <w:t>Oficio Múltiple N° 00011-2021-MINEDU/SPE-OPEP-UPP</w:t>
      </w:r>
      <w:r>
        <w:t>. Con Decreto Supremo N° 072-2021-EF</w:t>
      </w:r>
      <w:r>
        <w:t xml:space="preserve">, se ha transferido </w:t>
      </w:r>
      <w:r>
        <w:t>2,383,154</w:t>
      </w:r>
      <w:r>
        <w:t xml:space="preserve">. Mediante </w:t>
      </w:r>
      <w:r>
        <w:t>Decreto Supremo N° 256-2021-EF se realizó la segunda transferencia por</w:t>
      </w:r>
      <w:r>
        <w:t xml:space="preserve"> S/ </w:t>
      </w:r>
      <w:r>
        <w:t>2,211,727</w:t>
      </w:r>
    </w:p>
    <w:p>
      <w:pPr>
        <w:pStyle w:val="Heading2"/>
      </w:pPr>
      <w:r>
        <w:t>Financiamiento de plazas 2021</w:t>
      </w:r>
    </w:p>
    <w:p>
      <w:pPr>
        <w:pStyle w:val="Heading5"/>
        <w:jc w:val="both"/>
      </w:pPr>
      <w:r>
        <w:t xml:space="preserve"> A través del DS N° 078-2021-EF se financió </w:t>
      </w:r>
      <w:r>
        <w:t>223</w:t>
      </w:r>
      <w:r>
        <w:t xml:space="preserve"> plazas de docentes de aula por un monto de S/ </w:t>
      </w:r>
      <w:r>
        <w:t>4,644,192</w:t>
      </w:r>
      <w:r>
        <w:t xml:space="preserve">en el marco de los resultados del proceso de racionalización 2020 en la región de </w:t>
      </w:r>
      <w:r>
        <w:t>HUANUCO</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3,885,917</w:t>
      </w:r>
      <w:r>
        <w:t xml:space="preserve"> a la región </w:t>
      </w:r>
      <w:r>
        <w:t>HUANUCO</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