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p>
    <w:p>
      <w:r>
        <w:drawing>
          <wp:inline xmlns:a="http://schemas.openxmlformats.org/drawingml/2006/main" xmlns:pic="http://schemas.openxmlformats.org/drawingml/2006/picture">
            <wp:extent cx="2468880" cy="3333468"/>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18,525,327</w:t>
            </w:r>
          </w:p>
        </w:tc>
      </w:tr>
      <w:tr>
        <w:tc>
          <w:tcPr>
            <w:tcW w:type="dxa" w:w="4320"/>
          </w:tcPr>
          <w:p>
            <w:r>
              <w:t>Conceptos remunerativos</w:t>
            </w:r>
          </w:p>
        </w:tc>
        <w:tc>
          <w:tcPr>
            <w:tcW w:type="dxa" w:w="4320"/>
          </w:tcPr>
          <w:p>
            <w:r>
              <w:t>85,832,195</w:t>
            </w:r>
          </w:p>
        </w:tc>
      </w:tr>
      <w:tr>
        <w:tc>
          <w:tcPr>
            <w:tcW w:type="dxa" w:w="4320"/>
          </w:tcPr>
          <w:p>
            <w:r>
              <w:t>Deuda social</w:t>
            </w:r>
          </w:p>
        </w:tc>
        <w:tc>
          <w:tcPr>
            <w:tcW w:type="dxa" w:w="4320"/>
          </w:tcPr>
          <w:p>
            <w:r>
              <w:t>9,306,556</w:t>
            </w:r>
          </w:p>
        </w:tc>
      </w:tr>
      <w:tr>
        <w:tc>
          <w:tcPr>
            <w:tcW w:type="dxa" w:w="4320"/>
          </w:tcPr>
          <w:p>
            <w:r>
              <w:t>Inversiones</w:t>
            </w:r>
          </w:p>
        </w:tc>
        <w:tc>
          <w:tcPr>
            <w:tcW w:type="dxa" w:w="4320"/>
          </w:tcPr>
          <w:p>
            <w:r>
              <w:t>10,329,028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5,885,682</w:t>
            </w:r>
          </w:p>
        </w:tc>
      </w:tr>
      <w:tr>
        <w:tc>
          <w:tcPr>
            <w:tcW w:type="dxa" w:w="4320"/>
          </w:tcPr>
          <w:p>
            <w:r>
              <w:t>Kit de higiene</w:t>
            </w:r>
          </w:p>
        </w:tc>
        <w:tc>
          <w:tcPr>
            <w:tcW w:type="dxa" w:w="4320"/>
          </w:tcPr>
          <w:p>
            <w:r>
              <w:t>8,164,190</w:t>
            </w:r>
          </w:p>
        </w:tc>
      </w:tr>
      <w:tr>
        <w:tc>
          <w:tcPr>
            <w:tcW w:type="dxa" w:w="4320"/>
          </w:tcPr>
          <w:p>
            <w:r>
              <w:t>Estaciones de lavado de manos</w:t>
            </w:r>
          </w:p>
        </w:tc>
        <w:tc>
          <w:tcPr>
            <w:tcW w:type="dxa" w:w="4320"/>
          </w:tcPr>
          <w:p>
            <w:r>
              <w:t>7,020,000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11,413,726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156,476,704</w:t>
            </w:r>
          </w:p>
        </w:tc>
      </w:tr>
    </w:tbl>
    <w:p>
      <w:pPr>
        <w:pStyle w:val="Heading2"/>
      </w:pPr>
      <w:r>
        <w:t>Intervenciones pedagógicas</w:t>
      </w:r>
    </w:p>
    <w:p>
      <w:pPr>
        <w:pStyle w:val="Heading3"/>
      </w:pPr>
      <w:r>
        <w:t>Corte: 28/11/2021</w:t>
      </w:r>
    </w:p>
    <w:p>
      <w:pPr>
        <w:pStyle w:val="Heading5"/>
        <w:jc w:val="both"/>
      </w:pPr>
      <w:r>
        <w:t xml:space="preserve">Al año 2021, el pliego de la región </w:t>
      </w:r>
      <w:r>
        <w:t>CAJAMARCA</w:t>
      </w:r>
      <w:r>
        <w:t xml:space="preserve"> inició con un PIA de S/</w:t>
      </w:r>
      <w:r>
        <w:t>23,527,518</w:t>
      </w:r>
      <w:r>
        <w:t xml:space="preserve">. En el transcurso del año fiscal, se han realizado cuatro (04) transferencias para complementar el financiamiento de las intervenciones pedagógicas, por un monto total de S/ </w:t>
      </w:r>
      <w:r>
        <w:t>18,525,327</w:t>
      </w:r>
      <w:r>
        <w:t>. Al 28 de noviembre</w:t>
      </w:r>
      <w:r>
        <w:t xml:space="preserve"> cuentan con S/ </w:t>
      </w:r>
      <w:r>
        <w:t>41,254,940</w:t>
      </w:r>
      <w:r>
        <w:t xml:space="preserve"> en su PIM. De los cuales se han ejecutado el </w:t>
      </w:r>
      <w:r>
        <w:t>76.6%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11,413,726</w:t>
      </w:r>
      <w:r>
        <w:t xml:space="preserve">. Con fecha de corte SIAF, la ejecución a nivel regional de los recursos de compromisos de desempeño fue de  </w:t>
      </w:r>
      <w:r>
        <w:t>22.3%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5,885,682</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50.9%</w:t>
      </w:r>
    </w:p>
    <w:p>
      <w:pPr>
        <w:pStyle w:val="Heading2"/>
      </w:pPr>
      <w:r>
        <w:t>Kit de higiene y estaciones de lavado de manos</w:t>
      </w:r>
    </w:p>
    <w:p>
      <w:pPr>
        <w:pStyle w:val="Heading5"/>
      </w:pPr>
      <w:r>
        <w:t xml:space="preserve">Con respecto al kit de higiene y al lavamanos, se transfirió S/ </w:t>
      </w:r>
      <w:r>
        <w:t>8,164,190</w:t>
      </w:r>
      <w:r>
        <w:t xml:space="preserve"> y S/ </w:t>
      </w:r>
      <w:r>
        <w:t>7,020,000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7,871,009</w:t>
      </w:r>
      <w:r>
        <w:t xml:space="preserve"> y S/ </w:t>
      </w:r>
      <w:r>
        <w:t>6,153,077</w:t>
      </w:r>
    </w:p>
    <w:p>
      <w:pPr>
        <w:pStyle w:val="Heading2"/>
      </w:pPr>
      <w:r>
        <w:t>Inversiones</w:t>
      </w:r>
    </w:p>
    <w:p>
      <w:pPr>
        <w:pStyle w:val="Heading5"/>
      </w:pPr>
      <w:r>
        <w:t>Mediante el Anexo 5 de la Ley de Presupuesto 2021 y Decreto Supremo N° 257-2021-EF, se transfieron recursos a la Región Cajamarca por el monto de S/ 10,329,028.00 para la ejecución de 9 inversiones correspondientes a instituciones educativas.</w:t>
      </w:r>
      <w:r>
        <w:t xml:space="preserve"> </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 </w:t>
      </w:r>
      <w:r>
        <w:t>61,880,944</w:t>
      </w:r>
      <w:r>
        <w:t>. 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 xml:space="preserve">. Con un PIA 2021 por el monto de S/ </w:t>
      </w:r>
      <w:r>
        <w:t>48,130,363</w:t>
      </w:r>
      <w:r>
        <w:t xml:space="preserve">. Con Decreto Supremo N° 187-2021-EF se ha realizado una transferencia de partidas por el monto de S/ </w:t>
      </w:r>
      <w:r>
        <w:t>35,019,412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 y se han aprobado pagos hasta por un costo de S/. </w:t>
      </w:r>
      <w:r>
        <w:t>14,253,836</w:t>
      </w:r>
      <w:r>
        <w:t xml:space="preserve">. Se gestionó una programación directa de recursos en el PIA </w:t>
      </w:r>
      <w:r>
        <w:t xml:space="preserve"> por el monto de S/. </w:t>
      </w:r>
      <w:r>
        <w:t>8,005,343</w:t>
      </w:r>
      <w:r>
        <w:t xml:space="preserve"> lo cual fue comunicado a través del </w:t>
      </w:r>
      <w:r>
        <w:t>Oficio Múltiple N° 00011-2021-MINEDU/SPE-OPEP-UPP</w:t>
      </w:r>
      <w:r>
        <w:t>. Con Decreto Supremo N° 072-2021-EF</w:t>
      </w:r>
      <w:r>
        <w:t xml:space="preserve">, se ha transferido </w:t>
      </w:r>
      <w:r>
        <w:t>3,312,222</w:t>
      </w:r>
      <w:r>
        <w:t xml:space="preserve">. Mediante </w:t>
      </w:r>
      <w:r>
        <w:t>Decreto Supremo N° 256-2021-EF se realizó la segunda transferencia por</w:t>
      </w:r>
      <w:r>
        <w:t xml:space="preserve"> S/ </w:t>
      </w:r>
      <w:r>
        <w:t>3,281,567</w:t>
      </w:r>
    </w:p>
    <w:p>
      <w:pPr>
        <w:pStyle w:val="Heading2"/>
      </w:pPr>
      <w:r>
        <w:t>Financiamiento de plazas 2021</w:t>
      </w:r>
    </w:p>
    <w:p>
      <w:pPr>
        <w:pStyle w:val="Heading5"/>
        <w:jc w:val="both"/>
      </w:pPr>
      <w:r>
        <w:t xml:space="preserve"> A través del DS N° 078-2021-EF se financió </w:t>
      </w:r>
      <w:r>
        <w:t>593</w:t>
      </w:r>
      <w:r>
        <w:t xml:space="preserve"> plazas de docentes de aula por un monto de S/ </w:t>
      </w:r>
      <w:r>
        <w:t>12,349,788</w:t>
      </w:r>
      <w:r>
        <w:t xml:space="preserve">en el marco de los resultados del proceso de racionalización 2020 en la región de </w:t>
      </w:r>
      <w:r>
        <w:t>CAJAMARCA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9,306,556</w:t>
      </w:r>
      <w:r>
        <w:t xml:space="preserve"> a la región </w:t>
      </w:r>
      <w:r>
        <w:t>CAJAMARCA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