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p>
    <w:p>
      <w:r>
        <w:drawing>
          <wp:inline xmlns:a="http://schemas.openxmlformats.org/drawingml/2006/main" xmlns:pic="http://schemas.openxmlformats.org/drawingml/2006/picture">
            <wp:extent cx="2468880" cy="3330798"/>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2,148,689</w:t>
            </w:r>
          </w:p>
        </w:tc>
      </w:tr>
      <w:tr>
        <w:tc>
          <w:tcPr>
            <w:tcW w:type="dxa" w:w="4320"/>
          </w:tcPr>
          <w:p>
            <w:r>
              <w:t>Conceptos remunerativos</w:t>
            </w:r>
          </w:p>
        </w:tc>
        <w:tc>
          <w:tcPr>
            <w:tcW w:type="dxa" w:w="4320"/>
          </w:tcPr>
          <w:p>
            <w:r>
              <w:t>5,091,441</w:t>
            </w:r>
          </w:p>
        </w:tc>
      </w:tr>
      <w:tr>
        <w:tc>
          <w:tcPr>
            <w:tcW w:type="dxa" w:w="4320"/>
          </w:tcPr>
          <w:p>
            <w:r>
              <w:t>Deuda social</w:t>
            </w:r>
          </w:p>
        </w:tc>
        <w:tc>
          <w:tcPr>
            <w:tcW w:type="dxa" w:w="4320"/>
          </w:tcPr>
          <w:p>
            <w:r>
              <w:t>8,895,295</w:t>
            </w:r>
          </w:p>
        </w:tc>
      </w:tr>
      <w:tr>
        <w:tc>
          <w:tcPr>
            <w:tcW w:type="dxa" w:w="4320"/>
          </w:tcPr>
          <w:p>
            <w:r>
              <w:t>Inversiones</w:t>
            </w:r>
          </w:p>
        </w:tc>
        <w:tc>
          <w:tcPr>
            <w:tcW w:type="dxa" w:w="4320"/>
          </w:tcPr>
          <w:p>
            <w:r>
              <w:t>4,500,037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1,061,162</w:t>
            </w:r>
          </w:p>
        </w:tc>
      </w:tr>
      <w:tr>
        <w:tc>
          <w:tcPr>
            <w:tcW w:type="dxa" w:w="4320"/>
          </w:tcPr>
          <w:p>
            <w:r>
              <w:t>Kit de higiene</w:t>
            </w:r>
          </w:p>
        </w:tc>
        <w:tc>
          <w:tcPr>
            <w:tcW w:type="dxa" w:w="4320"/>
          </w:tcPr>
          <w:p>
            <w:r>
              <w:t>1,122,058</w:t>
            </w:r>
          </w:p>
        </w:tc>
      </w:tr>
      <w:tr>
        <w:tc>
          <w:tcPr>
            <w:tcW w:type="dxa" w:w="4320"/>
          </w:tcPr>
          <w:p>
            <w:r>
              <w:t>Estaciones de lavado de manos</w:t>
            </w:r>
          </w:p>
        </w:tc>
        <w:tc>
          <w:tcPr>
            <w:tcW w:type="dxa" w:w="4320"/>
          </w:tcPr>
          <w:p>
            <w:r>
              <w:t>153,600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3,406,197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26,378,479</w:t>
            </w:r>
          </w:p>
        </w:tc>
      </w:tr>
    </w:tbl>
    <w:p>
      <w:pPr>
        <w:pStyle w:val="Heading2"/>
      </w:pPr>
      <w:r>
        <w:t>Intervenciones pedagógicas</w:t>
      </w:r>
    </w:p>
    <w:p>
      <w:pPr>
        <w:pStyle w:val="Heading3"/>
      </w:pPr>
      <w:r>
        <w:t>Corte: 28/11/2021</w:t>
      </w:r>
    </w:p>
    <w:p>
      <w:pPr>
        <w:pStyle w:val="Heading5"/>
        <w:jc w:val="both"/>
      </w:pPr>
      <w:r>
        <w:t xml:space="preserve">Al año 2021, el pliego de la región </w:t>
      </w:r>
      <w:r>
        <w:t>TACNA</w:t>
      </w:r>
      <w:r>
        <w:t xml:space="preserve"> inició con un PIA de S/</w:t>
      </w:r>
      <w:r>
        <w:t>3,663,082</w:t>
      </w:r>
      <w:r>
        <w:t xml:space="preserve">. En el transcurso del año fiscal, se han realizado cuatro (04) transferencias para complementar el financiamiento de las intervenciones pedagógicas, por un monto total de S/ </w:t>
      </w:r>
      <w:r>
        <w:t>2,148,689</w:t>
      </w:r>
      <w:r>
        <w:t>. Al 28 de noviembre</w:t>
      </w:r>
      <w:r>
        <w:t xml:space="preserve"> cuentan con S/ </w:t>
      </w:r>
      <w:r>
        <w:t>4,738,670</w:t>
      </w:r>
      <w:r>
        <w:t xml:space="preserve"> en su PIM. De los cuales se han ejecutado el </w:t>
      </w:r>
      <w:r>
        <w:t>84.4%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3,406,197</w:t>
      </w:r>
      <w:r>
        <w:t xml:space="preserve">. Con fecha de corte SIAF, la ejecución a nivel regional de los recursos de compromisos de desempeño fue de  </w:t>
      </w:r>
      <w:r>
        <w:t>38.6%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1,061,162</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92.1%</w:t>
      </w:r>
    </w:p>
    <w:p>
      <w:pPr>
        <w:pStyle w:val="Heading2"/>
      </w:pPr>
      <w:r>
        <w:t>Kit de higiene y estaciones de lavado de manos</w:t>
      </w:r>
    </w:p>
    <w:p>
      <w:pPr>
        <w:pStyle w:val="Heading5"/>
      </w:pPr>
      <w:r>
        <w:t xml:space="preserve">Con respecto al kit de higiene y al lavamanos, se transfirió S/ </w:t>
      </w:r>
      <w:r>
        <w:t>1,122,058</w:t>
      </w:r>
      <w:r>
        <w:t xml:space="preserve"> y S/ </w:t>
      </w:r>
      <w:r>
        <w:t>153,600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1,118,958</w:t>
      </w:r>
      <w:r>
        <w:t xml:space="preserve"> y S/ </w:t>
      </w:r>
      <w:r>
        <w:t>131,106</w:t>
      </w:r>
    </w:p>
    <w:p>
      <w:pPr>
        <w:pStyle w:val="Heading2"/>
      </w:pPr>
      <w:r>
        <w:t>Inversiones</w:t>
      </w:r>
    </w:p>
    <w:p>
      <w:pPr>
        <w:pStyle w:val="Heading5"/>
      </w:pPr>
      <w:r>
        <w:t>Mediante el DU N° 100-2021-EF, se transfieron recursos a la Región Tacna por el monto de S/ 4,500,037.00 para la ejecución de 1 inversión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 </w:t>
      </w:r>
      <w:r>
        <w:t>4,440,013</w:t>
      </w:r>
      <w:r>
        <w:t>. 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 xml:space="preserve">. Con un PIA 2021 por el monto de S/ </w:t>
      </w:r>
      <w:r>
        <w:t>5,474,704</w:t>
      </w:r>
      <w:r>
        <w:t xml:space="preserve">. Con Decreto Supremo N° 187-2021-EF se ha realizado una transferencia de partidas por el monto de S/ </w:t>
      </w:r>
      <w:r>
        <w:t>2,497,481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 y se han aprobado pagos hasta por un costo de S/. </w:t>
      </w:r>
      <w:r>
        <w:t>2,075,152</w:t>
      </w:r>
      <w:r>
        <w:t xml:space="preserve">. Se gestionó una programación directa de recursos en el PIA </w:t>
      </w:r>
      <w:r>
        <w:t xml:space="preserve"> por el monto de S/. </w:t>
      </w:r>
      <w:r>
        <w:t>1,848,967</w:t>
      </w:r>
      <w:r>
        <w:t xml:space="preserve"> lo cual fue comunicado a través del </w:t>
      </w:r>
      <w:r>
        <w:t>Oficio Múltiple N° 00011-2021-MINEDU/SPE-OPEP-UPP</w:t>
      </w:r>
      <w:r>
        <w:t>. Con Decreto Supremo N° 072-2021-EF</w:t>
      </w:r>
      <w:r>
        <w:t xml:space="preserve">, se ha transferido </w:t>
      </w:r>
      <w:r>
        <w:t>466,772</w:t>
      </w:r>
      <w:r>
        <w:t xml:space="preserve">. Mediante </w:t>
      </w:r>
      <w:r>
        <w:t>Decreto Supremo N° 256-2021-EF se realizó la segunda transferencia por</w:t>
      </w:r>
      <w:r>
        <w:t xml:space="preserve"> S/ </w:t>
      </w:r>
      <w:r>
        <w:t>43,154</w:t>
      </w:r>
    </w:p>
    <w:p>
      <w:pPr>
        <w:pStyle w:val="Heading2"/>
      </w:pPr>
      <w:r>
        <w:t>Financiamiento de plazas 2021</w:t>
      </w:r>
    </w:p>
    <w:p>
      <w:pPr>
        <w:pStyle w:val="Heading5"/>
        <w:jc w:val="both"/>
      </w:pPr>
      <w:r>
        <w:t xml:space="preserve"> A través del DS N° 078-2021-EF se financió </w:t>
      </w:r>
      <w:r>
        <w:t>56</w:t>
      </w:r>
      <w:r>
        <w:t xml:space="preserve"> plazas de docentes de aula por un monto de S/ </w:t>
      </w:r>
      <w:r>
        <w:t>1,166,249</w:t>
      </w:r>
      <w:r>
        <w:t xml:space="preserve">en el marco de los resultados del proceso de racionalización 2020 en la región de </w:t>
      </w:r>
      <w:r>
        <w:t>TACNA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8,895,295</w:t>
      </w:r>
      <w:r>
        <w:t xml:space="preserve"> a la región </w:t>
      </w:r>
      <w:r>
        <w:t>TACNA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