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3,161,721</w:t>
      </w:r>
      <w:r>
        <w:t xml:space="preserve"> millones en su Presupuesto Institucional Modificado (PIM) para el     financiamiento de intervenciones y acciones pedagógicas, de los cuales se han ejecutado S/ </w:t>
      </w:r>
      <w:r>
        <w:t>2,617,013</w:t>
      </w:r>
      <w:r>
        <w:t xml:space="preserve"> lo cual corresponde a </w:t>
      </w:r>
      <w:r>
        <w:t>82.8%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24,226</w:t>
            </w:r>
          </w:p>
        </w:tc>
        <w:tc>
          <w:tcPr>
            <w:tcW w:type="dxa" w:w="1728"/>
          </w:tcPr>
          <w:p>
            <w:r>
              <w:t>24,226</w:t>
            </w:r>
          </w:p>
        </w:tc>
        <w:tc>
          <w:tcPr>
            <w:tcW w:type="dxa" w:w="1728"/>
          </w:tcPr>
          <w:p>
            <w:r>
              <w:t>20,508</w:t>
            </w:r>
          </w:p>
        </w:tc>
        <w:tc>
          <w:tcPr>
            <w:tcW w:type="dxa" w:w="1728"/>
          </w:tcPr>
          <w:p>
            <w:r>
              <w:t>74.2%</w:t>
            </w:r>
          </w:p>
        </w:tc>
      </w:tr>
      <w:tr>
        <w:tc>
          <w:tcPr>
            <w:tcW w:type="dxa" w:w="1728"/>
          </w:tcPr>
          <w:p>
            <w:r>
              <w:t>Absorción</w:t>
            </w:r>
          </w:p>
        </w:tc>
        <w:tc>
          <w:tcPr>
            <w:tcW w:type="dxa" w:w="1728"/>
          </w:tcPr>
          <w:p>
            <w:r>
              <w:t>65,783</w:t>
            </w:r>
          </w:p>
        </w:tc>
        <w:tc>
          <w:tcPr>
            <w:tcW w:type="dxa" w:w="1728"/>
          </w:tcPr>
          <w:p>
            <w:r>
              <w:t>65,783</w:t>
            </w:r>
          </w:p>
        </w:tc>
        <w:tc>
          <w:tcPr>
            <w:tcW w:type="dxa" w:w="1728"/>
          </w:tcPr>
          <w:p>
            <w:r>
              <w:t>58,697</w:t>
            </w:r>
          </w:p>
        </w:tc>
        <w:tc>
          <w:tcPr>
            <w:tcW w:type="dxa" w:w="1728"/>
          </w:tcPr>
          <w:p>
            <w:r>
              <w:t>97.7%</w:t>
            </w:r>
          </w:p>
        </w:tc>
      </w:tr>
      <w:tr>
        <w:tc>
          <w:tcPr>
            <w:tcW w:type="dxa" w:w="1728"/>
          </w:tcPr>
          <w:p>
            <w:r>
              <w:t>Acciones comunes del PP 106</w:t>
            </w:r>
          </w:p>
        </w:tc>
        <w:tc>
          <w:tcPr>
            <w:tcW w:type="dxa" w:w="1728"/>
          </w:tcPr>
          <w:p>
            <w:r>
              <w:t>39,216</w:t>
            </w:r>
          </w:p>
        </w:tc>
        <w:tc>
          <w:tcPr>
            <w:tcW w:type="dxa" w:w="1728"/>
          </w:tcPr>
          <w:p>
            <w:r>
              <w:t>39,216</w:t>
            </w:r>
          </w:p>
        </w:tc>
        <w:tc>
          <w:tcPr>
            <w:tcW w:type="dxa" w:w="1728"/>
          </w:tcPr>
          <w:p>
            <w:r>
              <w:t>35,698</w:t>
            </w:r>
          </w:p>
        </w:tc>
        <w:tc>
          <w:tcPr>
            <w:tcW w:type="dxa" w:w="1728"/>
          </w:tcPr>
          <w:p>
            <w:r>
              <w:t>109.9%</w:t>
            </w:r>
          </w:p>
        </w:tc>
      </w:tr>
      <w:tr>
        <w:tc>
          <w:tcPr>
            <w:tcW w:type="dxa" w:w="1728"/>
          </w:tcPr>
          <w:p>
            <w:r>
              <w:t>Acciones comunes del PP 107</w:t>
            </w:r>
          </w:p>
        </w:tc>
        <w:tc>
          <w:tcPr>
            <w:tcW w:type="dxa" w:w="1728"/>
          </w:tcPr>
          <w:p>
            <w:r>
              <w:t>34,416</w:t>
            </w:r>
          </w:p>
        </w:tc>
        <w:tc>
          <w:tcPr>
            <w:tcW w:type="dxa" w:w="1728"/>
          </w:tcPr>
          <w:p>
            <w:r>
              <w:t>34,416</w:t>
            </w:r>
          </w:p>
        </w:tc>
        <w:tc>
          <w:tcPr>
            <w:tcW w:type="dxa" w:w="1728"/>
          </w:tcPr>
          <w:p>
            <w:r>
              <w:t>31,298</w:t>
            </w:r>
          </w:p>
        </w:tc>
        <w:tc>
          <w:tcPr>
            <w:tcW w:type="dxa" w:w="1728"/>
          </w:tcPr>
          <w:p>
            <w:r>
              <w:t>109.9%</w:t>
            </w:r>
          </w:p>
        </w:tc>
      </w:tr>
      <w:tr>
        <w:tc>
          <w:tcPr>
            <w:tcW w:type="dxa" w:w="1728"/>
          </w:tcPr>
          <w:p>
            <w:r>
              <w:t>Acciones comunes del PP 90</w:t>
            </w:r>
          </w:p>
        </w:tc>
        <w:tc>
          <w:tcPr>
            <w:tcW w:type="dxa" w:w="1728"/>
          </w:tcPr>
          <w:p>
            <w:r>
              <w:t>20,642</w:t>
            </w:r>
          </w:p>
        </w:tc>
        <w:tc>
          <w:tcPr>
            <w:tcW w:type="dxa" w:w="1728"/>
          </w:tcPr>
          <w:p>
            <w:r>
              <w:t>20,642</w:t>
            </w:r>
          </w:p>
        </w:tc>
        <w:tc>
          <w:tcPr>
            <w:tcW w:type="dxa" w:w="1728"/>
          </w:tcPr>
          <w:p>
            <w:r>
              <w:t>17,624</w:t>
            </w:r>
          </w:p>
        </w:tc>
        <w:tc>
          <w:tcPr>
            <w:tcW w:type="dxa" w:w="1728"/>
          </w:tcPr>
          <w:p>
            <w:r>
              <w:t>117.1%</w:t>
            </w:r>
          </w:p>
        </w:tc>
      </w:tr>
      <w:tr>
        <w:tc>
          <w:tcPr>
            <w:tcW w:type="dxa" w:w="1728"/>
          </w:tcPr>
          <w:p>
            <w:r>
              <w:t>CAS UGEL</w:t>
            </w:r>
          </w:p>
        </w:tc>
        <w:tc>
          <w:tcPr>
            <w:tcW w:type="dxa" w:w="1728"/>
          </w:tcPr>
          <w:p>
            <w:r>
              <w:t>124,136</w:t>
            </w:r>
          </w:p>
        </w:tc>
        <w:tc>
          <w:tcPr>
            <w:tcW w:type="dxa" w:w="1728"/>
          </w:tcPr>
          <w:p>
            <w:r>
              <w:t>124,136</w:t>
            </w:r>
          </w:p>
        </w:tc>
        <w:tc>
          <w:tcPr>
            <w:tcW w:type="dxa" w:w="1728"/>
          </w:tcPr>
          <w:p>
            <w:r>
              <w:t>111,554</w:t>
            </w:r>
          </w:p>
        </w:tc>
        <w:tc>
          <w:tcPr>
            <w:tcW w:type="dxa" w:w="1728"/>
          </w:tcPr>
          <w:p>
            <w:r>
              <w:t>131.1%</w:t>
            </w:r>
          </w:p>
        </w:tc>
      </w:tr>
      <w:tr>
        <w:tc>
          <w:tcPr>
            <w:tcW w:type="dxa" w:w="1728"/>
          </w:tcPr>
          <w:p>
            <w:r>
              <w:t>Convivencia Escolar</w:t>
            </w:r>
          </w:p>
        </w:tc>
        <w:tc>
          <w:tcPr>
            <w:tcW w:type="dxa" w:w="1728"/>
          </w:tcPr>
          <w:p>
            <w:r>
              <w:t>212,796</w:t>
            </w:r>
          </w:p>
        </w:tc>
        <w:tc>
          <w:tcPr>
            <w:tcW w:type="dxa" w:w="1728"/>
          </w:tcPr>
          <w:p>
            <w:r>
              <w:t>212,292</w:t>
            </w:r>
          </w:p>
        </w:tc>
        <w:tc>
          <w:tcPr>
            <w:tcW w:type="dxa" w:w="1728"/>
          </w:tcPr>
          <w:p>
            <w:r>
              <w:t>194,506</w:t>
            </w:r>
          </w:p>
        </w:tc>
        <w:tc>
          <w:tcPr>
            <w:tcW w:type="dxa" w:w="1728"/>
          </w:tcPr>
          <w:p>
            <w:r>
              <w:t>96.4%</w:t>
            </w:r>
          </w:p>
        </w:tc>
      </w:tr>
      <w:tr>
        <w:tc>
          <w:tcPr>
            <w:tcW w:type="dxa" w:w="1728"/>
          </w:tcPr>
          <w:p>
            <w:r>
              <w:t>Fortalecimiento de acciones del PP 107</w:t>
            </w:r>
          </w:p>
        </w:tc>
        <w:tc>
          <w:tcPr>
            <w:tcW w:type="dxa" w:w="1728"/>
          </w:tcPr>
          <w:p>
            <w:r>
              <w:t>62,592</w:t>
            </w:r>
          </w:p>
        </w:tc>
        <w:tc>
          <w:tcPr>
            <w:tcW w:type="dxa" w:w="1728"/>
          </w:tcPr>
          <w:p>
            <w:r>
              <w:t>62,592</w:t>
            </w:r>
          </w:p>
        </w:tc>
        <w:tc>
          <w:tcPr>
            <w:tcW w:type="dxa" w:w="1728"/>
          </w:tcPr>
          <w:p>
            <w:r>
              <w:t>56,354</w:t>
            </w:r>
          </w:p>
        </w:tc>
        <w:tc>
          <w:tcPr>
            <w:tcW w:type="dxa" w:w="1728"/>
          </w:tcPr>
          <w:p>
            <w:r>
              <w:t>109.7%</w:t>
            </w:r>
          </w:p>
        </w:tc>
      </w:tr>
      <w:tr>
        <w:tc>
          <w:tcPr>
            <w:tcW w:type="dxa" w:w="1728"/>
          </w:tcPr>
          <w:p>
            <w:r>
              <w:t>Fortalecimiento de competencias para uso de dispositivos electrónicos</w:t>
            </w:r>
          </w:p>
        </w:tc>
        <w:tc>
          <w:tcPr>
            <w:tcW w:type="dxa" w:w="1728"/>
          </w:tcPr>
          <w:p>
            <w:r>
              <w:t>362,068</w:t>
            </w:r>
          </w:p>
        </w:tc>
        <w:tc>
          <w:tcPr>
            <w:tcW w:type="dxa" w:w="1728"/>
          </w:tcPr>
          <w:p>
            <w:r>
              <w:t>362,068</w:t>
            </w:r>
          </w:p>
        </w:tc>
        <w:tc>
          <w:tcPr>
            <w:tcW w:type="dxa" w:w="1728"/>
          </w:tcPr>
          <w:p>
            <w:r>
              <w:t>312,369</w:t>
            </w:r>
          </w:p>
        </w:tc>
        <w:tc>
          <w:tcPr>
            <w:tcW w:type="dxa" w:w="1728"/>
          </w:tcPr>
          <w:p>
            <w:r>
              <w:t>95.2%</w:t>
            </w:r>
          </w:p>
        </w:tc>
      </w:tr>
      <w:tr>
        <w:tc>
          <w:tcPr>
            <w:tcW w:type="dxa" w:w="1728"/>
          </w:tcPr>
          <w:p>
            <w:r>
              <w:t>Fortalecimiento de las acciones del PP 106</w:t>
            </w:r>
          </w:p>
        </w:tc>
        <w:tc>
          <w:tcPr>
            <w:tcW w:type="dxa" w:w="1728"/>
          </w:tcPr>
          <w:p>
            <w:r>
              <w:t>134,105</w:t>
            </w:r>
          </w:p>
        </w:tc>
        <w:tc>
          <w:tcPr>
            <w:tcW w:type="dxa" w:w="1728"/>
          </w:tcPr>
          <w:p>
            <w:r>
              <w:t>133,271</w:t>
            </w:r>
          </w:p>
        </w:tc>
        <w:tc>
          <w:tcPr>
            <w:tcW w:type="dxa" w:w="1728"/>
          </w:tcPr>
          <w:p>
            <w:r>
              <w:t>118,788</w:t>
            </w:r>
          </w:p>
        </w:tc>
        <w:tc>
          <w:tcPr>
            <w:tcW w:type="dxa" w:w="1728"/>
          </w:tcPr>
          <w:p>
            <w:r>
              <w:t>103.8%</w:t>
            </w:r>
          </w:p>
        </w:tc>
      </w:tr>
      <w:tr>
        <w:tc>
          <w:tcPr>
            <w:tcW w:type="dxa" w:w="1728"/>
          </w:tcPr>
          <w:p>
            <w:r>
              <w:t>JEC</w:t>
            </w:r>
          </w:p>
        </w:tc>
        <w:tc>
          <w:tcPr>
            <w:tcW w:type="dxa" w:w="1728"/>
          </w:tcPr>
          <w:p>
            <w:r>
              <w:t>678,429</w:t>
            </w:r>
          </w:p>
        </w:tc>
        <w:tc>
          <w:tcPr>
            <w:tcW w:type="dxa" w:w="1728"/>
          </w:tcPr>
          <w:p>
            <w:r>
              <w:t>676,715</w:t>
            </w:r>
          </w:p>
        </w:tc>
        <w:tc>
          <w:tcPr>
            <w:tcW w:type="dxa" w:w="1728"/>
          </w:tcPr>
          <w:p>
            <w:r>
              <w:t>587,959</w:t>
            </w:r>
          </w:p>
        </w:tc>
        <w:tc>
          <w:tcPr>
            <w:tcW w:type="dxa" w:w="1728"/>
          </w:tcPr>
          <w:p>
            <w:r>
              <w:t>107.3%</w:t>
            </w:r>
          </w:p>
        </w:tc>
      </w:tr>
      <w:tr>
        <w:tc>
          <w:tcPr>
            <w:tcW w:type="dxa" w:w="1728"/>
          </w:tcPr>
          <w:p>
            <w:r>
              <w:t>Secundaria con residencia</w:t>
            </w:r>
          </w:p>
        </w:tc>
        <w:tc>
          <w:tcPr>
            <w:tcW w:type="dxa" w:w="1728"/>
          </w:tcPr>
          <w:p>
            <w:r>
              <w:t>130,289</w:t>
            </w:r>
          </w:p>
        </w:tc>
        <w:tc>
          <w:tcPr>
            <w:tcW w:type="dxa" w:w="1728"/>
          </w:tcPr>
          <w:p>
            <w:r>
              <w:t>130,289</w:t>
            </w:r>
          </w:p>
        </w:tc>
        <w:tc>
          <w:tcPr>
            <w:tcW w:type="dxa" w:w="1728"/>
          </w:tcPr>
          <w:p>
            <w:r>
              <w:t>105,019</w:t>
            </w:r>
          </w:p>
        </w:tc>
        <w:tc>
          <w:tcPr>
            <w:tcW w:type="dxa" w:w="1728"/>
          </w:tcPr>
          <w:p>
            <w:r>
              <w:t>52.2%</w:t>
            </w:r>
          </w:p>
        </w:tc>
      </w:tr>
      <w:tr>
        <w:tc>
          <w:tcPr>
            <w:tcW w:type="dxa" w:w="1728"/>
          </w:tcPr>
          <w:p>
            <w:r>
              <w:t>147. Institutos Tecnológicos</w:t>
            </w:r>
          </w:p>
        </w:tc>
        <w:tc>
          <w:tcPr>
            <w:tcW w:type="dxa" w:w="1728"/>
          </w:tcPr>
          <w:p>
            <w:r>
              <w:t>123,698</w:t>
            </w:r>
          </w:p>
        </w:tc>
        <w:tc>
          <w:tcPr>
            <w:tcW w:type="dxa" w:w="1728"/>
          </w:tcPr>
          <w:p>
            <w:r>
              <w:t>108,723</w:t>
            </w:r>
          </w:p>
        </w:tc>
        <w:tc>
          <w:tcPr>
            <w:tcW w:type="dxa" w:w="1728"/>
          </w:tcPr>
          <w:p>
            <w:r>
              <w:t>95,473</w:t>
            </w:r>
          </w:p>
        </w:tc>
        <w:tc>
          <w:tcPr>
            <w:tcW w:type="dxa" w:w="1728"/>
          </w:tcPr>
          <w:p>
            <w:r>
              <w:t>177.2%</w:t>
            </w:r>
          </w:p>
        </w:tc>
      </w:tr>
      <w:tr>
        <w:tc>
          <w:tcPr>
            <w:tcW w:type="dxa" w:w="1728"/>
          </w:tcPr>
          <w:p>
            <w:r>
              <w:t>Convivencia Escolar</w:t>
            </w:r>
          </w:p>
        </w:tc>
        <w:tc>
          <w:tcPr>
            <w:tcW w:type="dxa" w:w="1728"/>
          </w:tcPr>
          <w:p>
            <w:r>
              <w:t>174,029</w:t>
            </w:r>
          </w:p>
        </w:tc>
        <w:tc>
          <w:tcPr>
            <w:tcW w:type="dxa" w:w="1728"/>
          </w:tcPr>
          <w:p>
            <w:r>
              <w:t>156,261</w:t>
            </w:r>
          </w:p>
        </w:tc>
        <w:tc>
          <w:tcPr>
            <w:tcW w:type="dxa" w:w="1728"/>
          </w:tcPr>
          <w:p>
            <w:r>
              <w:t>125,905</w:t>
            </w:r>
          </w:p>
        </w:tc>
        <w:tc>
          <w:tcPr>
            <w:tcW w:type="dxa" w:w="1728"/>
          </w:tcPr>
          <w:p>
            <w:r>
              <w:t>87.9%</w:t>
            </w:r>
          </w:p>
        </w:tc>
      </w:tr>
      <w:tr>
        <w:tc>
          <w:tcPr>
            <w:tcW w:type="dxa" w:w="1728"/>
          </w:tcPr>
          <w:p>
            <w:r>
              <w:t>Fortalecimiento de competencias para uso de dispositivos electrónicos</w:t>
            </w:r>
          </w:p>
        </w:tc>
        <w:tc>
          <w:tcPr>
            <w:tcW w:type="dxa" w:w="1728"/>
          </w:tcPr>
          <w:p>
            <w:r>
              <w:t>197,066</w:t>
            </w:r>
          </w:p>
        </w:tc>
        <w:tc>
          <w:tcPr>
            <w:tcW w:type="dxa" w:w="1728"/>
          </w:tcPr>
          <w:p>
            <w:r>
              <w:t>152,560</w:t>
            </w:r>
          </w:p>
        </w:tc>
        <w:tc>
          <w:tcPr>
            <w:tcW w:type="dxa" w:w="1728"/>
          </w:tcPr>
          <w:p>
            <w:r>
              <w:t>128,730</w:t>
            </w:r>
          </w:p>
        </w:tc>
        <w:tc>
          <w:tcPr>
            <w:tcW w:type="dxa" w:w="1728"/>
          </w:tcPr>
          <w:p>
            <w:r>
              <w:t>65.3%</w:t>
            </w:r>
          </w:p>
        </w:tc>
      </w:tr>
      <w:tr>
        <w:tc>
          <w:tcPr>
            <w:tcW w:type="dxa" w:w="1728"/>
          </w:tcPr>
          <w:p>
            <w:r>
              <w:t>Fortalecimiento de las acciones del PP 106</w:t>
            </w:r>
          </w:p>
        </w:tc>
        <w:tc>
          <w:tcPr>
            <w:tcW w:type="dxa" w:w="1728"/>
          </w:tcPr>
          <w:p>
            <w:r>
              <w:t>20,170</w:t>
            </w:r>
          </w:p>
        </w:tc>
        <w:tc>
          <w:tcPr>
            <w:tcW w:type="dxa" w:w="1728"/>
          </w:tcPr>
          <w:p>
            <w:r>
              <w:t>19,518</w:t>
            </w:r>
          </w:p>
        </w:tc>
        <w:tc>
          <w:tcPr>
            <w:tcW w:type="dxa" w:w="1728"/>
          </w:tcPr>
          <w:p>
            <w:r>
              <w:t>18,966</w:t>
            </w:r>
          </w:p>
        </w:tc>
        <w:tc>
          <w:tcPr>
            <w:tcW w:type="dxa" w:w="1728"/>
          </w:tcPr>
          <w:p>
            <w:r>
              <w:t>134.4%</w:t>
            </w:r>
          </w:p>
        </w:tc>
      </w:tr>
      <w:tr>
        <w:tc>
          <w:tcPr>
            <w:tcW w:type="dxa" w:w="1728"/>
          </w:tcPr>
          <w:p>
            <w:r>
              <w:t>Kit de impresiones</w:t>
            </w:r>
          </w:p>
        </w:tc>
        <w:tc>
          <w:tcPr>
            <w:tcW w:type="dxa" w:w="1728"/>
          </w:tcPr>
          <w:p>
            <w:r>
              <w:t>221,157</w:t>
            </w:r>
          </w:p>
        </w:tc>
        <w:tc>
          <w:tcPr>
            <w:tcW w:type="dxa" w:w="1728"/>
          </w:tcPr>
          <w:p>
            <w:r>
              <w:t>131,106</w:t>
            </w:r>
          </w:p>
        </w:tc>
        <w:tc>
          <w:tcPr>
            <w:tcW w:type="dxa" w:w="1728"/>
          </w:tcPr>
          <w:p>
            <w:r>
              <w:t>131,106</w:t>
            </w:r>
          </w:p>
        </w:tc>
        <w:tc>
          <w:tcPr>
            <w:tcW w:type="dxa" w:w="1728"/>
          </w:tcPr>
          <w:p>
            <w:r>
              <w:t>59.9%</w:t>
            </w:r>
          </w:p>
        </w:tc>
      </w:tr>
      <w:tr>
        <w:tc>
          <w:tcPr>
            <w:tcW w:type="dxa" w:w="1728"/>
          </w:tcPr>
          <w:p>
            <w:r>
              <w:t>PRONOEI</w:t>
            </w:r>
          </w:p>
        </w:tc>
        <w:tc>
          <w:tcPr>
            <w:tcW w:type="dxa" w:w="1728"/>
          </w:tcPr>
          <w:p>
            <w:r>
              <w:t>498,400</w:t>
            </w:r>
          </w:p>
        </w:tc>
        <w:tc>
          <w:tcPr>
            <w:tcW w:type="dxa" w:w="1728"/>
          </w:tcPr>
          <w:p>
            <w:r>
              <w:t>498,400</w:t>
            </w:r>
          </w:p>
        </w:tc>
        <w:tc>
          <w:tcPr>
            <w:tcW w:type="dxa" w:w="1728"/>
          </w:tcPr>
          <w:p>
            <w:r>
              <w:t>448,300</w:t>
            </w:r>
          </w:p>
        </w:tc>
        <w:tc>
          <w:tcPr>
            <w:tcW w:type="dxa" w:w="1728"/>
          </w:tcPr>
          <w:p>
            <w:r>
              <w:t>111.9%</w:t>
            </w:r>
          </w:p>
        </w:tc>
      </w:tr>
      <w:tr>
        <w:tc>
          <w:tcPr>
            <w:tcW w:type="dxa" w:w="1728"/>
          </w:tcPr>
          <w:p>
            <w:r>
              <w:t>Plan de Mejora del PP 0107</w:t>
            </w:r>
          </w:p>
        </w:tc>
        <w:tc>
          <w:tcPr>
            <w:tcW w:type="dxa" w:w="1728"/>
          </w:tcPr>
          <w:p>
            <w:r>
              <w:t>34,660</w:t>
            </w:r>
          </w:p>
        </w:tc>
        <w:tc>
          <w:tcPr>
            <w:tcW w:type="dxa" w:w="1728"/>
          </w:tcPr>
          <w:p>
            <w:r>
              <w:t>30,160</w:t>
            </w:r>
          </w:p>
        </w:tc>
        <w:tc>
          <w:tcPr>
            <w:tcW w:type="dxa" w:w="1728"/>
          </w:tcPr>
          <w:p>
            <w:r>
              <w:t>18,160</w:t>
            </w:r>
          </w:p>
        </w:tc>
        <w:tc>
          <w:tcPr>
            <w:tcW w:type="dxa" w:w="1728"/>
          </w:tcPr>
          <w:p>
            <w:r>
              <w:t>108.1%</w:t>
            </w:r>
          </w:p>
        </w:tc>
      </w:tr>
      <w:tr>
        <w:tc>
          <w:tcPr>
            <w:tcW w:type="dxa" w:w="1728"/>
          </w:tcPr>
          <w:p>
            <w:r>
              <w:t>Traslado Docente</w:t>
            </w:r>
          </w:p>
        </w:tc>
        <w:tc>
          <w:tcPr>
            <w:tcW w:type="dxa" w:w="1728"/>
          </w:tcPr>
          <w:p>
            <w:r>
              <w:t>3,843</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3,161,721</w:t>
            </w:r>
          </w:p>
        </w:tc>
        <w:tc>
          <w:tcPr>
            <w:tcW w:type="dxa" w:w="1728"/>
          </w:tcPr>
          <w:p>
            <w:r>
              <w:t>2,982,374</w:t>
            </w:r>
          </w:p>
        </w:tc>
        <w:tc>
          <w:tcPr>
            <w:tcW w:type="dxa" w:w="1728"/>
          </w:tcPr>
          <w:p>
            <w:r>
              <w:t>2,617,013</w:t>
            </w:r>
          </w:p>
        </w:tc>
        <w:tc>
          <w:tcPr>
            <w:tcW w:type="dxa" w:w="1728"/>
          </w:tcPr>
          <w:p>
            <w:r>
              <w:t>95.6%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