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A2D0" w14:textId="77777777" w:rsidR="00226224" w:rsidRPr="002E59CD" w:rsidRDefault="00226224" w:rsidP="002E59CD"/>
    <w:p w14:paraId="01220638" w14:textId="23EF5001" w:rsidR="00A534C6" w:rsidRDefault="003B59CF">
      <w:pPr>
        <w:pStyle w:val="Title"/>
        <w:rPr>
          <w:lang w:val="es-PE"/>
        </w:rPr>
      </w:pPr>
      <w:r w:rsidRPr="00DD1B17">
        <w:rPr>
          <w:lang w:val="es-PE"/>
        </w:rPr>
        <w:t>AYUDA MEMORIA</w:t>
      </w:r>
      <w:r w:rsidRPr="00DD1B17">
        <w:rPr>
          <w:lang w:val="es-PE"/>
        </w:rPr>
        <w:br/>
        <w:t>REGIÓN AMAZONAS</w:t>
      </w:r>
    </w:p>
    <w:p w14:paraId="2EDCF2E8" w14:textId="77777777" w:rsidR="000F4F8B" w:rsidRPr="000F4F8B" w:rsidRDefault="000F4F8B" w:rsidP="000F4F8B">
      <w:pPr>
        <w:rPr>
          <w:lang w:val="es-PE"/>
        </w:rPr>
      </w:pPr>
    </w:p>
    <w:p w14:paraId="1155412D" w14:textId="1A7EEAF8" w:rsidR="00A534C6" w:rsidRDefault="003B59CF" w:rsidP="000F4F8B">
      <w:pPr>
        <w:pStyle w:val="Heading1"/>
        <w:numPr>
          <w:ilvl w:val="0"/>
          <w:numId w:val="10"/>
        </w:numPr>
        <w:rPr>
          <w:lang w:val="es-PE"/>
        </w:rPr>
      </w:pPr>
      <w:r w:rsidRPr="00DD1B17">
        <w:rPr>
          <w:lang w:val="es-PE"/>
        </w:rPr>
        <w:t>Intervenciones pedagógicas</w:t>
      </w:r>
    </w:p>
    <w:p w14:paraId="0EB222FC" w14:textId="619A9390" w:rsidR="00A534C6" w:rsidRDefault="003B59CF">
      <w:pPr>
        <w:pStyle w:val="ListBullet"/>
        <w:jc w:val="both"/>
        <w:rPr>
          <w:lang w:val="es-PE"/>
        </w:rPr>
      </w:pPr>
      <w:r w:rsidRPr="00DD1B17">
        <w:rPr>
          <w:lang w:val="es-PE"/>
        </w:rPr>
        <w:t>Las Unidades Ejecutoras de Educación de la región AMAZONAS vienen implementando 8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14:paraId="021BD3F5" w14:textId="7B14B8DB" w:rsidR="000F4F8B" w:rsidRPr="000F4F8B" w:rsidRDefault="000F4F8B" w:rsidP="000F4F8B">
      <w:pPr>
        <w:pStyle w:val="ListBullet"/>
        <w:jc w:val="both"/>
        <w:rPr>
          <w:lang w:val="es-PE"/>
        </w:rPr>
      </w:pPr>
      <w:r w:rsidRPr="00DD1B17">
        <w:rPr>
          <w:lang w:val="es-PE"/>
        </w:rPr>
        <w:t>Las Unidades Ejecutoras de Educación de la región AMAZONAS cuentan con 21,379,624 millones en su Presupuesto Institucional Modificado (PIM) para el     financiamiento de intervenciones y acciones pedagógicas, de los cuales se han ejecutado S/ 14,409,664</w:t>
      </w:r>
      <w:r>
        <w:rPr>
          <w:lang w:val="es-PE"/>
        </w:rPr>
        <w:t xml:space="preserve">, </w:t>
      </w:r>
      <w:r w:rsidRPr="000F4F8B">
        <w:rPr>
          <w:highlight w:val="yellow"/>
          <w:lang w:val="es-PE"/>
        </w:rPr>
        <w:t>lo que equivale a xx%.</w:t>
      </w:r>
    </w:p>
    <w:tbl>
      <w:tblPr>
        <w:tblStyle w:val="ColorfulList-Accent1"/>
        <w:tblW w:w="0" w:type="auto"/>
        <w:tblLook w:val="04A0" w:firstRow="1" w:lastRow="0" w:firstColumn="1" w:lastColumn="0" w:noHBand="0" w:noVBand="1"/>
      </w:tblPr>
      <w:tblGrid>
        <w:gridCol w:w="1419"/>
        <w:gridCol w:w="1666"/>
        <w:gridCol w:w="1430"/>
        <w:gridCol w:w="1433"/>
        <w:gridCol w:w="1475"/>
        <w:gridCol w:w="1433"/>
      </w:tblGrid>
      <w:tr w:rsidR="00A534C6" w:rsidRPr="00DD1B17" w14:paraId="4CFE7768" w14:textId="77777777" w:rsidTr="00A5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2F4CF09" w14:textId="77777777" w:rsidR="00A534C6" w:rsidRPr="00DD1B17" w:rsidRDefault="003B59CF">
            <w:pPr>
              <w:rPr>
                <w:sz w:val="20"/>
                <w:szCs w:val="20"/>
              </w:rPr>
            </w:pPr>
            <w:r w:rsidRPr="00DD1B17">
              <w:rPr>
                <w:sz w:val="20"/>
                <w:szCs w:val="20"/>
              </w:rPr>
              <w:t>CAS - NO CAS</w:t>
            </w:r>
          </w:p>
        </w:tc>
        <w:tc>
          <w:tcPr>
            <w:tcW w:w="1440" w:type="dxa"/>
          </w:tcPr>
          <w:p w14:paraId="64B77847" w14:textId="77777777" w:rsidR="00A534C6" w:rsidRPr="00DD1B17" w:rsidRDefault="003B59CF">
            <w:pPr>
              <w:cnfStyle w:val="100000000000" w:firstRow="1" w:lastRow="0" w:firstColumn="0" w:lastColumn="0" w:oddVBand="0" w:evenVBand="0" w:oddHBand="0" w:evenHBand="0" w:firstRowFirstColumn="0" w:firstRowLastColumn="0" w:lastRowFirstColumn="0" w:lastRowLastColumn="0"/>
              <w:rPr>
                <w:sz w:val="20"/>
                <w:szCs w:val="20"/>
              </w:rPr>
            </w:pPr>
            <w:r w:rsidRPr="00DD1B17">
              <w:rPr>
                <w:sz w:val="20"/>
                <w:szCs w:val="20"/>
              </w:rPr>
              <w:t>Intervencion Pedagogica</w:t>
            </w:r>
          </w:p>
        </w:tc>
        <w:tc>
          <w:tcPr>
            <w:tcW w:w="1440" w:type="dxa"/>
          </w:tcPr>
          <w:p w14:paraId="6D8E2271" w14:textId="77777777" w:rsidR="00A534C6" w:rsidRPr="00DD1B17" w:rsidRDefault="003B59CF">
            <w:pPr>
              <w:cnfStyle w:val="100000000000" w:firstRow="1" w:lastRow="0" w:firstColumn="0" w:lastColumn="0" w:oddVBand="0" w:evenVBand="0" w:oddHBand="0" w:evenHBand="0" w:firstRowFirstColumn="0" w:firstRowLastColumn="0" w:lastRowFirstColumn="0" w:lastRowLastColumn="0"/>
              <w:rPr>
                <w:sz w:val="20"/>
                <w:szCs w:val="20"/>
              </w:rPr>
            </w:pPr>
            <w:r w:rsidRPr="00DD1B17">
              <w:rPr>
                <w:sz w:val="20"/>
                <w:szCs w:val="20"/>
              </w:rPr>
              <w:t>PIM</w:t>
            </w:r>
          </w:p>
        </w:tc>
        <w:tc>
          <w:tcPr>
            <w:tcW w:w="1440" w:type="dxa"/>
          </w:tcPr>
          <w:p w14:paraId="00CC436A" w14:textId="77777777" w:rsidR="00A534C6" w:rsidRPr="00DD1B17" w:rsidRDefault="003B59CF">
            <w:pPr>
              <w:cnfStyle w:val="100000000000" w:firstRow="1" w:lastRow="0" w:firstColumn="0" w:lastColumn="0" w:oddVBand="0" w:evenVBand="0" w:oddHBand="0" w:evenHBand="0" w:firstRowFirstColumn="0" w:firstRowLastColumn="0" w:lastRowFirstColumn="0" w:lastRowLastColumn="0"/>
              <w:rPr>
                <w:sz w:val="20"/>
                <w:szCs w:val="20"/>
              </w:rPr>
            </w:pPr>
            <w:r w:rsidRPr="00DD1B17">
              <w:rPr>
                <w:sz w:val="20"/>
                <w:szCs w:val="20"/>
              </w:rPr>
              <w:t>Certificado</w:t>
            </w:r>
          </w:p>
        </w:tc>
        <w:tc>
          <w:tcPr>
            <w:tcW w:w="1440" w:type="dxa"/>
          </w:tcPr>
          <w:p w14:paraId="3742DE73" w14:textId="77777777" w:rsidR="00A534C6" w:rsidRPr="00DD1B17" w:rsidRDefault="003B59CF">
            <w:pPr>
              <w:cnfStyle w:val="100000000000" w:firstRow="1" w:lastRow="0" w:firstColumn="0" w:lastColumn="0" w:oddVBand="0" w:evenVBand="0" w:oddHBand="0" w:evenHBand="0" w:firstRowFirstColumn="0" w:firstRowLastColumn="0" w:lastRowFirstColumn="0" w:lastRowLastColumn="0"/>
              <w:rPr>
                <w:sz w:val="20"/>
                <w:szCs w:val="20"/>
              </w:rPr>
            </w:pPr>
            <w:r w:rsidRPr="00DD1B17">
              <w:rPr>
                <w:sz w:val="20"/>
                <w:szCs w:val="20"/>
              </w:rPr>
              <w:t>Comprometido</w:t>
            </w:r>
          </w:p>
        </w:tc>
        <w:tc>
          <w:tcPr>
            <w:tcW w:w="1440" w:type="dxa"/>
          </w:tcPr>
          <w:p w14:paraId="1B5CAA50" w14:textId="77777777" w:rsidR="00A534C6" w:rsidRPr="00DD1B17" w:rsidRDefault="003B59CF">
            <w:pPr>
              <w:cnfStyle w:val="100000000000" w:firstRow="1" w:lastRow="0" w:firstColumn="0" w:lastColumn="0" w:oddVBand="0" w:evenVBand="0" w:oddHBand="0" w:evenHBand="0" w:firstRowFirstColumn="0" w:firstRowLastColumn="0" w:lastRowFirstColumn="0" w:lastRowLastColumn="0"/>
              <w:rPr>
                <w:sz w:val="20"/>
                <w:szCs w:val="20"/>
              </w:rPr>
            </w:pPr>
            <w:r w:rsidRPr="00DD1B17">
              <w:rPr>
                <w:sz w:val="20"/>
                <w:szCs w:val="20"/>
              </w:rPr>
              <w:t>Devengado</w:t>
            </w:r>
          </w:p>
        </w:tc>
      </w:tr>
      <w:tr w:rsidR="00A534C6" w:rsidRPr="00DD1B17" w14:paraId="1E2310BB"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937C166" w14:textId="77777777" w:rsidR="00A534C6" w:rsidRPr="00DD1B17" w:rsidRDefault="003B59CF">
            <w:pPr>
              <w:rPr>
                <w:sz w:val="20"/>
                <w:szCs w:val="20"/>
              </w:rPr>
            </w:pPr>
            <w:r w:rsidRPr="00DD1B17">
              <w:rPr>
                <w:sz w:val="20"/>
                <w:szCs w:val="20"/>
              </w:rPr>
              <w:t>CAS</w:t>
            </w:r>
          </w:p>
        </w:tc>
        <w:tc>
          <w:tcPr>
            <w:tcW w:w="1440" w:type="dxa"/>
          </w:tcPr>
          <w:p w14:paraId="4B03401E"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147. Institutos Tecnológicos</w:t>
            </w:r>
          </w:p>
        </w:tc>
        <w:tc>
          <w:tcPr>
            <w:tcW w:w="1440" w:type="dxa"/>
          </w:tcPr>
          <w:p w14:paraId="56BFA579"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34,780</w:t>
            </w:r>
          </w:p>
        </w:tc>
        <w:tc>
          <w:tcPr>
            <w:tcW w:w="1440" w:type="dxa"/>
          </w:tcPr>
          <w:p w14:paraId="113C065A"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34,780</w:t>
            </w:r>
          </w:p>
        </w:tc>
        <w:tc>
          <w:tcPr>
            <w:tcW w:w="1440" w:type="dxa"/>
          </w:tcPr>
          <w:p w14:paraId="46CC53AE"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24,225</w:t>
            </w:r>
          </w:p>
        </w:tc>
        <w:tc>
          <w:tcPr>
            <w:tcW w:w="1440" w:type="dxa"/>
          </w:tcPr>
          <w:p w14:paraId="27B321C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24,225</w:t>
            </w:r>
          </w:p>
        </w:tc>
      </w:tr>
      <w:tr w:rsidR="00A534C6" w:rsidRPr="00DD1B17" w14:paraId="32F39A0A"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42459613" w14:textId="77777777" w:rsidR="00A534C6" w:rsidRPr="00DD1B17" w:rsidRDefault="003B59CF">
            <w:pPr>
              <w:rPr>
                <w:sz w:val="20"/>
                <w:szCs w:val="20"/>
              </w:rPr>
            </w:pPr>
            <w:r w:rsidRPr="00DD1B17">
              <w:rPr>
                <w:sz w:val="20"/>
                <w:szCs w:val="20"/>
              </w:rPr>
              <w:t>CAS</w:t>
            </w:r>
          </w:p>
        </w:tc>
        <w:tc>
          <w:tcPr>
            <w:tcW w:w="1440" w:type="dxa"/>
          </w:tcPr>
          <w:p w14:paraId="029B1CF7"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Acciones comunes - Acompañatic</w:t>
            </w:r>
          </w:p>
        </w:tc>
        <w:tc>
          <w:tcPr>
            <w:tcW w:w="1440" w:type="dxa"/>
          </w:tcPr>
          <w:p w14:paraId="13B2DCD7"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94,101</w:t>
            </w:r>
          </w:p>
        </w:tc>
        <w:tc>
          <w:tcPr>
            <w:tcW w:w="1440" w:type="dxa"/>
          </w:tcPr>
          <w:p w14:paraId="4FCEE4EC"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94,101</w:t>
            </w:r>
          </w:p>
        </w:tc>
        <w:tc>
          <w:tcPr>
            <w:tcW w:w="1440" w:type="dxa"/>
          </w:tcPr>
          <w:p w14:paraId="4F3100C8"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94,101</w:t>
            </w:r>
          </w:p>
        </w:tc>
        <w:tc>
          <w:tcPr>
            <w:tcW w:w="1440" w:type="dxa"/>
          </w:tcPr>
          <w:p w14:paraId="25F7EAB3"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94,101</w:t>
            </w:r>
          </w:p>
        </w:tc>
      </w:tr>
      <w:tr w:rsidR="00A534C6" w:rsidRPr="00DD1B17" w14:paraId="34DE3EFF"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6693046" w14:textId="77777777" w:rsidR="00A534C6" w:rsidRPr="00DD1B17" w:rsidRDefault="003B59CF">
            <w:pPr>
              <w:rPr>
                <w:sz w:val="20"/>
                <w:szCs w:val="20"/>
              </w:rPr>
            </w:pPr>
            <w:r w:rsidRPr="00DD1B17">
              <w:rPr>
                <w:sz w:val="20"/>
                <w:szCs w:val="20"/>
              </w:rPr>
              <w:t>CAS</w:t>
            </w:r>
          </w:p>
        </w:tc>
        <w:tc>
          <w:tcPr>
            <w:tcW w:w="1440" w:type="dxa"/>
          </w:tcPr>
          <w:p w14:paraId="4C6DC19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Acciones comunes del PP 106</w:t>
            </w:r>
          </w:p>
        </w:tc>
        <w:tc>
          <w:tcPr>
            <w:tcW w:w="1440" w:type="dxa"/>
          </w:tcPr>
          <w:p w14:paraId="29A7FD92"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39,216</w:t>
            </w:r>
          </w:p>
        </w:tc>
        <w:tc>
          <w:tcPr>
            <w:tcW w:w="1440" w:type="dxa"/>
          </w:tcPr>
          <w:p w14:paraId="2CB7835C"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39,216</w:t>
            </w:r>
          </w:p>
        </w:tc>
        <w:tc>
          <w:tcPr>
            <w:tcW w:w="1440" w:type="dxa"/>
          </w:tcPr>
          <w:p w14:paraId="1737388A"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29,260</w:t>
            </w:r>
          </w:p>
        </w:tc>
        <w:tc>
          <w:tcPr>
            <w:tcW w:w="1440" w:type="dxa"/>
          </w:tcPr>
          <w:p w14:paraId="3C80D0FD"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29,260</w:t>
            </w:r>
          </w:p>
        </w:tc>
      </w:tr>
      <w:tr w:rsidR="00A534C6" w:rsidRPr="00DD1B17" w14:paraId="340F3075"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4D23823F" w14:textId="77777777" w:rsidR="00A534C6" w:rsidRPr="00DD1B17" w:rsidRDefault="003B59CF">
            <w:pPr>
              <w:rPr>
                <w:sz w:val="20"/>
                <w:szCs w:val="20"/>
              </w:rPr>
            </w:pPr>
            <w:r w:rsidRPr="00DD1B17">
              <w:rPr>
                <w:sz w:val="20"/>
                <w:szCs w:val="20"/>
              </w:rPr>
              <w:t>CAS</w:t>
            </w:r>
          </w:p>
        </w:tc>
        <w:tc>
          <w:tcPr>
            <w:tcW w:w="1440" w:type="dxa"/>
          </w:tcPr>
          <w:p w14:paraId="66487AE8"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Acciones comunes del PP 107</w:t>
            </w:r>
          </w:p>
        </w:tc>
        <w:tc>
          <w:tcPr>
            <w:tcW w:w="1440" w:type="dxa"/>
          </w:tcPr>
          <w:p w14:paraId="05A01630"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34,416</w:t>
            </w:r>
          </w:p>
        </w:tc>
        <w:tc>
          <w:tcPr>
            <w:tcW w:w="1440" w:type="dxa"/>
          </w:tcPr>
          <w:p w14:paraId="697FE53C"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34,416</w:t>
            </w:r>
          </w:p>
        </w:tc>
        <w:tc>
          <w:tcPr>
            <w:tcW w:w="1440" w:type="dxa"/>
          </w:tcPr>
          <w:p w14:paraId="6A8A18AB"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25,660</w:t>
            </w:r>
          </w:p>
        </w:tc>
        <w:tc>
          <w:tcPr>
            <w:tcW w:w="1440" w:type="dxa"/>
          </w:tcPr>
          <w:p w14:paraId="4EE14B36"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25,660</w:t>
            </w:r>
          </w:p>
        </w:tc>
      </w:tr>
      <w:tr w:rsidR="00A534C6" w:rsidRPr="00DD1B17" w14:paraId="46A901BF"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5C2CA2D" w14:textId="77777777" w:rsidR="00A534C6" w:rsidRPr="00DD1B17" w:rsidRDefault="003B59CF">
            <w:pPr>
              <w:rPr>
                <w:sz w:val="20"/>
                <w:szCs w:val="20"/>
              </w:rPr>
            </w:pPr>
            <w:r w:rsidRPr="00DD1B17">
              <w:rPr>
                <w:sz w:val="20"/>
                <w:szCs w:val="20"/>
              </w:rPr>
              <w:t>CAS</w:t>
            </w:r>
          </w:p>
        </w:tc>
        <w:tc>
          <w:tcPr>
            <w:tcW w:w="1440" w:type="dxa"/>
          </w:tcPr>
          <w:p w14:paraId="5CD2F9BC"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Acciones comunes del PP 90</w:t>
            </w:r>
          </w:p>
        </w:tc>
        <w:tc>
          <w:tcPr>
            <w:tcW w:w="1440" w:type="dxa"/>
          </w:tcPr>
          <w:p w14:paraId="24C395E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112,614</w:t>
            </w:r>
          </w:p>
        </w:tc>
        <w:tc>
          <w:tcPr>
            <w:tcW w:w="1440" w:type="dxa"/>
          </w:tcPr>
          <w:p w14:paraId="7E59F137"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112,308</w:t>
            </w:r>
          </w:p>
        </w:tc>
        <w:tc>
          <w:tcPr>
            <w:tcW w:w="1440" w:type="dxa"/>
          </w:tcPr>
          <w:p w14:paraId="5B87BD52"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87,533</w:t>
            </w:r>
          </w:p>
        </w:tc>
        <w:tc>
          <w:tcPr>
            <w:tcW w:w="1440" w:type="dxa"/>
          </w:tcPr>
          <w:p w14:paraId="0176D3D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71,271</w:t>
            </w:r>
          </w:p>
        </w:tc>
      </w:tr>
      <w:tr w:rsidR="00A534C6" w:rsidRPr="00DD1B17" w14:paraId="215C36B3"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5CB4C9CA" w14:textId="77777777" w:rsidR="00A534C6" w:rsidRPr="00DD1B17" w:rsidRDefault="003B59CF">
            <w:pPr>
              <w:rPr>
                <w:sz w:val="20"/>
                <w:szCs w:val="20"/>
              </w:rPr>
            </w:pPr>
            <w:r w:rsidRPr="00DD1B17">
              <w:rPr>
                <w:sz w:val="20"/>
                <w:szCs w:val="20"/>
              </w:rPr>
              <w:t>CAS</w:t>
            </w:r>
          </w:p>
        </w:tc>
        <w:tc>
          <w:tcPr>
            <w:tcW w:w="1440" w:type="dxa"/>
          </w:tcPr>
          <w:p w14:paraId="1EAE21AD"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Acompañamiento EIB</w:t>
            </w:r>
          </w:p>
        </w:tc>
        <w:tc>
          <w:tcPr>
            <w:tcW w:w="1440" w:type="dxa"/>
          </w:tcPr>
          <w:p w14:paraId="194EB4C7"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361,395</w:t>
            </w:r>
          </w:p>
        </w:tc>
        <w:tc>
          <w:tcPr>
            <w:tcW w:w="1440" w:type="dxa"/>
          </w:tcPr>
          <w:p w14:paraId="7B7A0258"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361,395</w:t>
            </w:r>
          </w:p>
        </w:tc>
        <w:tc>
          <w:tcPr>
            <w:tcW w:w="1440" w:type="dxa"/>
          </w:tcPr>
          <w:p w14:paraId="12B8D1D3"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361,393</w:t>
            </w:r>
          </w:p>
        </w:tc>
        <w:tc>
          <w:tcPr>
            <w:tcW w:w="1440" w:type="dxa"/>
          </w:tcPr>
          <w:p w14:paraId="575635D6"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361,393</w:t>
            </w:r>
          </w:p>
        </w:tc>
      </w:tr>
      <w:tr w:rsidR="00A534C6" w:rsidRPr="00DD1B17" w14:paraId="2192D508"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AB3057" w14:textId="77777777" w:rsidR="00A534C6" w:rsidRPr="00DD1B17" w:rsidRDefault="003B59CF">
            <w:pPr>
              <w:rPr>
                <w:sz w:val="20"/>
                <w:szCs w:val="20"/>
              </w:rPr>
            </w:pPr>
            <w:r w:rsidRPr="00DD1B17">
              <w:rPr>
                <w:sz w:val="20"/>
                <w:szCs w:val="20"/>
              </w:rPr>
              <w:t>CAS</w:t>
            </w:r>
          </w:p>
        </w:tc>
        <w:tc>
          <w:tcPr>
            <w:tcW w:w="1440" w:type="dxa"/>
          </w:tcPr>
          <w:p w14:paraId="676A6619"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Acompañamiento Multigrado</w:t>
            </w:r>
          </w:p>
        </w:tc>
        <w:tc>
          <w:tcPr>
            <w:tcW w:w="1440" w:type="dxa"/>
          </w:tcPr>
          <w:p w14:paraId="77DBCDE1"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143,279</w:t>
            </w:r>
          </w:p>
        </w:tc>
        <w:tc>
          <w:tcPr>
            <w:tcW w:w="1440" w:type="dxa"/>
          </w:tcPr>
          <w:p w14:paraId="46763A28"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143,279</w:t>
            </w:r>
          </w:p>
        </w:tc>
        <w:tc>
          <w:tcPr>
            <w:tcW w:w="1440" w:type="dxa"/>
          </w:tcPr>
          <w:p w14:paraId="40A1EF77"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143,279</w:t>
            </w:r>
          </w:p>
        </w:tc>
        <w:tc>
          <w:tcPr>
            <w:tcW w:w="1440" w:type="dxa"/>
          </w:tcPr>
          <w:p w14:paraId="1F6C8764"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143,279</w:t>
            </w:r>
          </w:p>
        </w:tc>
      </w:tr>
      <w:tr w:rsidR="00A534C6" w:rsidRPr="00DD1B17" w14:paraId="670D7D77"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1903553F" w14:textId="77777777" w:rsidR="00A534C6" w:rsidRPr="00DD1B17" w:rsidRDefault="003B59CF">
            <w:pPr>
              <w:rPr>
                <w:sz w:val="20"/>
                <w:szCs w:val="20"/>
              </w:rPr>
            </w:pPr>
            <w:r w:rsidRPr="00DD1B17">
              <w:rPr>
                <w:sz w:val="20"/>
                <w:szCs w:val="20"/>
              </w:rPr>
              <w:t>CAS</w:t>
            </w:r>
          </w:p>
        </w:tc>
        <w:tc>
          <w:tcPr>
            <w:tcW w:w="1440" w:type="dxa"/>
          </w:tcPr>
          <w:p w14:paraId="2FEA1459"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Acompañamiento Polidocente</w:t>
            </w:r>
          </w:p>
        </w:tc>
        <w:tc>
          <w:tcPr>
            <w:tcW w:w="1440" w:type="dxa"/>
          </w:tcPr>
          <w:p w14:paraId="421B7898"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128,277</w:t>
            </w:r>
          </w:p>
        </w:tc>
        <w:tc>
          <w:tcPr>
            <w:tcW w:w="1440" w:type="dxa"/>
          </w:tcPr>
          <w:p w14:paraId="32EE2607"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128,273</w:t>
            </w:r>
          </w:p>
        </w:tc>
        <w:tc>
          <w:tcPr>
            <w:tcW w:w="1440" w:type="dxa"/>
          </w:tcPr>
          <w:p w14:paraId="7535A6F8"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128,273</w:t>
            </w:r>
          </w:p>
        </w:tc>
        <w:tc>
          <w:tcPr>
            <w:tcW w:w="1440" w:type="dxa"/>
          </w:tcPr>
          <w:p w14:paraId="26535C6D"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128,273</w:t>
            </w:r>
          </w:p>
        </w:tc>
      </w:tr>
      <w:tr w:rsidR="00A534C6" w:rsidRPr="00DD1B17" w14:paraId="60874C5A"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B931D18" w14:textId="77777777" w:rsidR="00A534C6" w:rsidRPr="00DD1B17" w:rsidRDefault="003B59CF">
            <w:pPr>
              <w:rPr>
                <w:sz w:val="20"/>
                <w:szCs w:val="20"/>
              </w:rPr>
            </w:pPr>
            <w:r w:rsidRPr="00DD1B17">
              <w:rPr>
                <w:sz w:val="20"/>
                <w:szCs w:val="20"/>
              </w:rPr>
              <w:t>CAS</w:t>
            </w:r>
          </w:p>
        </w:tc>
        <w:tc>
          <w:tcPr>
            <w:tcW w:w="1440" w:type="dxa"/>
          </w:tcPr>
          <w:p w14:paraId="25CFD38C"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CAS UGEL</w:t>
            </w:r>
          </w:p>
        </w:tc>
        <w:tc>
          <w:tcPr>
            <w:tcW w:w="1440" w:type="dxa"/>
          </w:tcPr>
          <w:p w14:paraId="30F373AF"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314,470</w:t>
            </w:r>
          </w:p>
        </w:tc>
        <w:tc>
          <w:tcPr>
            <w:tcW w:w="1440" w:type="dxa"/>
          </w:tcPr>
          <w:p w14:paraId="06A9C18A"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308,565</w:t>
            </w:r>
          </w:p>
        </w:tc>
        <w:tc>
          <w:tcPr>
            <w:tcW w:w="1440" w:type="dxa"/>
          </w:tcPr>
          <w:p w14:paraId="3972911E"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247,849</w:t>
            </w:r>
          </w:p>
        </w:tc>
        <w:tc>
          <w:tcPr>
            <w:tcW w:w="1440" w:type="dxa"/>
          </w:tcPr>
          <w:p w14:paraId="7B35F866"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205,179</w:t>
            </w:r>
          </w:p>
        </w:tc>
      </w:tr>
      <w:tr w:rsidR="00A534C6" w:rsidRPr="00DD1B17" w14:paraId="70F91045"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4188F6BB" w14:textId="77777777" w:rsidR="00A534C6" w:rsidRPr="00DD1B17" w:rsidRDefault="003B59CF">
            <w:pPr>
              <w:rPr>
                <w:sz w:val="20"/>
                <w:szCs w:val="20"/>
              </w:rPr>
            </w:pPr>
            <w:r w:rsidRPr="00DD1B17">
              <w:rPr>
                <w:sz w:val="20"/>
                <w:szCs w:val="20"/>
              </w:rPr>
              <w:t>CAS</w:t>
            </w:r>
          </w:p>
        </w:tc>
        <w:tc>
          <w:tcPr>
            <w:tcW w:w="1440" w:type="dxa"/>
          </w:tcPr>
          <w:p w14:paraId="3E6E3C33"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Convivencia Escolar</w:t>
            </w:r>
          </w:p>
        </w:tc>
        <w:tc>
          <w:tcPr>
            <w:tcW w:w="1440" w:type="dxa"/>
          </w:tcPr>
          <w:p w14:paraId="26084952"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360,298</w:t>
            </w:r>
          </w:p>
        </w:tc>
        <w:tc>
          <w:tcPr>
            <w:tcW w:w="1440" w:type="dxa"/>
          </w:tcPr>
          <w:p w14:paraId="26F18BA2"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349,168</w:t>
            </w:r>
          </w:p>
        </w:tc>
        <w:tc>
          <w:tcPr>
            <w:tcW w:w="1440" w:type="dxa"/>
          </w:tcPr>
          <w:p w14:paraId="1B868C36"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317,968</w:t>
            </w:r>
          </w:p>
        </w:tc>
        <w:tc>
          <w:tcPr>
            <w:tcW w:w="1440" w:type="dxa"/>
          </w:tcPr>
          <w:p w14:paraId="13BDBC9A"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294,189</w:t>
            </w:r>
          </w:p>
        </w:tc>
      </w:tr>
      <w:tr w:rsidR="00A534C6" w:rsidRPr="00DD1B17" w14:paraId="33635AE7"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DF22D57" w14:textId="77777777" w:rsidR="00A534C6" w:rsidRPr="00DD1B17" w:rsidRDefault="003B59CF">
            <w:pPr>
              <w:rPr>
                <w:sz w:val="20"/>
                <w:szCs w:val="20"/>
              </w:rPr>
            </w:pPr>
            <w:r w:rsidRPr="00DD1B17">
              <w:rPr>
                <w:sz w:val="20"/>
                <w:szCs w:val="20"/>
              </w:rPr>
              <w:t>CAS</w:t>
            </w:r>
          </w:p>
        </w:tc>
        <w:tc>
          <w:tcPr>
            <w:tcW w:w="1440" w:type="dxa"/>
          </w:tcPr>
          <w:p w14:paraId="6EC2294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lang w:val="es-PE"/>
              </w:rPr>
            </w:pPr>
            <w:r w:rsidRPr="00DD1B17">
              <w:rPr>
                <w:sz w:val="20"/>
                <w:szCs w:val="20"/>
                <w:lang w:val="es-PE"/>
              </w:rPr>
              <w:t>Fortalecimiento de acciones del PP 107</w:t>
            </w:r>
          </w:p>
        </w:tc>
        <w:tc>
          <w:tcPr>
            <w:tcW w:w="1440" w:type="dxa"/>
          </w:tcPr>
          <w:p w14:paraId="29B5D432"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338,516</w:t>
            </w:r>
          </w:p>
        </w:tc>
        <w:tc>
          <w:tcPr>
            <w:tcW w:w="1440" w:type="dxa"/>
          </w:tcPr>
          <w:p w14:paraId="3F9A4886"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338,516</w:t>
            </w:r>
          </w:p>
        </w:tc>
        <w:tc>
          <w:tcPr>
            <w:tcW w:w="1440" w:type="dxa"/>
          </w:tcPr>
          <w:p w14:paraId="1CDD05AA"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138,978</w:t>
            </w:r>
          </w:p>
        </w:tc>
        <w:tc>
          <w:tcPr>
            <w:tcW w:w="1440" w:type="dxa"/>
          </w:tcPr>
          <w:p w14:paraId="662EFB16"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138,898</w:t>
            </w:r>
          </w:p>
        </w:tc>
      </w:tr>
      <w:tr w:rsidR="00A534C6" w:rsidRPr="00DD1B17" w14:paraId="7FB994A5"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05A31694" w14:textId="77777777" w:rsidR="00A534C6" w:rsidRPr="00DD1B17" w:rsidRDefault="003B59CF">
            <w:pPr>
              <w:rPr>
                <w:sz w:val="20"/>
                <w:szCs w:val="20"/>
              </w:rPr>
            </w:pPr>
            <w:r w:rsidRPr="00DD1B17">
              <w:rPr>
                <w:sz w:val="20"/>
                <w:szCs w:val="20"/>
              </w:rPr>
              <w:lastRenderedPageBreak/>
              <w:t>CAS</w:t>
            </w:r>
          </w:p>
        </w:tc>
        <w:tc>
          <w:tcPr>
            <w:tcW w:w="1440" w:type="dxa"/>
          </w:tcPr>
          <w:p w14:paraId="5CA5EA41"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lang w:val="es-PE"/>
              </w:rPr>
            </w:pPr>
            <w:r w:rsidRPr="00DD1B17">
              <w:rPr>
                <w:sz w:val="20"/>
                <w:szCs w:val="20"/>
                <w:lang w:val="es-PE"/>
              </w:rPr>
              <w:t>Fortalecimiento de competencias para uso de dispositivos electrónicos</w:t>
            </w:r>
          </w:p>
        </w:tc>
        <w:tc>
          <w:tcPr>
            <w:tcW w:w="1440" w:type="dxa"/>
          </w:tcPr>
          <w:p w14:paraId="6418AC2F"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3,569,422</w:t>
            </w:r>
          </w:p>
        </w:tc>
        <w:tc>
          <w:tcPr>
            <w:tcW w:w="1440" w:type="dxa"/>
          </w:tcPr>
          <w:p w14:paraId="2192687C"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3,534,595</w:t>
            </w:r>
          </w:p>
        </w:tc>
        <w:tc>
          <w:tcPr>
            <w:tcW w:w="1440" w:type="dxa"/>
          </w:tcPr>
          <w:p w14:paraId="08BF159F"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2,628,678</w:t>
            </w:r>
          </w:p>
        </w:tc>
        <w:tc>
          <w:tcPr>
            <w:tcW w:w="1440" w:type="dxa"/>
          </w:tcPr>
          <w:p w14:paraId="25AD2D8F"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2,152,913</w:t>
            </w:r>
          </w:p>
        </w:tc>
      </w:tr>
      <w:tr w:rsidR="00A534C6" w:rsidRPr="00DD1B17" w14:paraId="5BDD466F"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D888C02" w14:textId="77777777" w:rsidR="00A534C6" w:rsidRPr="00DD1B17" w:rsidRDefault="003B59CF">
            <w:pPr>
              <w:rPr>
                <w:sz w:val="20"/>
                <w:szCs w:val="20"/>
              </w:rPr>
            </w:pPr>
            <w:r w:rsidRPr="00DD1B17">
              <w:rPr>
                <w:sz w:val="20"/>
                <w:szCs w:val="20"/>
              </w:rPr>
              <w:t>CAS</w:t>
            </w:r>
          </w:p>
        </w:tc>
        <w:tc>
          <w:tcPr>
            <w:tcW w:w="1440" w:type="dxa"/>
          </w:tcPr>
          <w:p w14:paraId="4A6FEB30"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lang w:val="es-PE"/>
              </w:rPr>
            </w:pPr>
            <w:r w:rsidRPr="00DD1B17">
              <w:rPr>
                <w:sz w:val="20"/>
                <w:szCs w:val="20"/>
                <w:lang w:val="es-PE"/>
              </w:rPr>
              <w:t>Fortalecimiento de las acciones del PP 106</w:t>
            </w:r>
          </w:p>
        </w:tc>
        <w:tc>
          <w:tcPr>
            <w:tcW w:w="1440" w:type="dxa"/>
          </w:tcPr>
          <w:p w14:paraId="429E6EB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483,279</w:t>
            </w:r>
          </w:p>
        </w:tc>
        <w:tc>
          <w:tcPr>
            <w:tcW w:w="1440" w:type="dxa"/>
          </w:tcPr>
          <w:p w14:paraId="53098FD5"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467,533</w:t>
            </w:r>
          </w:p>
        </w:tc>
        <w:tc>
          <w:tcPr>
            <w:tcW w:w="1440" w:type="dxa"/>
          </w:tcPr>
          <w:p w14:paraId="30DFD12C"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377,762</w:t>
            </w:r>
          </w:p>
        </w:tc>
        <w:tc>
          <w:tcPr>
            <w:tcW w:w="1440" w:type="dxa"/>
          </w:tcPr>
          <w:p w14:paraId="156842F4"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309,075</w:t>
            </w:r>
          </w:p>
        </w:tc>
      </w:tr>
      <w:tr w:rsidR="00A534C6" w:rsidRPr="00DD1B17" w14:paraId="157FFAA2"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52E3E837" w14:textId="77777777" w:rsidR="00A534C6" w:rsidRPr="00DD1B17" w:rsidRDefault="003B59CF">
            <w:pPr>
              <w:rPr>
                <w:sz w:val="20"/>
                <w:szCs w:val="20"/>
              </w:rPr>
            </w:pPr>
            <w:r w:rsidRPr="00DD1B17">
              <w:rPr>
                <w:sz w:val="20"/>
                <w:szCs w:val="20"/>
              </w:rPr>
              <w:t>CAS</w:t>
            </w:r>
          </w:p>
        </w:tc>
        <w:tc>
          <w:tcPr>
            <w:tcW w:w="1440" w:type="dxa"/>
          </w:tcPr>
          <w:p w14:paraId="0C50624C"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JEC</w:t>
            </w:r>
          </w:p>
        </w:tc>
        <w:tc>
          <w:tcPr>
            <w:tcW w:w="1440" w:type="dxa"/>
          </w:tcPr>
          <w:p w14:paraId="02D7A8B2"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3,673,756</w:t>
            </w:r>
          </w:p>
        </w:tc>
        <w:tc>
          <w:tcPr>
            <w:tcW w:w="1440" w:type="dxa"/>
          </w:tcPr>
          <w:p w14:paraId="266F7927"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3,661,745</w:t>
            </w:r>
          </w:p>
        </w:tc>
        <w:tc>
          <w:tcPr>
            <w:tcW w:w="1440" w:type="dxa"/>
          </w:tcPr>
          <w:p w14:paraId="1D878166"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3,165,679</w:t>
            </w:r>
          </w:p>
        </w:tc>
        <w:tc>
          <w:tcPr>
            <w:tcW w:w="1440" w:type="dxa"/>
          </w:tcPr>
          <w:p w14:paraId="727BE152"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2,649,376</w:t>
            </w:r>
          </w:p>
        </w:tc>
      </w:tr>
      <w:tr w:rsidR="00A534C6" w:rsidRPr="00DD1B17" w14:paraId="61A82E63"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EC56F" w14:textId="77777777" w:rsidR="00A534C6" w:rsidRPr="00DD1B17" w:rsidRDefault="003B59CF">
            <w:pPr>
              <w:rPr>
                <w:sz w:val="20"/>
                <w:szCs w:val="20"/>
              </w:rPr>
            </w:pPr>
            <w:r w:rsidRPr="00DD1B17">
              <w:rPr>
                <w:sz w:val="20"/>
                <w:szCs w:val="20"/>
              </w:rPr>
              <w:t>CAS</w:t>
            </w:r>
          </w:p>
        </w:tc>
        <w:tc>
          <w:tcPr>
            <w:tcW w:w="1440" w:type="dxa"/>
          </w:tcPr>
          <w:p w14:paraId="56A91016"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lang w:val="es-PE"/>
              </w:rPr>
            </w:pPr>
            <w:r w:rsidRPr="00DD1B17">
              <w:rPr>
                <w:sz w:val="20"/>
                <w:szCs w:val="20"/>
                <w:lang w:val="es-PE"/>
              </w:rPr>
              <w:t>PP 0150: Incremento en el acceso</w:t>
            </w:r>
          </w:p>
        </w:tc>
        <w:tc>
          <w:tcPr>
            <w:tcW w:w="1440" w:type="dxa"/>
          </w:tcPr>
          <w:p w14:paraId="2EDAF0E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2,289</w:t>
            </w:r>
          </w:p>
        </w:tc>
        <w:tc>
          <w:tcPr>
            <w:tcW w:w="1440" w:type="dxa"/>
          </w:tcPr>
          <w:p w14:paraId="20580697"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2,289</w:t>
            </w:r>
          </w:p>
        </w:tc>
        <w:tc>
          <w:tcPr>
            <w:tcW w:w="1440" w:type="dxa"/>
          </w:tcPr>
          <w:p w14:paraId="6C01855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2,289</w:t>
            </w:r>
          </w:p>
        </w:tc>
        <w:tc>
          <w:tcPr>
            <w:tcW w:w="1440" w:type="dxa"/>
          </w:tcPr>
          <w:p w14:paraId="1164C362"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2,289</w:t>
            </w:r>
          </w:p>
        </w:tc>
      </w:tr>
      <w:tr w:rsidR="00A534C6" w:rsidRPr="00DD1B17" w14:paraId="356226EF"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0C08771E" w14:textId="77777777" w:rsidR="00A534C6" w:rsidRPr="00DD1B17" w:rsidRDefault="003B59CF">
            <w:pPr>
              <w:rPr>
                <w:sz w:val="20"/>
                <w:szCs w:val="20"/>
              </w:rPr>
            </w:pPr>
            <w:r w:rsidRPr="00DD1B17">
              <w:rPr>
                <w:sz w:val="20"/>
                <w:szCs w:val="20"/>
              </w:rPr>
              <w:t>CAS</w:t>
            </w:r>
          </w:p>
        </w:tc>
        <w:tc>
          <w:tcPr>
            <w:tcW w:w="1440" w:type="dxa"/>
          </w:tcPr>
          <w:p w14:paraId="3BCE63A2"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Secundaria con residencia</w:t>
            </w:r>
          </w:p>
        </w:tc>
        <w:tc>
          <w:tcPr>
            <w:tcW w:w="1440" w:type="dxa"/>
          </w:tcPr>
          <w:p w14:paraId="77D11E5B"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3,041,296</w:t>
            </w:r>
          </w:p>
        </w:tc>
        <w:tc>
          <w:tcPr>
            <w:tcW w:w="1440" w:type="dxa"/>
          </w:tcPr>
          <w:p w14:paraId="2C868777"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2,902,787</w:t>
            </w:r>
          </w:p>
        </w:tc>
        <w:tc>
          <w:tcPr>
            <w:tcW w:w="1440" w:type="dxa"/>
          </w:tcPr>
          <w:p w14:paraId="4007A431"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2,112,798</w:t>
            </w:r>
          </w:p>
        </w:tc>
        <w:tc>
          <w:tcPr>
            <w:tcW w:w="1440" w:type="dxa"/>
          </w:tcPr>
          <w:p w14:paraId="0032BBFA"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1,807,547</w:t>
            </w:r>
          </w:p>
        </w:tc>
      </w:tr>
      <w:tr w:rsidR="00A534C6" w:rsidRPr="00DD1B17" w14:paraId="033A7317"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17C72C0" w14:textId="77777777" w:rsidR="00A534C6" w:rsidRPr="00DD1B17" w:rsidRDefault="003B59CF">
            <w:pPr>
              <w:rPr>
                <w:sz w:val="20"/>
                <w:szCs w:val="20"/>
              </w:rPr>
            </w:pPr>
            <w:r w:rsidRPr="00DD1B17">
              <w:rPr>
                <w:sz w:val="20"/>
                <w:szCs w:val="20"/>
              </w:rPr>
              <w:t>NO CAS</w:t>
            </w:r>
          </w:p>
        </w:tc>
        <w:tc>
          <w:tcPr>
            <w:tcW w:w="1440" w:type="dxa"/>
          </w:tcPr>
          <w:p w14:paraId="6E4ADC08"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147. Institutos Tecnológicos</w:t>
            </w:r>
          </w:p>
        </w:tc>
        <w:tc>
          <w:tcPr>
            <w:tcW w:w="1440" w:type="dxa"/>
          </w:tcPr>
          <w:p w14:paraId="48E80628"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220,804</w:t>
            </w:r>
          </w:p>
        </w:tc>
        <w:tc>
          <w:tcPr>
            <w:tcW w:w="1440" w:type="dxa"/>
          </w:tcPr>
          <w:p w14:paraId="08411210"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87,449</w:t>
            </w:r>
          </w:p>
        </w:tc>
        <w:tc>
          <w:tcPr>
            <w:tcW w:w="1440" w:type="dxa"/>
          </w:tcPr>
          <w:p w14:paraId="435EA802"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87,449</w:t>
            </w:r>
          </w:p>
        </w:tc>
        <w:tc>
          <w:tcPr>
            <w:tcW w:w="1440" w:type="dxa"/>
          </w:tcPr>
          <w:p w14:paraId="21603769"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66,375</w:t>
            </w:r>
          </w:p>
        </w:tc>
      </w:tr>
      <w:tr w:rsidR="00A534C6" w:rsidRPr="00DD1B17" w14:paraId="06906F6A"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745DF8D1" w14:textId="77777777" w:rsidR="00A534C6" w:rsidRPr="00DD1B17" w:rsidRDefault="003B59CF">
            <w:pPr>
              <w:rPr>
                <w:sz w:val="20"/>
                <w:szCs w:val="20"/>
              </w:rPr>
            </w:pPr>
            <w:r w:rsidRPr="00DD1B17">
              <w:rPr>
                <w:sz w:val="20"/>
                <w:szCs w:val="20"/>
              </w:rPr>
              <w:t>NO CAS</w:t>
            </w:r>
          </w:p>
        </w:tc>
        <w:tc>
          <w:tcPr>
            <w:tcW w:w="1440" w:type="dxa"/>
          </w:tcPr>
          <w:p w14:paraId="541F645C"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Acciones comunes - Acompañatic</w:t>
            </w:r>
          </w:p>
        </w:tc>
        <w:tc>
          <w:tcPr>
            <w:tcW w:w="1440" w:type="dxa"/>
          </w:tcPr>
          <w:p w14:paraId="535A06B2"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0</w:t>
            </w:r>
          </w:p>
        </w:tc>
        <w:tc>
          <w:tcPr>
            <w:tcW w:w="1440" w:type="dxa"/>
          </w:tcPr>
          <w:p w14:paraId="3FBFBC5F"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0</w:t>
            </w:r>
          </w:p>
        </w:tc>
        <w:tc>
          <w:tcPr>
            <w:tcW w:w="1440" w:type="dxa"/>
          </w:tcPr>
          <w:p w14:paraId="39AA5CF5"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0</w:t>
            </w:r>
          </w:p>
        </w:tc>
        <w:tc>
          <w:tcPr>
            <w:tcW w:w="1440" w:type="dxa"/>
          </w:tcPr>
          <w:p w14:paraId="57BCF1AD"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0</w:t>
            </w:r>
          </w:p>
        </w:tc>
      </w:tr>
      <w:tr w:rsidR="00A534C6" w:rsidRPr="00DD1B17" w14:paraId="78E5FFA1"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E0EE8C2" w14:textId="77777777" w:rsidR="00A534C6" w:rsidRPr="00DD1B17" w:rsidRDefault="003B59CF">
            <w:pPr>
              <w:rPr>
                <w:sz w:val="20"/>
                <w:szCs w:val="20"/>
              </w:rPr>
            </w:pPr>
            <w:r w:rsidRPr="00DD1B17">
              <w:rPr>
                <w:sz w:val="20"/>
                <w:szCs w:val="20"/>
              </w:rPr>
              <w:t>NO CAS</w:t>
            </w:r>
          </w:p>
        </w:tc>
        <w:tc>
          <w:tcPr>
            <w:tcW w:w="1440" w:type="dxa"/>
          </w:tcPr>
          <w:p w14:paraId="4D043D9B"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Acciones comunes del PP 106</w:t>
            </w:r>
          </w:p>
        </w:tc>
        <w:tc>
          <w:tcPr>
            <w:tcW w:w="1440" w:type="dxa"/>
          </w:tcPr>
          <w:p w14:paraId="36BC492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320</w:t>
            </w:r>
          </w:p>
        </w:tc>
        <w:tc>
          <w:tcPr>
            <w:tcW w:w="1440" w:type="dxa"/>
          </w:tcPr>
          <w:p w14:paraId="704E97C8"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0</w:t>
            </w:r>
          </w:p>
        </w:tc>
        <w:tc>
          <w:tcPr>
            <w:tcW w:w="1440" w:type="dxa"/>
          </w:tcPr>
          <w:p w14:paraId="1221CC38"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0</w:t>
            </w:r>
          </w:p>
        </w:tc>
        <w:tc>
          <w:tcPr>
            <w:tcW w:w="1440" w:type="dxa"/>
          </w:tcPr>
          <w:p w14:paraId="35A43DDC"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0</w:t>
            </w:r>
          </w:p>
        </w:tc>
      </w:tr>
      <w:tr w:rsidR="00A534C6" w:rsidRPr="00DD1B17" w14:paraId="37AF7775"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2A8CB41B" w14:textId="77777777" w:rsidR="00A534C6" w:rsidRPr="00DD1B17" w:rsidRDefault="003B59CF">
            <w:pPr>
              <w:rPr>
                <w:sz w:val="20"/>
                <w:szCs w:val="20"/>
              </w:rPr>
            </w:pPr>
            <w:r w:rsidRPr="00DD1B17">
              <w:rPr>
                <w:sz w:val="20"/>
                <w:szCs w:val="20"/>
              </w:rPr>
              <w:t>NO CAS</w:t>
            </w:r>
          </w:p>
        </w:tc>
        <w:tc>
          <w:tcPr>
            <w:tcW w:w="1440" w:type="dxa"/>
          </w:tcPr>
          <w:p w14:paraId="72E649F2"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Convivencia Escolar</w:t>
            </w:r>
          </w:p>
        </w:tc>
        <w:tc>
          <w:tcPr>
            <w:tcW w:w="1440" w:type="dxa"/>
          </w:tcPr>
          <w:p w14:paraId="07AFB677"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123,172</w:t>
            </w:r>
          </w:p>
        </w:tc>
        <w:tc>
          <w:tcPr>
            <w:tcW w:w="1440" w:type="dxa"/>
          </w:tcPr>
          <w:p w14:paraId="7AF795EB"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68,071</w:t>
            </w:r>
          </w:p>
        </w:tc>
        <w:tc>
          <w:tcPr>
            <w:tcW w:w="1440" w:type="dxa"/>
          </w:tcPr>
          <w:p w14:paraId="073F5C66"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68,071</w:t>
            </w:r>
          </w:p>
        </w:tc>
        <w:tc>
          <w:tcPr>
            <w:tcW w:w="1440" w:type="dxa"/>
          </w:tcPr>
          <w:p w14:paraId="24C86AA1"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58,071</w:t>
            </w:r>
          </w:p>
        </w:tc>
      </w:tr>
      <w:tr w:rsidR="00A534C6" w:rsidRPr="00DD1B17" w14:paraId="21B8644C"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1869C98" w14:textId="77777777" w:rsidR="00A534C6" w:rsidRPr="00DD1B17" w:rsidRDefault="003B59CF">
            <w:pPr>
              <w:rPr>
                <w:sz w:val="20"/>
                <w:szCs w:val="20"/>
              </w:rPr>
            </w:pPr>
            <w:r w:rsidRPr="00DD1B17">
              <w:rPr>
                <w:sz w:val="20"/>
                <w:szCs w:val="20"/>
              </w:rPr>
              <w:t>NO CAS</w:t>
            </w:r>
          </w:p>
        </w:tc>
        <w:tc>
          <w:tcPr>
            <w:tcW w:w="1440" w:type="dxa"/>
          </w:tcPr>
          <w:p w14:paraId="04324BF0"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Distribución de materiales educativos</w:t>
            </w:r>
          </w:p>
        </w:tc>
        <w:tc>
          <w:tcPr>
            <w:tcW w:w="1440" w:type="dxa"/>
          </w:tcPr>
          <w:p w14:paraId="1897EC10"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2,439,242</w:t>
            </w:r>
          </w:p>
        </w:tc>
        <w:tc>
          <w:tcPr>
            <w:tcW w:w="1440" w:type="dxa"/>
          </w:tcPr>
          <w:p w14:paraId="1747EC4B"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2,245,791</w:t>
            </w:r>
          </w:p>
        </w:tc>
        <w:tc>
          <w:tcPr>
            <w:tcW w:w="1440" w:type="dxa"/>
          </w:tcPr>
          <w:p w14:paraId="3D40C1DA"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2,189,987</w:t>
            </w:r>
          </w:p>
        </w:tc>
        <w:tc>
          <w:tcPr>
            <w:tcW w:w="1440" w:type="dxa"/>
          </w:tcPr>
          <w:p w14:paraId="7859A268"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2,107,987</w:t>
            </w:r>
          </w:p>
        </w:tc>
      </w:tr>
      <w:tr w:rsidR="00A534C6" w:rsidRPr="00DD1B17" w14:paraId="202A611A"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39EC7C78" w14:textId="77777777" w:rsidR="00A534C6" w:rsidRPr="00DD1B17" w:rsidRDefault="003B59CF">
            <w:pPr>
              <w:rPr>
                <w:sz w:val="20"/>
                <w:szCs w:val="20"/>
              </w:rPr>
            </w:pPr>
            <w:r w:rsidRPr="00DD1B17">
              <w:rPr>
                <w:sz w:val="20"/>
                <w:szCs w:val="20"/>
              </w:rPr>
              <w:t>NO CAS</w:t>
            </w:r>
          </w:p>
        </w:tc>
        <w:tc>
          <w:tcPr>
            <w:tcW w:w="1440" w:type="dxa"/>
          </w:tcPr>
          <w:p w14:paraId="406FDEA9"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lang w:val="es-PE"/>
              </w:rPr>
            </w:pPr>
            <w:r w:rsidRPr="00DD1B17">
              <w:rPr>
                <w:sz w:val="20"/>
                <w:szCs w:val="20"/>
                <w:lang w:val="es-PE"/>
              </w:rPr>
              <w:t>Fortalecimiento de competencias para uso de dispositivos electrónicos</w:t>
            </w:r>
          </w:p>
        </w:tc>
        <w:tc>
          <w:tcPr>
            <w:tcW w:w="1440" w:type="dxa"/>
          </w:tcPr>
          <w:p w14:paraId="1EBDD5C9"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810,187</w:t>
            </w:r>
          </w:p>
        </w:tc>
        <w:tc>
          <w:tcPr>
            <w:tcW w:w="1440" w:type="dxa"/>
          </w:tcPr>
          <w:p w14:paraId="73BF3212"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111,934</w:t>
            </w:r>
          </w:p>
        </w:tc>
        <w:tc>
          <w:tcPr>
            <w:tcW w:w="1440" w:type="dxa"/>
          </w:tcPr>
          <w:p w14:paraId="08F0C345"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111,754</w:t>
            </w:r>
          </w:p>
        </w:tc>
        <w:tc>
          <w:tcPr>
            <w:tcW w:w="1440" w:type="dxa"/>
          </w:tcPr>
          <w:p w14:paraId="177FE2BE"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111,640</w:t>
            </w:r>
          </w:p>
        </w:tc>
      </w:tr>
      <w:tr w:rsidR="00A534C6" w:rsidRPr="00DD1B17" w14:paraId="5FE6419B"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4DBE044" w14:textId="77777777" w:rsidR="00A534C6" w:rsidRPr="00DD1B17" w:rsidRDefault="003B59CF">
            <w:pPr>
              <w:rPr>
                <w:sz w:val="20"/>
                <w:szCs w:val="20"/>
              </w:rPr>
            </w:pPr>
            <w:r w:rsidRPr="00DD1B17">
              <w:rPr>
                <w:sz w:val="20"/>
                <w:szCs w:val="20"/>
              </w:rPr>
              <w:t>NO CAS</w:t>
            </w:r>
          </w:p>
        </w:tc>
        <w:tc>
          <w:tcPr>
            <w:tcW w:w="1440" w:type="dxa"/>
          </w:tcPr>
          <w:p w14:paraId="52373E8F"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lang w:val="es-PE"/>
              </w:rPr>
            </w:pPr>
            <w:r w:rsidRPr="00DD1B17">
              <w:rPr>
                <w:sz w:val="20"/>
                <w:szCs w:val="20"/>
                <w:lang w:val="es-PE"/>
              </w:rPr>
              <w:t>Fortalecimiento de las acciones del PP 106</w:t>
            </w:r>
          </w:p>
        </w:tc>
        <w:tc>
          <w:tcPr>
            <w:tcW w:w="1440" w:type="dxa"/>
          </w:tcPr>
          <w:p w14:paraId="2C67D415"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121,591</w:t>
            </w:r>
          </w:p>
        </w:tc>
        <w:tc>
          <w:tcPr>
            <w:tcW w:w="1440" w:type="dxa"/>
          </w:tcPr>
          <w:p w14:paraId="26400531"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77,972</w:t>
            </w:r>
          </w:p>
        </w:tc>
        <w:tc>
          <w:tcPr>
            <w:tcW w:w="1440" w:type="dxa"/>
          </w:tcPr>
          <w:p w14:paraId="0114014C"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74,191</w:t>
            </w:r>
          </w:p>
        </w:tc>
        <w:tc>
          <w:tcPr>
            <w:tcW w:w="1440" w:type="dxa"/>
          </w:tcPr>
          <w:p w14:paraId="77826193"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48,488</w:t>
            </w:r>
          </w:p>
        </w:tc>
      </w:tr>
      <w:tr w:rsidR="00A534C6" w:rsidRPr="00DD1B17" w14:paraId="329FD616"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1F6FD0C5" w14:textId="77777777" w:rsidR="00A534C6" w:rsidRPr="00DD1B17" w:rsidRDefault="003B59CF">
            <w:pPr>
              <w:rPr>
                <w:sz w:val="20"/>
                <w:szCs w:val="20"/>
              </w:rPr>
            </w:pPr>
            <w:r w:rsidRPr="00DD1B17">
              <w:rPr>
                <w:sz w:val="20"/>
                <w:szCs w:val="20"/>
              </w:rPr>
              <w:t>NO CAS</w:t>
            </w:r>
          </w:p>
        </w:tc>
        <w:tc>
          <w:tcPr>
            <w:tcW w:w="1440" w:type="dxa"/>
          </w:tcPr>
          <w:p w14:paraId="1FA8D9E7"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Kit de impresiones</w:t>
            </w:r>
          </w:p>
        </w:tc>
        <w:tc>
          <w:tcPr>
            <w:tcW w:w="1440" w:type="dxa"/>
          </w:tcPr>
          <w:p w14:paraId="2BBC3F92"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1,068,292</w:t>
            </w:r>
          </w:p>
        </w:tc>
        <w:tc>
          <w:tcPr>
            <w:tcW w:w="1440" w:type="dxa"/>
          </w:tcPr>
          <w:p w14:paraId="6FDF96E8"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987,334</w:t>
            </w:r>
          </w:p>
        </w:tc>
        <w:tc>
          <w:tcPr>
            <w:tcW w:w="1440" w:type="dxa"/>
          </w:tcPr>
          <w:p w14:paraId="6FAD3E6F"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979,432</w:t>
            </w:r>
          </w:p>
        </w:tc>
        <w:tc>
          <w:tcPr>
            <w:tcW w:w="1440" w:type="dxa"/>
          </w:tcPr>
          <w:p w14:paraId="644127C6"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968,892</w:t>
            </w:r>
          </w:p>
        </w:tc>
      </w:tr>
      <w:tr w:rsidR="00A534C6" w:rsidRPr="00DD1B17" w14:paraId="2ADB462B"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8E4C6D6" w14:textId="77777777" w:rsidR="00A534C6" w:rsidRPr="00DD1B17" w:rsidRDefault="003B59CF">
            <w:pPr>
              <w:rPr>
                <w:sz w:val="20"/>
                <w:szCs w:val="20"/>
              </w:rPr>
            </w:pPr>
            <w:r w:rsidRPr="00DD1B17">
              <w:rPr>
                <w:sz w:val="20"/>
                <w:szCs w:val="20"/>
              </w:rPr>
              <w:t>NO CAS</w:t>
            </w:r>
          </w:p>
        </w:tc>
        <w:tc>
          <w:tcPr>
            <w:tcW w:w="1440" w:type="dxa"/>
          </w:tcPr>
          <w:p w14:paraId="3BACC61A"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PRONOEI</w:t>
            </w:r>
          </w:p>
        </w:tc>
        <w:tc>
          <w:tcPr>
            <w:tcW w:w="1440" w:type="dxa"/>
          </w:tcPr>
          <w:p w14:paraId="6E389C6C"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3,679,863</w:t>
            </w:r>
          </w:p>
        </w:tc>
        <w:tc>
          <w:tcPr>
            <w:tcW w:w="1440" w:type="dxa"/>
          </w:tcPr>
          <w:p w14:paraId="0CD5D84B"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3,679,863</w:t>
            </w:r>
          </w:p>
        </w:tc>
        <w:tc>
          <w:tcPr>
            <w:tcW w:w="1440" w:type="dxa"/>
          </w:tcPr>
          <w:p w14:paraId="02D76EDF"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3,245,543</w:t>
            </w:r>
          </w:p>
        </w:tc>
        <w:tc>
          <w:tcPr>
            <w:tcW w:w="1440" w:type="dxa"/>
          </w:tcPr>
          <w:p w14:paraId="1DC50847"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2,573,880</w:t>
            </w:r>
          </w:p>
        </w:tc>
      </w:tr>
      <w:tr w:rsidR="00A534C6" w:rsidRPr="00DD1B17" w14:paraId="49773D69"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391F96D8" w14:textId="77777777" w:rsidR="00A534C6" w:rsidRPr="00DD1B17" w:rsidRDefault="003B59CF">
            <w:pPr>
              <w:rPr>
                <w:sz w:val="20"/>
                <w:szCs w:val="20"/>
              </w:rPr>
            </w:pPr>
            <w:r w:rsidRPr="00DD1B17">
              <w:rPr>
                <w:sz w:val="20"/>
                <w:szCs w:val="20"/>
              </w:rPr>
              <w:t>NO CAS</w:t>
            </w:r>
          </w:p>
        </w:tc>
        <w:tc>
          <w:tcPr>
            <w:tcW w:w="1440" w:type="dxa"/>
          </w:tcPr>
          <w:p w14:paraId="0BEAB14B"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lang w:val="es-PE"/>
              </w:rPr>
            </w:pPr>
            <w:r w:rsidRPr="00DD1B17">
              <w:rPr>
                <w:sz w:val="20"/>
                <w:szCs w:val="20"/>
                <w:lang w:val="es-PE"/>
              </w:rPr>
              <w:t>Plan de Mejora del PP 0107</w:t>
            </w:r>
          </w:p>
        </w:tc>
        <w:tc>
          <w:tcPr>
            <w:tcW w:w="1440" w:type="dxa"/>
          </w:tcPr>
          <w:p w14:paraId="45A02F09"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171,905</w:t>
            </w:r>
          </w:p>
        </w:tc>
        <w:tc>
          <w:tcPr>
            <w:tcW w:w="1440" w:type="dxa"/>
          </w:tcPr>
          <w:p w14:paraId="2D394D3A"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85,405</w:t>
            </w:r>
          </w:p>
        </w:tc>
        <w:tc>
          <w:tcPr>
            <w:tcW w:w="1440" w:type="dxa"/>
          </w:tcPr>
          <w:p w14:paraId="0A548590"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67,405</w:t>
            </w:r>
          </w:p>
        </w:tc>
        <w:tc>
          <w:tcPr>
            <w:tcW w:w="1440" w:type="dxa"/>
          </w:tcPr>
          <w:p w14:paraId="67949078"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sz w:val="20"/>
                <w:szCs w:val="20"/>
              </w:rPr>
            </w:pPr>
            <w:r w:rsidRPr="00DD1B17">
              <w:rPr>
                <w:sz w:val="20"/>
                <w:szCs w:val="20"/>
              </w:rPr>
              <w:t>37,405</w:t>
            </w:r>
          </w:p>
        </w:tc>
      </w:tr>
      <w:tr w:rsidR="00A534C6" w:rsidRPr="00DD1B17" w14:paraId="0148CF8E"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E7BBB9C" w14:textId="77777777" w:rsidR="00A534C6" w:rsidRPr="00DD1B17" w:rsidRDefault="003B59CF">
            <w:pPr>
              <w:rPr>
                <w:sz w:val="20"/>
                <w:szCs w:val="20"/>
              </w:rPr>
            </w:pPr>
            <w:r w:rsidRPr="00DD1B17">
              <w:rPr>
                <w:sz w:val="20"/>
                <w:szCs w:val="20"/>
              </w:rPr>
              <w:t>NO CAS</w:t>
            </w:r>
          </w:p>
        </w:tc>
        <w:tc>
          <w:tcPr>
            <w:tcW w:w="1440" w:type="dxa"/>
          </w:tcPr>
          <w:p w14:paraId="6BD94109"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Traslado Docente</w:t>
            </w:r>
          </w:p>
        </w:tc>
        <w:tc>
          <w:tcPr>
            <w:tcW w:w="1440" w:type="dxa"/>
          </w:tcPr>
          <w:p w14:paraId="08A0EFBB"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12,844</w:t>
            </w:r>
          </w:p>
        </w:tc>
        <w:tc>
          <w:tcPr>
            <w:tcW w:w="1440" w:type="dxa"/>
          </w:tcPr>
          <w:p w14:paraId="21199D58"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0</w:t>
            </w:r>
          </w:p>
        </w:tc>
        <w:tc>
          <w:tcPr>
            <w:tcW w:w="1440" w:type="dxa"/>
          </w:tcPr>
          <w:p w14:paraId="6EB60C96"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0</w:t>
            </w:r>
          </w:p>
        </w:tc>
        <w:tc>
          <w:tcPr>
            <w:tcW w:w="1440" w:type="dxa"/>
          </w:tcPr>
          <w:p w14:paraId="590DCB9B"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sz w:val="20"/>
                <w:szCs w:val="20"/>
              </w:rPr>
            </w:pPr>
            <w:r w:rsidRPr="00DD1B17">
              <w:rPr>
                <w:sz w:val="20"/>
                <w:szCs w:val="20"/>
              </w:rPr>
              <w:t>0</w:t>
            </w:r>
          </w:p>
        </w:tc>
      </w:tr>
    </w:tbl>
    <w:p w14:paraId="06A9B39A" w14:textId="77777777" w:rsidR="000F4F8B" w:rsidRDefault="000F4F8B" w:rsidP="000F4F8B">
      <w:pPr>
        <w:pStyle w:val="ListBullet"/>
        <w:numPr>
          <w:ilvl w:val="0"/>
          <w:numId w:val="0"/>
        </w:numPr>
        <w:jc w:val="both"/>
        <w:rPr>
          <w:lang w:val="es-PE"/>
        </w:rPr>
      </w:pPr>
    </w:p>
    <w:p w14:paraId="614F30AF" w14:textId="79A61EEA" w:rsidR="00A534C6" w:rsidRPr="00DD1B17" w:rsidRDefault="003B59CF">
      <w:pPr>
        <w:pStyle w:val="ListBullet"/>
        <w:jc w:val="both"/>
        <w:rPr>
          <w:lang w:val="es-PE"/>
        </w:rPr>
      </w:pPr>
      <w:r w:rsidRPr="00DD1B17">
        <w:rPr>
          <w:lang w:val="es-PE"/>
        </w:rPr>
        <w:t>A través de los Decretos Supremos N°s 092, 169, 189, 209 y 210-2021-EF,     se realizaron todas las transferencias de partidas programadas para el Año     Fiscal 2021</w:t>
      </w:r>
      <w:r w:rsidR="00406775">
        <w:rPr>
          <w:lang w:val="es-PE"/>
        </w:rPr>
        <w:t xml:space="preserve">, </w:t>
      </w:r>
      <w:r w:rsidR="00406775" w:rsidRPr="00406775">
        <w:rPr>
          <w:highlight w:val="yellow"/>
          <w:lang w:val="es-PE"/>
        </w:rPr>
        <w:t>por un monto total</w:t>
      </w:r>
      <w:r w:rsidR="00406775">
        <w:rPr>
          <w:lang w:val="es-PE"/>
        </w:rPr>
        <w:t xml:space="preserve"> </w:t>
      </w:r>
      <w:r w:rsidR="00406775" w:rsidRPr="00406775">
        <w:rPr>
          <w:highlight w:val="yellow"/>
          <w:lang w:val="es-PE"/>
        </w:rPr>
        <w:t>de</w:t>
      </w:r>
      <w:r w:rsidR="00406775">
        <w:rPr>
          <w:lang w:val="es-PE"/>
        </w:rPr>
        <w:t xml:space="preserve"> </w:t>
      </w:r>
      <w:r w:rsidR="00406775">
        <w:rPr>
          <w:lang w:val="es-PE"/>
        </w:rPr>
        <w:t>(</w:t>
      </w:r>
      <w:r w:rsidR="00406775" w:rsidRPr="000F4F8B">
        <w:rPr>
          <w:highlight w:val="yellow"/>
          <w:lang w:val="es-PE"/>
        </w:rPr>
        <w:t>monto transferido</w:t>
      </w:r>
      <w:r w:rsidR="00406775">
        <w:rPr>
          <w:lang w:val="es-PE"/>
        </w:rPr>
        <w:t>)</w:t>
      </w:r>
      <w:r w:rsidR="00406775">
        <w:rPr>
          <w:lang w:val="es-PE"/>
        </w:rPr>
        <w:t xml:space="preserve"> </w:t>
      </w:r>
      <w:r w:rsidRPr="00DD1B17">
        <w:rPr>
          <w:lang w:val="es-PE"/>
        </w:rPr>
        <w:t>para el financiamiento de las intervenciones y acciones pedagógicas.</w:t>
      </w:r>
      <w:r w:rsidR="000F4F8B">
        <w:rPr>
          <w:lang w:val="es-PE"/>
        </w:rPr>
        <w:t xml:space="preserve"> </w:t>
      </w:r>
    </w:p>
    <w:p w14:paraId="360B88F6" w14:textId="77777777" w:rsidR="00A534C6" w:rsidRPr="00406775" w:rsidRDefault="003B59CF">
      <w:pPr>
        <w:pStyle w:val="ListBullet"/>
        <w:jc w:val="both"/>
        <w:rPr>
          <w:b/>
          <w:bCs/>
          <w:color w:val="FF0000"/>
          <w:u w:val="single"/>
          <w:lang w:val="es-PE"/>
        </w:rPr>
      </w:pPr>
      <w:r w:rsidRPr="00406775">
        <w:rPr>
          <w:b/>
          <w:bCs/>
          <w:color w:val="FF0000"/>
          <w:u w:val="single"/>
          <w:lang w:val="es-PE"/>
        </w:rPr>
        <w:t>Es importante considerar que la ejecución en los Contratos Administrativos     de Servicios (CAS) se ha visto afectada por la vigencia de la Ley N° 31131.     Por otro lado, la ejecución en bienes y servicios (excluyendo CAS) es menor     a lo esperado debido al bajo número de IIEE que brindan servicios presenciales     y semipresenciales a nivel nacional.</w:t>
      </w:r>
    </w:p>
    <w:p w14:paraId="450C6539" w14:textId="77777777" w:rsidR="00A534C6" w:rsidRDefault="003B59CF">
      <w:pPr>
        <w:pStyle w:val="Heading1"/>
      </w:pPr>
      <w:r>
        <w:lastRenderedPageBreak/>
        <w:t>2. Mascarillas y protectores faciales</w:t>
      </w:r>
    </w:p>
    <w:p w14:paraId="079414F3" w14:textId="77777777" w:rsidR="00A534C6" w:rsidRPr="00DD1B17" w:rsidRDefault="003B59CF">
      <w:pPr>
        <w:pStyle w:val="ListBullet"/>
        <w:jc w:val="both"/>
        <w:rPr>
          <w:lang w:val="es-PE"/>
        </w:rPr>
      </w:pPr>
      <w:r w:rsidRPr="00DD1B17">
        <w:rPr>
          <w:lang w:val="es-PE"/>
        </w:rPr>
        <w:t xml:space="preserve">Mediante el Decreto de Urgencia N° 021-2021 y la Resolución de Secretaría General N° 047-2021-MINEDU, se transfirieron </w:t>
      </w:r>
      <w:r w:rsidRPr="00406775">
        <w:rPr>
          <w:highlight w:val="yellow"/>
          <w:lang w:val="es-PE"/>
        </w:rPr>
        <w:t>S/ 2.1 millones de soles para la adquisición y distribución de mascarillas faciales</w:t>
      </w:r>
      <w:r w:rsidRPr="00DD1B17">
        <w:rPr>
          <w:lang w:val="es-PE"/>
        </w:rPr>
        <w:t xml:space="preserve"> textiles de uso comunitario para estudiantes y personal que labora en instituciones educativas públicas, así como protectores faciales para el mencionado personal.</w:t>
      </w:r>
    </w:p>
    <w:p w14:paraId="56F46E91" w14:textId="77777777" w:rsidR="00A534C6" w:rsidRPr="00DD1B17" w:rsidRDefault="003B59CF">
      <w:pPr>
        <w:pStyle w:val="ListBullet"/>
        <w:jc w:val="both"/>
        <w:rPr>
          <w:lang w:val="es-PE"/>
        </w:rPr>
      </w:pPr>
      <w:r w:rsidRPr="00DD1B17">
        <w:rPr>
          <w:lang w:val="es-PE"/>
        </w:rP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14:paraId="7A4284AB" w14:textId="0C26EA01" w:rsidR="00A534C6" w:rsidRDefault="003B59CF">
      <w:pPr>
        <w:pStyle w:val="ListBullet"/>
        <w:jc w:val="both"/>
        <w:rPr>
          <w:lang w:val="es-PE"/>
        </w:rPr>
      </w:pPr>
      <w:r w:rsidRPr="00406775">
        <w:rPr>
          <w:strike/>
          <w:lang w:val="es-PE"/>
        </w:rPr>
        <w:t>Con fecha de corte al 2021-09-20,</w:t>
      </w:r>
      <w:r w:rsidRPr="00DD1B17">
        <w:rPr>
          <w:lang w:val="es-PE"/>
        </w:rPr>
        <w:t xml:space="preserve"> la ejecución a nivel regional de los recursos de mascarillas faciales textiles protectores faciales fue del 97.1% (devengado) según se presenta a continuación:</w:t>
      </w:r>
    </w:p>
    <w:p w14:paraId="4BEBE7C1" w14:textId="3426A437" w:rsidR="00DD1B17" w:rsidRDefault="00DD1B17" w:rsidP="00DD1B17">
      <w:pPr>
        <w:pStyle w:val="ListBullet"/>
        <w:numPr>
          <w:ilvl w:val="0"/>
          <w:numId w:val="0"/>
        </w:numPr>
        <w:ind w:left="360" w:hanging="360"/>
        <w:jc w:val="both"/>
        <w:rPr>
          <w:lang w:val="es-PE"/>
        </w:rPr>
      </w:pPr>
    </w:p>
    <w:tbl>
      <w:tblPr>
        <w:tblStyle w:val="ColorfulList-Accent1"/>
        <w:tblW w:w="0" w:type="auto"/>
        <w:tblLook w:val="04A0" w:firstRow="1" w:lastRow="0" w:firstColumn="1" w:lastColumn="0" w:noHBand="0" w:noVBand="1"/>
      </w:tblPr>
      <w:tblGrid>
        <w:gridCol w:w="1786"/>
        <w:gridCol w:w="1421"/>
        <w:gridCol w:w="1403"/>
        <w:gridCol w:w="1391"/>
        <w:gridCol w:w="1417"/>
        <w:gridCol w:w="1438"/>
      </w:tblGrid>
      <w:tr w:rsidR="00DD1B17" w14:paraId="6F405FDE" w14:textId="77777777" w:rsidTr="00D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56CDED2C" w14:textId="77777777" w:rsidR="00DD1B17" w:rsidRDefault="00DD1B17" w:rsidP="00A06FED">
            <w:r>
              <w:t xml:space="preserve">UNIDAD </w:t>
            </w:r>
            <w:proofErr w:type="spellStart"/>
            <w:r>
              <w:t>EJECUTORA</w:t>
            </w:r>
            <w:proofErr w:type="spellEnd"/>
          </w:p>
        </w:tc>
        <w:tc>
          <w:tcPr>
            <w:tcW w:w="1421" w:type="dxa"/>
          </w:tcPr>
          <w:p w14:paraId="351088CD" w14:textId="77777777" w:rsidR="00DD1B17" w:rsidRDefault="00DD1B17" w:rsidP="00A06FED">
            <w:pPr>
              <w:cnfStyle w:val="100000000000" w:firstRow="1" w:lastRow="0" w:firstColumn="0" w:lastColumn="0" w:oddVBand="0" w:evenVBand="0" w:oddHBand="0" w:evenHBand="0" w:firstRowFirstColumn="0" w:firstRowLastColumn="0" w:lastRowFirstColumn="0" w:lastRowLastColumn="0"/>
            </w:pPr>
            <w:proofErr w:type="spellStart"/>
            <w:r>
              <w:t>RECURSOS</w:t>
            </w:r>
            <w:proofErr w:type="spellEnd"/>
            <w:r>
              <w:t xml:space="preserve"> TRANSF. (*)</w:t>
            </w:r>
          </w:p>
        </w:tc>
        <w:tc>
          <w:tcPr>
            <w:tcW w:w="1403" w:type="dxa"/>
          </w:tcPr>
          <w:p w14:paraId="565CF5D1" w14:textId="77777777" w:rsidR="00DD1B17" w:rsidRDefault="00DD1B17" w:rsidP="00A06FED">
            <w:pPr>
              <w:cnfStyle w:val="100000000000" w:firstRow="1" w:lastRow="0" w:firstColumn="0" w:lastColumn="0" w:oddVBand="0" w:evenVBand="0" w:oddHBand="0" w:evenHBand="0" w:firstRowFirstColumn="0" w:firstRowLastColumn="0" w:lastRowFirstColumn="0" w:lastRowLastColumn="0"/>
            </w:pPr>
            <w:r>
              <w:t>PIM</w:t>
            </w:r>
          </w:p>
        </w:tc>
        <w:tc>
          <w:tcPr>
            <w:tcW w:w="1391" w:type="dxa"/>
          </w:tcPr>
          <w:p w14:paraId="474F287E" w14:textId="77777777" w:rsidR="00DD1B17" w:rsidRDefault="00DD1B17" w:rsidP="00A06FED">
            <w:pPr>
              <w:cnfStyle w:val="100000000000" w:firstRow="1" w:lastRow="0" w:firstColumn="0" w:lastColumn="0" w:oddVBand="0" w:evenVBand="0" w:oddHBand="0" w:evenHBand="0" w:firstRowFirstColumn="0" w:firstRowLastColumn="0" w:lastRowFirstColumn="0" w:lastRowLastColumn="0"/>
            </w:pPr>
            <w:r>
              <w:t>CERT. (%)</w:t>
            </w:r>
          </w:p>
        </w:tc>
        <w:tc>
          <w:tcPr>
            <w:tcW w:w="1417" w:type="dxa"/>
          </w:tcPr>
          <w:p w14:paraId="42D1543F" w14:textId="77777777" w:rsidR="00DD1B17" w:rsidRDefault="00DD1B17" w:rsidP="00A06FED">
            <w:pPr>
              <w:cnfStyle w:val="100000000000" w:firstRow="1" w:lastRow="0" w:firstColumn="0" w:lastColumn="0" w:oddVBand="0" w:evenVBand="0" w:oddHBand="0" w:evenHBand="0" w:firstRowFirstColumn="0" w:firstRowLastColumn="0" w:lastRowFirstColumn="0" w:lastRowLastColumn="0"/>
            </w:pPr>
            <w:proofErr w:type="spellStart"/>
            <w:r>
              <w:t>COMPRO</w:t>
            </w:r>
            <w:proofErr w:type="spellEnd"/>
            <w:r>
              <w:t>. (%)</w:t>
            </w:r>
          </w:p>
        </w:tc>
        <w:tc>
          <w:tcPr>
            <w:tcW w:w="1438" w:type="dxa"/>
          </w:tcPr>
          <w:p w14:paraId="7399D2FE" w14:textId="77777777" w:rsidR="00DD1B17" w:rsidRDefault="00DD1B17" w:rsidP="00A06FED">
            <w:pPr>
              <w:cnfStyle w:val="100000000000" w:firstRow="1" w:lastRow="0" w:firstColumn="0" w:lastColumn="0" w:oddVBand="0" w:evenVBand="0" w:oddHBand="0" w:evenHBand="0" w:firstRowFirstColumn="0" w:firstRowLastColumn="0" w:lastRowFirstColumn="0" w:lastRowLastColumn="0"/>
            </w:pPr>
            <w:proofErr w:type="spellStart"/>
            <w:r>
              <w:t>DEVENGADO</w:t>
            </w:r>
            <w:proofErr w:type="spellEnd"/>
            <w:r>
              <w:t xml:space="preserve"> (%)</w:t>
            </w:r>
          </w:p>
        </w:tc>
      </w:tr>
      <w:tr w:rsidR="00DD1B17" w14:paraId="6B4D4ED4" w14:textId="77777777" w:rsidTr="00D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13AAC2C2" w14:textId="77777777" w:rsidR="00DD1B17" w:rsidRDefault="00DD1B17" w:rsidP="00A06FED">
            <w:r>
              <w:t xml:space="preserve">300. </w:t>
            </w:r>
            <w:proofErr w:type="spellStart"/>
            <w:r>
              <w:t>EDUCACION</w:t>
            </w:r>
            <w:proofErr w:type="spellEnd"/>
            <w:r>
              <w:t xml:space="preserve"> AMAZONAS</w:t>
            </w:r>
          </w:p>
        </w:tc>
        <w:tc>
          <w:tcPr>
            <w:tcW w:w="1421" w:type="dxa"/>
          </w:tcPr>
          <w:p w14:paraId="18FE50BD"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737,585</w:t>
            </w:r>
          </w:p>
        </w:tc>
        <w:tc>
          <w:tcPr>
            <w:tcW w:w="1403" w:type="dxa"/>
          </w:tcPr>
          <w:p w14:paraId="6F6C2857"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737,585</w:t>
            </w:r>
          </w:p>
        </w:tc>
        <w:tc>
          <w:tcPr>
            <w:tcW w:w="1391" w:type="dxa"/>
          </w:tcPr>
          <w:p w14:paraId="23548EF6"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95.8%</w:t>
            </w:r>
          </w:p>
        </w:tc>
        <w:tc>
          <w:tcPr>
            <w:tcW w:w="1417" w:type="dxa"/>
          </w:tcPr>
          <w:p w14:paraId="7DFD48DB"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95.8%</w:t>
            </w:r>
          </w:p>
        </w:tc>
        <w:tc>
          <w:tcPr>
            <w:tcW w:w="1438" w:type="dxa"/>
          </w:tcPr>
          <w:p w14:paraId="78E1036C"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95.8%</w:t>
            </w:r>
          </w:p>
        </w:tc>
      </w:tr>
      <w:tr w:rsidR="00DD1B17" w14:paraId="30A098EF" w14:textId="77777777" w:rsidTr="00DD1B17">
        <w:tc>
          <w:tcPr>
            <w:cnfStyle w:val="001000000000" w:firstRow="0" w:lastRow="0" w:firstColumn="1" w:lastColumn="0" w:oddVBand="0" w:evenVBand="0" w:oddHBand="0" w:evenHBand="0" w:firstRowFirstColumn="0" w:firstRowLastColumn="0" w:lastRowFirstColumn="0" w:lastRowLastColumn="0"/>
            <w:tcW w:w="1786" w:type="dxa"/>
          </w:tcPr>
          <w:p w14:paraId="0FD5F9F4" w14:textId="77777777" w:rsidR="00DD1B17" w:rsidRDefault="00DD1B17" w:rsidP="00A06FED">
            <w:r>
              <w:t xml:space="preserve">301. </w:t>
            </w:r>
            <w:proofErr w:type="spellStart"/>
            <w:r>
              <w:t>EDUCACION</w:t>
            </w:r>
            <w:proofErr w:type="spellEnd"/>
            <w:r>
              <w:t xml:space="preserve"> </w:t>
            </w:r>
            <w:proofErr w:type="spellStart"/>
            <w:r>
              <w:t>BAGUA</w:t>
            </w:r>
            <w:proofErr w:type="spellEnd"/>
          </w:p>
        </w:tc>
        <w:tc>
          <w:tcPr>
            <w:tcW w:w="1421" w:type="dxa"/>
          </w:tcPr>
          <w:p w14:paraId="1EE2BE83"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489,498</w:t>
            </w:r>
          </w:p>
        </w:tc>
        <w:tc>
          <w:tcPr>
            <w:tcW w:w="1403" w:type="dxa"/>
          </w:tcPr>
          <w:p w14:paraId="7BB37C41"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489,498</w:t>
            </w:r>
          </w:p>
        </w:tc>
        <w:tc>
          <w:tcPr>
            <w:tcW w:w="1391" w:type="dxa"/>
          </w:tcPr>
          <w:p w14:paraId="2FB2D38F"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95.8%</w:t>
            </w:r>
          </w:p>
        </w:tc>
        <w:tc>
          <w:tcPr>
            <w:tcW w:w="1417" w:type="dxa"/>
          </w:tcPr>
          <w:p w14:paraId="7A6AD7DB"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95.8%</w:t>
            </w:r>
          </w:p>
        </w:tc>
        <w:tc>
          <w:tcPr>
            <w:tcW w:w="1438" w:type="dxa"/>
          </w:tcPr>
          <w:p w14:paraId="6FE7F4A0"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95.8%</w:t>
            </w:r>
          </w:p>
        </w:tc>
      </w:tr>
      <w:tr w:rsidR="00DD1B17" w14:paraId="64A813EE" w14:textId="77777777" w:rsidTr="00D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1C17D794" w14:textId="77777777" w:rsidR="00DD1B17" w:rsidRDefault="00DD1B17" w:rsidP="00A06FED">
            <w:r>
              <w:t xml:space="preserve">302. </w:t>
            </w:r>
            <w:proofErr w:type="spellStart"/>
            <w:r>
              <w:t>EDUCACION</w:t>
            </w:r>
            <w:proofErr w:type="spellEnd"/>
            <w:r>
              <w:t xml:space="preserve"> </w:t>
            </w:r>
            <w:proofErr w:type="spellStart"/>
            <w:r>
              <w:t>CONDORCANQUI</w:t>
            </w:r>
            <w:proofErr w:type="spellEnd"/>
          </w:p>
        </w:tc>
        <w:tc>
          <w:tcPr>
            <w:tcW w:w="1421" w:type="dxa"/>
          </w:tcPr>
          <w:p w14:paraId="59B5F892"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400,587</w:t>
            </w:r>
          </w:p>
        </w:tc>
        <w:tc>
          <w:tcPr>
            <w:tcW w:w="1403" w:type="dxa"/>
          </w:tcPr>
          <w:p w14:paraId="350DCE89"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400,587</w:t>
            </w:r>
          </w:p>
        </w:tc>
        <w:tc>
          <w:tcPr>
            <w:tcW w:w="1391" w:type="dxa"/>
          </w:tcPr>
          <w:p w14:paraId="6DB91AE9"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98.3%</w:t>
            </w:r>
          </w:p>
        </w:tc>
        <w:tc>
          <w:tcPr>
            <w:tcW w:w="1417" w:type="dxa"/>
          </w:tcPr>
          <w:p w14:paraId="714A3EDF"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98.3%</w:t>
            </w:r>
          </w:p>
        </w:tc>
        <w:tc>
          <w:tcPr>
            <w:tcW w:w="1438" w:type="dxa"/>
          </w:tcPr>
          <w:p w14:paraId="485AF64F" w14:textId="77777777" w:rsidR="00DD1B17" w:rsidRDefault="00DD1B17" w:rsidP="00A06FED">
            <w:pPr>
              <w:cnfStyle w:val="000000100000" w:firstRow="0" w:lastRow="0" w:firstColumn="0" w:lastColumn="0" w:oddVBand="0" w:evenVBand="0" w:oddHBand="1" w:evenHBand="0" w:firstRowFirstColumn="0" w:firstRowLastColumn="0" w:lastRowFirstColumn="0" w:lastRowLastColumn="0"/>
            </w:pPr>
            <w:r>
              <w:t>98.3%</w:t>
            </w:r>
          </w:p>
        </w:tc>
      </w:tr>
      <w:tr w:rsidR="00DD1B17" w14:paraId="61E50114" w14:textId="77777777" w:rsidTr="00DD1B17">
        <w:tc>
          <w:tcPr>
            <w:cnfStyle w:val="001000000000" w:firstRow="0" w:lastRow="0" w:firstColumn="1" w:lastColumn="0" w:oddVBand="0" w:evenVBand="0" w:oddHBand="0" w:evenHBand="0" w:firstRowFirstColumn="0" w:firstRowLastColumn="0" w:lastRowFirstColumn="0" w:lastRowLastColumn="0"/>
            <w:tcW w:w="1786" w:type="dxa"/>
          </w:tcPr>
          <w:p w14:paraId="1F118C7F" w14:textId="77777777" w:rsidR="00DD1B17" w:rsidRDefault="00DD1B17" w:rsidP="00A06FED">
            <w:r>
              <w:t xml:space="preserve">303. </w:t>
            </w:r>
            <w:proofErr w:type="spellStart"/>
            <w:r>
              <w:t>EDUCACION</w:t>
            </w:r>
            <w:proofErr w:type="spellEnd"/>
            <w:r>
              <w:t xml:space="preserve"> </w:t>
            </w:r>
            <w:proofErr w:type="spellStart"/>
            <w:r>
              <w:t>BAGUA</w:t>
            </w:r>
            <w:proofErr w:type="spellEnd"/>
            <w:r>
              <w:t xml:space="preserve"> CAPITAL</w:t>
            </w:r>
          </w:p>
        </w:tc>
        <w:tc>
          <w:tcPr>
            <w:tcW w:w="1421" w:type="dxa"/>
          </w:tcPr>
          <w:p w14:paraId="7F47A159"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476,933</w:t>
            </w:r>
          </w:p>
        </w:tc>
        <w:tc>
          <w:tcPr>
            <w:tcW w:w="1403" w:type="dxa"/>
          </w:tcPr>
          <w:p w14:paraId="7A05E2E4"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476,933</w:t>
            </w:r>
          </w:p>
        </w:tc>
        <w:tc>
          <w:tcPr>
            <w:tcW w:w="1391" w:type="dxa"/>
          </w:tcPr>
          <w:p w14:paraId="4EDE45EE"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99.4%</w:t>
            </w:r>
          </w:p>
        </w:tc>
        <w:tc>
          <w:tcPr>
            <w:tcW w:w="1417" w:type="dxa"/>
          </w:tcPr>
          <w:p w14:paraId="402D941A"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99.4%</w:t>
            </w:r>
          </w:p>
        </w:tc>
        <w:tc>
          <w:tcPr>
            <w:tcW w:w="1438" w:type="dxa"/>
          </w:tcPr>
          <w:p w14:paraId="2F977EB7" w14:textId="77777777" w:rsidR="00DD1B17" w:rsidRDefault="00DD1B17" w:rsidP="00A06FED">
            <w:pPr>
              <w:cnfStyle w:val="000000000000" w:firstRow="0" w:lastRow="0" w:firstColumn="0" w:lastColumn="0" w:oddVBand="0" w:evenVBand="0" w:oddHBand="0" w:evenHBand="0" w:firstRowFirstColumn="0" w:firstRowLastColumn="0" w:lastRowFirstColumn="0" w:lastRowLastColumn="0"/>
            </w:pPr>
            <w:r>
              <w:t>99.4%</w:t>
            </w:r>
          </w:p>
        </w:tc>
      </w:tr>
    </w:tbl>
    <w:p w14:paraId="42258AC9" w14:textId="77777777" w:rsidR="00DD1B17" w:rsidRPr="00DD1B17" w:rsidRDefault="00DD1B17" w:rsidP="00DD1B17">
      <w:pPr>
        <w:spacing w:line="240" w:lineRule="auto"/>
        <w:rPr>
          <w:lang w:val="es-PE"/>
        </w:rPr>
      </w:pPr>
      <w:r w:rsidRPr="00DD1B17">
        <w:rPr>
          <w:lang w:val="es-PE"/>
        </w:rPr>
        <w:t>*Recursos transferidos mediante el Decreto de Urgencia N° 021-2021.</w:t>
      </w:r>
    </w:p>
    <w:p w14:paraId="2D9C0DE6" w14:textId="794B20B1" w:rsidR="00DD1B17" w:rsidRPr="00DD1B17" w:rsidRDefault="00DD1B17" w:rsidP="00DD1B17">
      <w:pPr>
        <w:spacing w:line="240" w:lineRule="auto"/>
        <w:rPr>
          <w:lang w:val="es-PE"/>
        </w:rPr>
      </w:pPr>
      <w:r w:rsidRPr="00DD1B17">
        <w:rPr>
          <w:lang w:val="es-PE"/>
        </w:rPr>
        <w:t>Fuente: SIAF MPP al 14 de septiembre de 2021.</w:t>
      </w:r>
    </w:p>
    <w:p w14:paraId="1DD05FEF" w14:textId="77777777" w:rsidR="00A534C6" w:rsidRDefault="003B59CF">
      <w:pPr>
        <w:pStyle w:val="Heading1"/>
      </w:pPr>
      <w:r>
        <w:t>3. Compromisos de desempeño</w:t>
      </w:r>
    </w:p>
    <w:p w14:paraId="5DFD0666" w14:textId="16AFC659" w:rsidR="00A534C6" w:rsidRPr="00DD1B17" w:rsidRDefault="003B59CF">
      <w:pPr>
        <w:pStyle w:val="ListBullet"/>
        <w:jc w:val="both"/>
        <w:rPr>
          <w:lang w:val="es-PE"/>
        </w:rPr>
      </w:pPr>
      <w:r w:rsidRPr="00DD1B17">
        <w:rPr>
          <w:lang w:val="es-PE"/>
        </w:rP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rsidRPr="00406775">
        <w:rPr>
          <w:highlight w:val="yellow"/>
          <w:lang w:val="es-PE"/>
        </w:rPr>
        <w:t>AMAZONAS</w:t>
      </w:r>
      <w:r w:rsidR="00406775" w:rsidRPr="00406775">
        <w:rPr>
          <w:highlight w:val="yellow"/>
          <w:lang w:val="es-PE"/>
        </w:rPr>
        <w:t xml:space="preserve"> </w:t>
      </w:r>
      <w:r w:rsidRPr="00406775">
        <w:rPr>
          <w:highlight w:val="yellow"/>
          <w:lang w:val="es-PE"/>
        </w:rPr>
        <w:t>por la suma de</w:t>
      </w:r>
      <w:r w:rsidR="00406775" w:rsidRPr="00406775">
        <w:rPr>
          <w:highlight w:val="yellow"/>
          <w:lang w:val="es-PE"/>
        </w:rPr>
        <w:t xml:space="preserve"> </w:t>
      </w:r>
      <w:r w:rsidRPr="00406775">
        <w:rPr>
          <w:highlight w:val="yellow"/>
          <w:lang w:val="es-PE"/>
        </w:rPr>
        <w:t>4,581,271</w:t>
      </w:r>
      <w:r w:rsidR="00406775" w:rsidRPr="00406775">
        <w:rPr>
          <w:highlight w:val="yellow"/>
          <w:lang w:val="es-PE"/>
        </w:rPr>
        <w:t>.</w:t>
      </w:r>
      <w:r w:rsidRPr="00DD1B17">
        <w:rPr>
          <w:lang w:val="es-PE"/>
        </w:rPr>
        <w:t xml:space="preserve"> </w:t>
      </w:r>
      <w:r w:rsidRPr="00406775">
        <w:rPr>
          <w:highlight w:val="yellow"/>
          <w:lang w:val="es-PE"/>
        </w:rPr>
        <w:t>De dichos recursos</w:t>
      </w:r>
      <w:r w:rsidR="00406775" w:rsidRPr="00406775">
        <w:rPr>
          <w:highlight w:val="yellow"/>
          <w:lang w:val="es-PE"/>
        </w:rPr>
        <w:t xml:space="preserve"> a nivel de programa presupuestal</w:t>
      </w:r>
      <w:r w:rsidR="00406775">
        <w:rPr>
          <w:highlight w:val="yellow"/>
          <w:lang w:val="es-PE"/>
        </w:rPr>
        <w:t xml:space="preserve"> y genérica de gasto</w:t>
      </w:r>
      <w:r w:rsidR="00406775" w:rsidRPr="00406775">
        <w:rPr>
          <w:highlight w:val="yellow"/>
          <w:lang w:val="es-PE"/>
        </w:rPr>
        <w:t>, se distribuyen de la siguiente manera:</w:t>
      </w:r>
    </w:p>
    <w:tbl>
      <w:tblPr>
        <w:tblStyle w:val="ColorfulList-Accent1"/>
        <w:tblW w:w="0" w:type="auto"/>
        <w:tblLook w:val="04A0" w:firstRow="1" w:lastRow="0" w:firstColumn="1" w:lastColumn="0" w:noHBand="0" w:noVBand="1"/>
      </w:tblPr>
      <w:tblGrid>
        <w:gridCol w:w="1646"/>
        <w:gridCol w:w="1441"/>
        <w:gridCol w:w="1440"/>
        <w:gridCol w:w="1440"/>
        <w:gridCol w:w="1440"/>
        <w:gridCol w:w="1440"/>
      </w:tblGrid>
      <w:tr w:rsidR="00A534C6" w14:paraId="1BB66EA6" w14:textId="77777777" w:rsidTr="00A5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EEB6832" w14:textId="77777777" w:rsidR="00A534C6" w:rsidRDefault="003B59CF">
            <w:proofErr w:type="spellStart"/>
            <w:r>
              <w:t>Programa</w:t>
            </w:r>
            <w:proofErr w:type="spellEnd"/>
            <w:r>
              <w:t xml:space="preserve"> </w:t>
            </w:r>
            <w:proofErr w:type="spellStart"/>
            <w:r>
              <w:t>presupuestal</w:t>
            </w:r>
            <w:proofErr w:type="spellEnd"/>
          </w:p>
        </w:tc>
        <w:tc>
          <w:tcPr>
            <w:tcW w:w="1440" w:type="dxa"/>
          </w:tcPr>
          <w:p w14:paraId="38092AA5" w14:textId="77777777" w:rsidR="00A534C6" w:rsidRDefault="003B59CF">
            <w:pPr>
              <w:cnfStyle w:val="100000000000" w:firstRow="1" w:lastRow="0" w:firstColumn="0" w:lastColumn="0" w:oddVBand="0" w:evenVBand="0" w:oddHBand="0" w:evenHBand="0" w:firstRowFirstColumn="0" w:firstRowLastColumn="0" w:lastRowFirstColumn="0" w:lastRowLastColumn="0"/>
            </w:pPr>
            <w:r>
              <w:t>Genérica</w:t>
            </w:r>
          </w:p>
        </w:tc>
        <w:tc>
          <w:tcPr>
            <w:tcW w:w="1440" w:type="dxa"/>
          </w:tcPr>
          <w:p w14:paraId="52B5C5AC" w14:textId="77777777" w:rsidR="00A534C6" w:rsidRDefault="003B59CF">
            <w:pPr>
              <w:cnfStyle w:val="100000000000" w:firstRow="1" w:lastRow="0" w:firstColumn="0" w:lastColumn="0" w:oddVBand="0" w:evenVBand="0" w:oddHBand="0" w:evenHBand="0" w:firstRowFirstColumn="0" w:firstRowLastColumn="0" w:lastRowFirstColumn="0" w:lastRowLastColumn="0"/>
            </w:pPr>
            <w:r>
              <w:t>Total</w:t>
            </w:r>
          </w:p>
        </w:tc>
        <w:tc>
          <w:tcPr>
            <w:tcW w:w="1440" w:type="dxa"/>
          </w:tcPr>
          <w:p w14:paraId="226D2723" w14:textId="77777777" w:rsidR="00A534C6" w:rsidRDefault="003B59CF">
            <w:pPr>
              <w:cnfStyle w:val="100000000000" w:firstRow="1" w:lastRow="0" w:firstColumn="0" w:lastColumn="0" w:oddVBand="0" w:evenVBand="0" w:oddHBand="0" w:evenHBand="0" w:firstRowFirstColumn="0" w:firstRowLastColumn="0" w:lastRowFirstColumn="0" w:lastRowLastColumn="0"/>
            </w:pPr>
            <w:r>
              <w:t>DS 085-2021-EF</w:t>
            </w:r>
          </w:p>
        </w:tc>
        <w:tc>
          <w:tcPr>
            <w:tcW w:w="1440" w:type="dxa"/>
          </w:tcPr>
          <w:p w14:paraId="50832069" w14:textId="77777777" w:rsidR="00A534C6" w:rsidRDefault="003B59CF">
            <w:pPr>
              <w:cnfStyle w:val="100000000000" w:firstRow="1" w:lastRow="0" w:firstColumn="0" w:lastColumn="0" w:oddVBand="0" w:evenVBand="0" w:oddHBand="0" w:evenHBand="0" w:firstRowFirstColumn="0" w:firstRowLastColumn="0" w:lastRowFirstColumn="0" w:lastRowLastColumn="0"/>
            </w:pPr>
            <w:r>
              <w:t>DS 218-2021-EF</w:t>
            </w:r>
          </w:p>
        </w:tc>
        <w:tc>
          <w:tcPr>
            <w:tcW w:w="1440" w:type="dxa"/>
          </w:tcPr>
          <w:p w14:paraId="517F4CE9" w14:textId="77777777" w:rsidR="00A534C6" w:rsidRDefault="003B59CF">
            <w:pPr>
              <w:cnfStyle w:val="100000000000" w:firstRow="1" w:lastRow="0" w:firstColumn="0" w:lastColumn="0" w:oddVBand="0" w:evenVBand="0" w:oddHBand="0" w:evenHBand="0" w:firstRowFirstColumn="0" w:firstRowLastColumn="0" w:lastRowFirstColumn="0" w:lastRowLastColumn="0"/>
            </w:pPr>
            <w:r>
              <w:t>DS 220-2021-EF</w:t>
            </w:r>
          </w:p>
        </w:tc>
      </w:tr>
      <w:tr w:rsidR="00A534C6" w14:paraId="6C41E5FD"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0BF8E47" w14:textId="77777777" w:rsidR="00A534C6" w:rsidRPr="00DD1B17" w:rsidRDefault="003B59CF">
            <w:pPr>
              <w:rPr>
                <w:lang w:val="es-PE"/>
              </w:rPr>
            </w:pPr>
            <w:r w:rsidRPr="00DD1B17">
              <w:rPr>
                <w:lang w:val="es-PE"/>
              </w:rPr>
              <w:t xml:space="preserve">0107. MEJORA DE  LA </w:t>
            </w:r>
            <w:r w:rsidRPr="00DD1B17">
              <w:rPr>
                <w:lang w:val="es-PE"/>
              </w:rPr>
              <w:lastRenderedPageBreak/>
              <w:t>FORMACION EN CARRERAS DOCENTES EN INSTITUTOS DE EDUCACION SUPERIOR NO UNIVERSITARIA</w:t>
            </w:r>
          </w:p>
        </w:tc>
        <w:tc>
          <w:tcPr>
            <w:tcW w:w="1440" w:type="dxa"/>
          </w:tcPr>
          <w:p w14:paraId="0FC20792" w14:textId="77777777" w:rsidR="00A534C6" w:rsidRPr="00DD1B17" w:rsidRDefault="003B59CF">
            <w:pPr>
              <w:cnfStyle w:val="000000100000" w:firstRow="0" w:lastRow="0" w:firstColumn="0" w:lastColumn="0" w:oddVBand="0" w:evenVBand="0" w:oddHBand="1" w:evenHBand="0" w:firstRowFirstColumn="0" w:firstRowLastColumn="0" w:lastRowFirstColumn="0" w:lastRowLastColumn="0"/>
              <w:rPr>
                <w:lang w:val="es-PE"/>
              </w:rPr>
            </w:pPr>
            <w:r w:rsidRPr="00DD1B17">
              <w:rPr>
                <w:lang w:val="es-PE"/>
              </w:rPr>
              <w:lastRenderedPageBreak/>
              <w:t xml:space="preserve">2.6. ADQUISICION </w:t>
            </w:r>
            <w:r w:rsidRPr="00DD1B17">
              <w:rPr>
                <w:lang w:val="es-PE"/>
              </w:rPr>
              <w:lastRenderedPageBreak/>
              <w:t>DE ACTIVOS NO FINANCIEROS</w:t>
            </w:r>
          </w:p>
        </w:tc>
        <w:tc>
          <w:tcPr>
            <w:tcW w:w="1440" w:type="dxa"/>
          </w:tcPr>
          <w:p w14:paraId="21A93459" w14:textId="77777777" w:rsidR="00A534C6" w:rsidRDefault="003B59CF">
            <w:pPr>
              <w:cnfStyle w:val="000000100000" w:firstRow="0" w:lastRow="0" w:firstColumn="0" w:lastColumn="0" w:oddVBand="0" w:evenVBand="0" w:oddHBand="1" w:evenHBand="0" w:firstRowFirstColumn="0" w:firstRowLastColumn="0" w:lastRowFirstColumn="0" w:lastRowLastColumn="0"/>
            </w:pPr>
            <w:r>
              <w:lastRenderedPageBreak/>
              <w:t>6,600</w:t>
            </w:r>
          </w:p>
        </w:tc>
        <w:tc>
          <w:tcPr>
            <w:tcW w:w="1440" w:type="dxa"/>
          </w:tcPr>
          <w:p w14:paraId="7349F8AB" w14:textId="77777777" w:rsidR="00A534C6" w:rsidRDefault="003B59CF">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77D5BD1E" w14:textId="77777777" w:rsidR="00A534C6" w:rsidRDefault="003B59CF">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5DC5119F" w14:textId="77777777" w:rsidR="00A534C6" w:rsidRDefault="003B59CF">
            <w:pPr>
              <w:cnfStyle w:val="000000100000" w:firstRow="0" w:lastRow="0" w:firstColumn="0" w:lastColumn="0" w:oddVBand="0" w:evenVBand="0" w:oddHBand="1" w:evenHBand="0" w:firstRowFirstColumn="0" w:firstRowLastColumn="0" w:lastRowFirstColumn="0" w:lastRowLastColumn="0"/>
            </w:pPr>
            <w:r>
              <w:t>6,600</w:t>
            </w:r>
          </w:p>
        </w:tc>
      </w:tr>
      <w:tr w:rsidR="00A534C6" w14:paraId="26E7D42A"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372103F6" w14:textId="77777777" w:rsidR="00A534C6" w:rsidRPr="00DD1B17" w:rsidRDefault="003B59CF">
            <w:pPr>
              <w:rPr>
                <w:lang w:val="es-PE"/>
              </w:rPr>
            </w:pPr>
            <w:r w:rsidRPr="00DD1B17">
              <w:rPr>
                <w:lang w:val="es-PE"/>
              </w:rPr>
              <w:t>0107. MEJORA DE LA FORMACION EN CARRERAS DOCENTES EN INSTITUTOS DE EDUCACION SUPERIOR NO UNIVERSITARIA</w:t>
            </w:r>
          </w:p>
        </w:tc>
        <w:tc>
          <w:tcPr>
            <w:tcW w:w="1440" w:type="dxa"/>
          </w:tcPr>
          <w:p w14:paraId="08A1C152" w14:textId="77777777" w:rsidR="00A534C6" w:rsidRDefault="003B59CF">
            <w:pPr>
              <w:cnfStyle w:val="000000000000" w:firstRow="0" w:lastRow="0" w:firstColumn="0" w:lastColumn="0" w:oddVBand="0" w:evenVBand="0" w:oddHBand="0" w:evenHBand="0" w:firstRowFirstColumn="0" w:firstRowLastColumn="0" w:lastRowFirstColumn="0" w:lastRowLastColumn="0"/>
            </w:pPr>
            <w:r>
              <w:t>2.3. BIENES Y SERVICIOS</w:t>
            </w:r>
          </w:p>
        </w:tc>
        <w:tc>
          <w:tcPr>
            <w:tcW w:w="1440" w:type="dxa"/>
          </w:tcPr>
          <w:p w14:paraId="40822F2C" w14:textId="77777777" w:rsidR="00A534C6" w:rsidRDefault="003B59CF">
            <w:pPr>
              <w:cnfStyle w:val="000000000000" w:firstRow="0" w:lastRow="0" w:firstColumn="0" w:lastColumn="0" w:oddVBand="0" w:evenVBand="0" w:oddHBand="0" w:evenHBand="0" w:firstRowFirstColumn="0" w:firstRowLastColumn="0" w:lastRowFirstColumn="0" w:lastRowLastColumn="0"/>
            </w:pPr>
            <w:r>
              <w:t>30,000</w:t>
            </w:r>
          </w:p>
        </w:tc>
        <w:tc>
          <w:tcPr>
            <w:tcW w:w="1440" w:type="dxa"/>
          </w:tcPr>
          <w:p w14:paraId="5D58704B" w14:textId="77777777" w:rsidR="00A534C6" w:rsidRDefault="003B59CF">
            <w:pPr>
              <w:cnfStyle w:val="000000000000" w:firstRow="0" w:lastRow="0" w:firstColumn="0" w:lastColumn="0" w:oddVBand="0" w:evenVBand="0" w:oddHBand="0" w:evenHBand="0" w:firstRowFirstColumn="0" w:firstRowLastColumn="0" w:lastRowFirstColumn="0" w:lastRowLastColumn="0"/>
            </w:pPr>
            <w:r>
              <w:t>30,000</w:t>
            </w:r>
          </w:p>
        </w:tc>
        <w:tc>
          <w:tcPr>
            <w:tcW w:w="1440" w:type="dxa"/>
          </w:tcPr>
          <w:p w14:paraId="24D8C7C3" w14:textId="77777777" w:rsidR="00A534C6" w:rsidRDefault="003B59CF">
            <w:pPr>
              <w:cnfStyle w:val="000000000000" w:firstRow="0" w:lastRow="0" w:firstColumn="0" w:lastColumn="0" w:oddVBand="0" w:evenVBand="0" w:oddHBand="0" w:evenHBand="0" w:firstRowFirstColumn="0" w:firstRowLastColumn="0" w:lastRowFirstColumn="0" w:lastRowLastColumn="0"/>
            </w:pPr>
            <w:r>
              <w:t>0</w:t>
            </w:r>
          </w:p>
        </w:tc>
        <w:tc>
          <w:tcPr>
            <w:tcW w:w="1440" w:type="dxa"/>
          </w:tcPr>
          <w:p w14:paraId="2B744780" w14:textId="77777777" w:rsidR="00A534C6" w:rsidRDefault="003B59CF">
            <w:pPr>
              <w:cnfStyle w:val="000000000000" w:firstRow="0" w:lastRow="0" w:firstColumn="0" w:lastColumn="0" w:oddVBand="0" w:evenVBand="0" w:oddHBand="0" w:evenHBand="0" w:firstRowFirstColumn="0" w:firstRowLastColumn="0" w:lastRowFirstColumn="0" w:lastRowLastColumn="0"/>
            </w:pPr>
            <w:r>
              <w:t>0</w:t>
            </w:r>
          </w:p>
        </w:tc>
      </w:tr>
      <w:tr w:rsidR="00A534C6" w14:paraId="6958CAB2"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6C320DB" w14:textId="77777777" w:rsidR="00A534C6" w:rsidRDefault="003B59CF">
            <w:r>
              <w:t>9001. ACCIONES CENTRALES</w:t>
            </w:r>
          </w:p>
        </w:tc>
        <w:tc>
          <w:tcPr>
            <w:tcW w:w="1440" w:type="dxa"/>
          </w:tcPr>
          <w:p w14:paraId="26D043FB" w14:textId="77777777" w:rsidR="00A534C6" w:rsidRDefault="003B59CF">
            <w:pPr>
              <w:cnfStyle w:val="000000100000" w:firstRow="0" w:lastRow="0" w:firstColumn="0" w:lastColumn="0" w:oddVBand="0" w:evenVBand="0" w:oddHBand="1" w:evenHBand="0" w:firstRowFirstColumn="0" w:firstRowLastColumn="0" w:lastRowFirstColumn="0" w:lastRowLastColumn="0"/>
            </w:pPr>
            <w:r>
              <w:t>2.3. BIENES Y SERVICIOS</w:t>
            </w:r>
          </w:p>
        </w:tc>
        <w:tc>
          <w:tcPr>
            <w:tcW w:w="1440" w:type="dxa"/>
          </w:tcPr>
          <w:p w14:paraId="1ECCC688" w14:textId="77777777" w:rsidR="00A534C6" w:rsidRDefault="003B59CF">
            <w:pPr>
              <w:cnfStyle w:val="000000100000" w:firstRow="0" w:lastRow="0" w:firstColumn="0" w:lastColumn="0" w:oddVBand="0" w:evenVBand="0" w:oddHBand="1" w:evenHBand="0" w:firstRowFirstColumn="0" w:firstRowLastColumn="0" w:lastRowFirstColumn="0" w:lastRowLastColumn="0"/>
            </w:pPr>
            <w:r>
              <w:t>3,925,449</w:t>
            </w:r>
          </w:p>
        </w:tc>
        <w:tc>
          <w:tcPr>
            <w:tcW w:w="1440" w:type="dxa"/>
          </w:tcPr>
          <w:p w14:paraId="30E91AC9" w14:textId="77777777" w:rsidR="00A534C6" w:rsidRDefault="003B59CF">
            <w:pPr>
              <w:cnfStyle w:val="000000100000" w:firstRow="0" w:lastRow="0" w:firstColumn="0" w:lastColumn="0" w:oddVBand="0" w:evenVBand="0" w:oddHBand="1" w:evenHBand="0" w:firstRowFirstColumn="0" w:firstRowLastColumn="0" w:lastRowFirstColumn="0" w:lastRowLastColumn="0"/>
            </w:pPr>
            <w:r>
              <w:t>1,432,589</w:t>
            </w:r>
          </w:p>
        </w:tc>
        <w:tc>
          <w:tcPr>
            <w:tcW w:w="1440" w:type="dxa"/>
          </w:tcPr>
          <w:p w14:paraId="79B56084" w14:textId="77777777" w:rsidR="00A534C6" w:rsidRDefault="003B59CF">
            <w:pPr>
              <w:cnfStyle w:val="000000100000" w:firstRow="0" w:lastRow="0" w:firstColumn="0" w:lastColumn="0" w:oddVBand="0" w:evenVBand="0" w:oddHBand="1" w:evenHBand="0" w:firstRowFirstColumn="0" w:firstRowLastColumn="0" w:lastRowFirstColumn="0" w:lastRowLastColumn="0"/>
            </w:pPr>
            <w:r>
              <w:t>1,993,907</w:t>
            </w:r>
          </w:p>
        </w:tc>
        <w:tc>
          <w:tcPr>
            <w:tcW w:w="1440" w:type="dxa"/>
          </w:tcPr>
          <w:p w14:paraId="3E449D71" w14:textId="77777777" w:rsidR="00A534C6" w:rsidRDefault="003B59CF">
            <w:pPr>
              <w:cnfStyle w:val="000000100000" w:firstRow="0" w:lastRow="0" w:firstColumn="0" w:lastColumn="0" w:oddVBand="0" w:evenVBand="0" w:oddHBand="1" w:evenHBand="0" w:firstRowFirstColumn="0" w:firstRowLastColumn="0" w:lastRowFirstColumn="0" w:lastRowLastColumn="0"/>
            </w:pPr>
            <w:r>
              <w:t>498,953</w:t>
            </w:r>
          </w:p>
        </w:tc>
      </w:tr>
      <w:tr w:rsidR="00A534C6" w14:paraId="3723A83C" w14:textId="77777777" w:rsidTr="00A534C6">
        <w:tc>
          <w:tcPr>
            <w:cnfStyle w:val="001000000000" w:firstRow="0" w:lastRow="0" w:firstColumn="1" w:lastColumn="0" w:oddVBand="0" w:evenVBand="0" w:oddHBand="0" w:evenHBand="0" w:firstRowFirstColumn="0" w:firstRowLastColumn="0" w:lastRowFirstColumn="0" w:lastRowLastColumn="0"/>
            <w:tcW w:w="1440" w:type="dxa"/>
          </w:tcPr>
          <w:p w14:paraId="0E64F5EB" w14:textId="77777777" w:rsidR="00A534C6" w:rsidRDefault="003B59CF">
            <w:r>
              <w:t>9001. ACCIONES CENTRALES</w:t>
            </w:r>
          </w:p>
        </w:tc>
        <w:tc>
          <w:tcPr>
            <w:tcW w:w="1440" w:type="dxa"/>
          </w:tcPr>
          <w:p w14:paraId="523AF763" w14:textId="77777777" w:rsidR="00A534C6" w:rsidRPr="00DD1B17" w:rsidRDefault="003B59CF">
            <w:pPr>
              <w:cnfStyle w:val="000000000000" w:firstRow="0" w:lastRow="0" w:firstColumn="0" w:lastColumn="0" w:oddVBand="0" w:evenVBand="0" w:oddHBand="0" w:evenHBand="0" w:firstRowFirstColumn="0" w:firstRowLastColumn="0" w:lastRowFirstColumn="0" w:lastRowLastColumn="0"/>
              <w:rPr>
                <w:lang w:val="es-PE"/>
              </w:rPr>
            </w:pPr>
            <w:r w:rsidRPr="00DD1B17">
              <w:rPr>
                <w:lang w:val="es-PE"/>
              </w:rPr>
              <w:t>2.6. ADQUISICION DE ACTIVOS NO FINANCIEROS</w:t>
            </w:r>
          </w:p>
        </w:tc>
        <w:tc>
          <w:tcPr>
            <w:tcW w:w="1440" w:type="dxa"/>
          </w:tcPr>
          <w:p w14:paraId="3B316197" w14:textId="77777777" w:rsidR="00A534C6" w:rsidRDefault="003B59CF">
            <w:pPr>
              <w:cnfStyle w:val="000000000000" w:firstRow="0" w:lastRow="0" w:firstColumn="0" w:lastColumn="0" w:oddVBand="0" w:evenVBand="0" w:oddHBand="0" w:evenHBand="0" w:firstRowFirstColumn="0" w:firstRowLastColumn="0" w:lastRowFirstColumn="0" w:lastRowLastColumn="0"/>
            </w:pPr>
            <w:r>
              <w:t>619,222</w:t>
            </w:r>
          </w:p>
        </w:tc>
        <w:tc>
          <w:tcPr>
            <w:tcW w:w="1440" w:type="dxa"/>
          </w:tcPr>
          <w:p w14:paraId="7079A26A" w14:textId="77777777" w:rsidR="00A534C6" w:rsidRDefault="003B59CF">
            <w:pPr>
              <w:cnfStyle w:val="000000000000" w:firstRow="0" w:lastRow="0" w:firstColumn="0" w:lastColumn="0" w:oddVBand="0" w:evenVBand="0" w:oddHBand="0" w:evenHBand="0" w:firstRowFirstColumn="0" w:firstRowLastColumn="0" w:lastRowFirstColumn="0" w:lastRowLastColumn="0"/>
            </w:pPr>
            <w:r>
              <w:t>0</w:t>
            </w:r>
          </w:p>
        </w:tc>
        <w:tc>
          <w:tcPr>
            <w:tcW w:w="1440" w:type="dxa"/>
          </w:tcPr>
          <w:p w14:paraId="05589E12" w14:textId="77777777" w:rsidR="00A534C6" w:rsidRDefault="003B59CF">
            <w:pPr>
              <w:cnfStyle w:val="000000000000" w:firstRow="0" w:lastRow="0" w:firstColumn="0" w:lastColumn="0" w:oddVBand="0" w:evenVBand="0" w:oddHBand="0" w:evenHBand="0" w:firstRowFirstColumn="0" w:firstRowLastColumn="0" w:lastRowFirstColumn="0" w:lastRowLastColumn="0"/>
            </w:pPr>
            <w:r>
              <w:t>560,087</w:t>
            </w:r>
          </w:p>
        </w:tc>
        <w:tc>
          <w:tcPr>
            <w:tcW w:w="1440" w:type="dxa"/>
          </w:tcPr>
          <w:p w14:paraId="33B4B8D6" w14:textId="77777777" w:rsidR="00A534C6" w:rsidRDefault="003B59CF">
            <w:pPr>
              <w:cnfStyle w:val="000000000000" w:firstRow="0" w:lastRow="0" w:firstColumn="0" w:lastColumn="0" w:oddVBand="0" w:evenVBand="0" w:oddHBand="0" w:evenHBand="0" w:firstRowFirstColumn="0" w:firstRowLastColumn="0" w:lastRowFirstColumn="0" w:lastRowLastColumn="0"/>
            </w:pPr>
            <w:r>
              <w:t>59,135</w:t>
            </w:r>
          </w:p>
        </w:tc>
      </w:tr>
    </w:tbl>
    <w:p w14:paraId="2DA8B801" w14:textId="77777777" w:rsidR="00DD1B17" w:rsidRPr="00DD1B17" w:rsidRDefault="00DD1B17" w:rsidP="00DD1B17">
      <w:pPr>
        <w:pStyle w:val="Heading1"/>
        <w:rPr>
          <w:lang w:val="es-PE"/>
        </w:rPr>
      </w:pPr>
      <w:r w:rsidRPr="00DD1B17">
        <w:rPr>
          <w:lang w:val="es-PE"/>
        </w:rPr>
        <w:t>Sobre el financiamiento de conceptos remunerativos</w:t>
      </w:r>
    </w:p>
    <w:p w14:paraId="3CA7D654" w14:textId="1B98035E" w:rsidR="00DD1B17" w:rsidRPr="00EA161F" w:rsidRDefault="006D0C6C" w:rsidP="00DD1B17">
      <w:pPr>
        <w:pStyle w:val="Heading1"/>
        <w:rPr>
          <w:lang w:val="es-PE"/>
        </w:rPr>
      </w:pPr>
      <w:r>
        <w:rPr>
          <w:lang w:val="es-PE"/>
        </w:rPr>
        <w:t>4</w:t>
      </w:r>
      <w:r w:rsidR="00DD1B17" w:rsidRPr="00EA161F">
        <w:rPr>
          <w:lang w:val="es-PE"/>
        </w:rPr>
        <w:t>.Pago de Encargaturas</w:t>
      </w:r>
    </w:p>
    <w:p w14:paraId="0DD637CD" w14:textId="77777777" w:rsidR="00DD1B17" w:rsidRPr="00EA161F" w:rsidRDefault="00DD1B17" w:rsidP="00DD1B17">
      <w:pPr>
        <w:jc w:val="both"/>
        <w:rPr>
          <w:lang w:val="es-PE"/>
        </w:rPr>
      </w:pPr>
      <w:r w:rsidRPr="00EA161F">
        <w:rPr>
          <w:lang w:val="es-PE"/>
        </w:rPr>
        <w:t>Para la región AMAZONAS, por concepto de encargaturas, se ha calculado para el 2021, un costo de S/., XXXXXXX que incluye la Jornada de Trabajo Adicional de 10 horas la carga social vinculada y la asignación por cargo de los profesores que asumen cargos de mayor responsabilidad mediante encargaturas</w:t>
      </w:r>
      <w:r w:rsidRPr="00EA161F">
        <w:rPr>
          <w:vertAlign w:val="superscript"/>
          <w:lang w:val="es-PE"/>
        </w:rPr>
        <w:t>[1][2][3][4]</w:t>
      </w:r>
    </w:p>
    <w:p w14:paraId="6E275A6F" w14:textId="77777777" w:rsidR="00DD1B17" w:rsidRPr="00DD1B17" w:rsidRDefault="00DD1B17" w:rsidP="00DD1B17">
      <w:pPr>
        <w:jc w:val="both"/>
        <w:rPr>
          <w:lang w:val="es-PE"/>
        </w:rPr>
      </w:pPr>
      <w:r w:rsidRPr="00EA161F">
        <w:rPr>
          <w:lang w:val="es-PE"/>
        </w:rPr>
        <w:t xml:space="preserve">Para financiar estos conceptos, elel MINEDU gestionó una programación directa de recursos    en el PIA 2021 de las Unidades Ejecutoras de Educación de la Región AMAZONAS por el monto de S/., XXXXXXX  en la finalidad 0267929 Pago de la asignación por jornada de trabajo adicional y asignación por cargo de mayor responsabilidad, la cuál es usada para financiar las encargaturas. Asimismo, el Pliego Regional ya contaba con una programación de , XXXXXXX en la misma finalidad y mediante  Oficio Múltiple N° 00082-2021-MINEDU/SPE-OPEP-UPP, se le solicitó a las Unidades Ejecutoras del Pliego Regional #realizar modificaciones presupuestarias por el monto de S/. </w:t>
      </w:r>
      <w:r w:rsidRPr="00DD1B17">
        <w:rPr>
          <w:lang w:val="es-PE"/>
        </w:rPr>
        <w:t>XXXXXXX para habilitar la finalidad 0267929</w:t>
      </w:r>
    </w:p>
    <w:p w14:paraId="76C53F8B" w14:textId="77777777" w:rsidR="00DD1B17" w:rsidRPr="00DD1B17" w:rsidRDefault="00DD1B17" w:rsidP="00DD1B17">
      <w:pPr>
        <w:jc w:val="both"/>
        <w:rPr>
          <w:lang w:val="es-PE"/>
        </w:rPr>
      </w:pPr>
      <w:r w:rsidRPr="00DD1B17">
        <w:rPr>
          <w:lang w:val="es-PE"/>
        </w:rPr>
        <w:t xml:space="preserve">Con Decreto Supremo 217-2021 publicado el 27 de agosto de 2021 en el marco de lo autorizado en el literal b) del numeral 40.1 de la Ley de Presupuesto 2021, se ha realizado una transferencia </w:t>
      </w:r>
      <w:r w:rsidRPr="00DD1B17">
        <w:rPr>
          <w:lang w:val="es-PE"/>
        </w:rPr>
        <w:lastRenderedPageBreak/>
        <w:t>de partidas por el monto de S/. XXXXXXX a favor de las Unidades Ejecutoras de Educación de la Región AMAZONAS para financiar el costo diferencial.</w:t>
      </w:r>
    </w:p>
    <w:p w14:paraId="0823B501" w14:textId="77777777" w:rsidR="00DD1B17" w:rsidRPr="00DD1B17" w:rsidRDefault="00DD1B17" w:rsidP="00DD1B17">
      <w:pPr>
        <w:jc w:val="both"/>
        <w:rPr>
          <w:lang w:val="es-PE"/>
        </w:rPr>
      </w:pPr>
      <w:r w:rsidRPr="00DD1B17">
        <w:rPr>
          <w:lang w:val="es-PE"/>
        </w:rPr>
        <w:t>En el siguiente cuadro se muestran el costo y los montos programados/transferidos a la Región AMAZONAS</w:t>
      </w:r>
    </w:p>
    <w:p w14:paraId="5CE3A46E" w14:textId="1166735B" w:rsidR="00DD1B17" w:rsidRPr="00DD1B17" w:rsidRDefault="006D0C6C" w:rsidP="00DD1B17">
      <w:pPr>
        <w:pStyle w:val="Heading1"/>
        <w:rPr>
          <w:lang w:val="es-PE"/>
        </w:rPr>
      </w:pPr>
      <w:r>
        <w:rPr>
          <w:lang w:val="es-PE"/>
        </w:rPr>
        <w:t>5</w:t>
      </w:r>
      <w:r w:rsidR="00DD1B17" w:rsidRPr="00DD1B17">
        <w:rPr>
          <w:lang w:val="es-PE"/>
        </w:rPr>
        <w:t>.Pago de Asignaciones Temporales</w:t>
      </w:r>
    </w:p>
    <w:p w14:paraId="2427EB3A" w14:textId="77777777" w:rsidR="00DD1B17" w:rsidRPr="00DD1B17" w:rsidRDefault="00DD1B17" w:rsidP="00DD1B17">
      <w:pPr>
        <w:rPr>
          <w:lang w:val="es-PE"/>
        </w:rPr>
      </w:pPr>
      <w:r w:rsidRPr="00DD1B17">
        <w:rPr>
          <w:lang w:val="es-PE"/>
        </w:rPr>
        <w:t>Para la Región AMAZONAS</w:t>
      </w:r>
    </w:p>
    <w:p w14:paraId="2A77CCB0" w14:textId="77777777" w:rsidR="00DD1B17" w:rsidRPr="00DD1B17" w:rsidRDefault="00DD1B17" w:rsidP="00DD1B17">
      <w:pPr>
        <w:rPr>
          <w:lang w:val="es-PE"/>
        </w:rPr>
      </w:pPr>
      <w:r w:rsidRPr="00DD1B17">
        <w:rPr>
          <w:lang w:val="es-PE"/>
        </w:rPr>
        <w:t>, por concepto de Asignaciones Temporales por prestar servicios en condiciones especiales, se ha calculado para el 2021 un costo de S/  XXXXXXX</w:t>
      </w:r>
    </w:p>
    <w:p w14:paraId="50F453C1" w14:textId="77777777" w:rsidR="00DD1B17" w:rsidRPr="00DD1B17" w:rsidRDefault="00DD1B17" w:rsidP="00DD1B17">
      <w:pPr>
        <w:jc w:val="both"/>
        <w:rPr>
          <w:lang w:val="es-PE"/>
        </w:rPr>
      </w:pPr>
      <w:r w:rsidRPr="00DD1B17">
        <w:rPr>
          <w:lang w:val="es-PE"/>
        </w:rPr>
        <w:t>que incluye el pago por prestar servicios en zonas rurales, de frontera, VRAEM, Instituciones Educativas Unidocentes, Multigrado Bilingüe y acreditar dominio de lengua originaria, de los profesores y auxiliares de educación nombrados y contratados.</w:t>
      </w:r>
    </w:p>
    <w:p w14:paraId="483DE875" w14:textId="77777777" w:rsidR="00DD1B17" w:rsidRPr="006D0C6C" w:rsidRDefault="00DD1B17" w:rsidP="00DD1B17">
      <w:pPr>
        <w:jc w:val="both"/>
        <w:rPr>
          <w:lang w:val="es-PE"/>
        </w:rPr>
      </w:pPr>
      <w:r w:rsidRPr="00DD1B17">
        <w:rPr>
          <w:lang w:val="es-PE"/>
        </w:rPr>
        <w:t xml:space="preserve">Para financiar estos conceptos, el 2020 el MINEDU gestionó una programación directa de recursos en el PIA 2021 de las Unidades Ejecutoras de Educación de la Región por el monto de S/. XXXXXXX en la finalidad 0267928. Pago de las asignaciones por tipo y ubicacion de Institucion Educativa la cuál es usada para financiar las asignaciones temporales. Asimismo, el Pliego Regional ya contaba con una programación de S/. </w:t>
      </w:r>
      <w:r w:rsidRPr="006D0C6C">
        <w:rPr>
          <w:lang w:val="es-PE"/>
        </w:rPr>
        <w:t>XXXXXXX en la misma finalidad.</w:t>
      </w:r>
    </w:p>
    <w:p w14:paraId="0A0BA613" w14:textId="77777777" w:rsidR="00DD1B17" w:rsidRPr="00DD1B17" w:rsidRDefault="00DD1B17" w:rsidP="00DD1B17">
      <w:pPr>
        <w:jc w:val="both"/>
        <w:rPr>
          <w:lang w:val="es-PE"/>
        </w:rPr>
      </w:pPr>
      <w:r w:rsidRPr="00DD1B17">
        <w:rPr>
          <w:lang w:val="es-PE"/>
        </w:rPr>
        <w:t>Con Decreto Supremo 187-2021 publicado el 22 de julio de 2021 en el marco de lo autorizado en los literales a), c), d) y e) del numeral 40.1 de la Ley de Presupuesto 2021, se ha realizado una transferencia de partidas por el monto de S/.  XXXXXXX a favor de las Unidades Ejecutoras de Educación de la Región AMAZONAS para financiar el costo diferencial de las asignaciones temporales a favor los profesores y auxiliares de educación nombrados y contratados.</w:t>
      </w:r>
    </w:p>
    <w:p w14:paraId="7BEEEB02" w14:textId="77777777" w:rsidR="00DD1B17" w:rsidRPr="00DD1B17" w:rsidRDefault="00DD1B17" w:rsidP="00DD1B17">
      <w:pPr>
        <w:jc w:val="both"/>
        <w:rPr>
          <w:lang w:val="es-PE"/>
        </w:rPr>
      </w:pPr>
      <w:r w:rsidRPr="00DD1B17">
        <w:rPr>
          <w:lang w:val="es-PE"/>
        </w:rPr>
        <w:t>Actualmente está en gestión en el MINEDU la segunda transferencia de recursos por concepto de asignaciones temporales, el cual debería realizarse antes del 26 de noviembre del 2021 de acuerdo al plazo legal establecido en la Ley de Presupuesto2021</w:t>
      </w:r>
    </w:p>
    <w:p w14:paraId="17BAB034" w14:textId="77777777" w:rsidR="00DD1B17" w:rsidRPr="00DD1B17" w:rsidRDefault="00DD1B17" w:rsidP="00DD1B17">
      <w:pPr>
        <w:jc w:val="both"/>
        <w:rPr>
          <w:lang w:val="es-PE"/>
        </w:rPr>
      </w:pPr>
      <w:r w:rsidRPr="00DD1B17">
        <w:rPr>
          <w:lang w:val="es-PE"/>
        </w:rPr>
        <w:t>En el siguiente cuadro se muestran el costo y los montos programados/transferidos a la Región AMAZONAS</w:t>
      </w:r>
    </w:p>
    <w:p w14:paraId="700673C2" w14:textId="79BED50B" w:rsidR="00DD1B17" w:rsidRPr="00DD1B17" w:rsidRDefault="006D0C6C" w:rsidP="00DD1B17">
      <w:pPr>
        <w:pStyle w:val="Heading1"/>
        <w:rPr>
          <w:lang w:val="es-PE"/>
        </w:rPr>
      </w:pPr>
      <w:r>
        <w:rPr>
          <w:lang w:val="es-PE"/>
        </w:rPr>
        <w:t>6</w:t>
      </w:r>
      <w:r w:rsidR="00DD1B17" w:rsidRPr="00DD1B17">
        <w:rPr>
          <w:lang w:val="es-PE"/>
        </w:rPr>
        <w:t>.Pago de Beneficios Sociales</w:t>
      </w:r>
    </w:p>
    <w:p w14:paraId="4293D482" w14:textId="77777777" w:rsidR="00DD1B17" w:rsidRPr="00DD1B17" w:rsidRDefault="00DD1B17" w:rsidP="00DD1B17">
      <w:pPr>
        <w:jc w:val="both"/>
        <w:rPr>
          <w:lang w:val="es-PE"/>
        </w:rPr>
      </w:pPr>
      <w:r w:rsidRPr="00DD1B17">
        <w:rPr>
          <w:lang w:val="es-PE"/>
        </w:rPr>
        <w:t>Para la Región AMAZONAS,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XXXXXXX a la fecha , a favor de los profesores y auxiliares de educación nombrados y contratados.</w:t>
      </w:r>
    </w:p>
    <w:p w14:paraId="3C4C62F5" w14:textId="77777777" w:rsidR="00DD1B17" w:rsidRPr="00DD1B17" w:rsidRDefault="00DD1B17" w:rsidP="00DD1B17">
      <w:pPr>
        <w:jc w:val="both"/>
        <w:rPr>
          <w:lang w:val="es-PE"/>
        </w:rPr>
      </w:pPr>
      <w:r w:rsidRPr="00DD1B17">
        <w:rPr>
          <w:lang w:val="es-PE"/>
        </w:rPr>
        <w:lastRenderedPageBreak/>
        <w:t>Para financiar estos conceptos, el 2020 el MINEDU gestionó una programación directa de recursos en el PIA 2021 de las Unidades Ejecutoras de Educación de la Región AMAZONAS por el monto de S/.  XXXXXXX.  Lo cual fue comunicado a través del Oficio Múltiple N° 00011-2021-MINEDU/SPE-OPEP-UPP</w:t>
      </w:r>
    </w:p>
    <w:p w14:paraId="597D21C6" w14:textId="77777777" w:rsidR="00DD1B17" w:rsidRPr="00DD1B17" w:rsidRDefault="00DD1B17" w:rsidP="00DD1B17">
      <w:pPr>
        <w:jc w:val="both"/>
        <w:rPr>
          <w:lang w:val="es-PE"/>
        </w:rPr>
      </w:pPr>
      <w:r w:rsidRPr="00DD1B17">
        <w:rPr>
          <w:lang w:val="es-PE"/>
        </w:rPr>
        <w:t>Con Decreto Supremo 072-2021 publicado el 21 de abril de 2021en el marco de lo autorizado en los literales a), d) y e) del numeral 40.1 de la Ley de Presupuesto 2021, se ha realizado una transferencia de partidas por el monto de S/  XXXXXXX., a favor de las Unidades Ejecutoras de Educación de la Región AMAZONAS para financiar el pago de los beneficios sociales a favor los profesores y auxiliares de educación nombrados y contratados que fueron reconocidos hasta el 2020</w:t>
      </w:r>
    </w:p>
    <w:p w14:paraId="3085A1CA" w14:textId="77777777" w:rsidR="00DD1B17" w:rsidRPr="00DD1B17" w:rsidRDefault="00DD1B17" w:rsidP="00DD1B17">
      <w:pPr>
        <w:jc w:val="both"/>
        <w:rPr>
          <w:lang w:val="es-PE"/>
        </w:rPr>
      </w:pPr>
      <w:r w:rsidRPr="00DD1B17">
        <w:rPr>
          <w:lang w:val="es-PE"/>
        </w:rPr>
        <w:t>Asimismo, mediante Decreto Supremo 256-2021 publicado el 24 de setiembre de 2021, , se realizó la segunda transferencia de recursos por concepto de beneficios sociales a favor de docentes y auxiliares nombrados y contratados, cuyos beneficios fueron reconocidos durante el año 2021 transfiriéndose S/.  XXXXXXX.  a las Unidades Ejecutoras de Educación de la Región AMAZONAS</w:t>
      </w:r>
    </w:p>
    <w:p w14:paraId="119C9BB3" w14:textId="77777777" w:rsidR="00DD1B17" w:rsidRPr="00DD1B17" w:rsidRDefault="00DD1B17" w:rsidP="00DD1B17">
      <w:pPr>
        <w:jc w:val="both"/>
        <w:rPr>
          <w:lang w:val="es-PE"/>
        </w:rPr>
      </w:pPr>
      <w:r w:rsidRPr="00DD1B17">
        <w:rPr>
          <w:lang w:val="es-PE"/>
        </w:rPr>
        <w:t>En el siguiente cuadro se muestran el costo y los montos programados/transferidos a la Región AMAZONAS</w:t>
      </w:r>
    </w:p>
    <w:p w14:paraId="400DE949" w14:textId="77777777" w:rsidR="00DD1B17" w:rsidRPr="00DD1B17" w:rsidRDefault="00DD1B17" w:rsidP="00DD1B17">
      <w:pPr>
        <w:jc w:val="both"/>
        <w:rPr>
          <w:lang w:val="es-PE"/>
        </w:rPr>
      </w:pPr>
      <w:r w:rsidRPr="00DD1B17">
        <w:rPr>
          <w:lang w:val="es-PE"/>
        </w:rPr>
        <w:t xml:space="preserve"> De la misma forma, durante el presente año, para la Región AMAZONAS se ha realizado las siguientes transferenciasn</w:t>
      </w:r>
    </w:p>
    <w:p w14:paraId="70BB6564" w14:textId="77777777" w:rsidR="00DD1B17" w:rsidRPr="00DD1B17" w:rsidRDefault="00DD1B17" w:rsidP="00DD1B17">
      <w:pPr>
        <w:jc w:val="both"/>
        <w:rPr>
          <w:lang w:val="es-PE"/>
        </w:rPr>
      </w:pPr>
      <w:r w:rsidRPr="00DD1B17">
        <w:rPr>
          <w:lang w:val="es-PE"/>
        </w:rPr>
        <w:t xml:space="preserve"> Por otro lado, para el año 2022 el MINEDU está gestionando la programación parcial de recursos en los presupuestos de las Unidades Ejecutoras para atender encargaturas, asignaciones temporales, beneficios sociales, entre otros y, el financiamiento restante, se realizará de manera oportuna el 2022, preferentemente antes que termine el primer semestre de dicho año fiscal.</w:t>
      </w:r>
    </w:p>
    <w:p w14:paraId="602D9F4B" w14:textId="77777777" w:rsidR="00DD1B17" w:rsidRPr="006D0C6C" w:rsidRDefault="00DD1B17" w:rsidP="00DD1B17">
      <w:pPr>
        <w:pStyle w:val="Heading1"/>
        <w:rPr>
          <w:lang w:val="es-PE"/>
        </w:rPr>
      </w:pPr>
      <w:r w:rsidRPr="006D0C6C">
        <w:rPr>
          <w:lang w:val="es-PE"/>
        </w:rPr>
        <w:t>Sobre el proceso de racionalización</w:t>
      </w:r>
    </w:p>
    <w:p w14:paraId="5144E4B9" w14:textId="02C1CE73" w:rsidR="00DD1B17" w:rsidRPr="00DD1B17" w:rsidRDefault="006D0C6C" w:rsidP="00DD1B17">
      <w:pPr>
        <w:pStyle w:val="Heading1"/>
        <w:rPr>
          <w:lang w:val="es-PE"/>
        </w:rPr>
      </w:pPr>
      <w:r>
        <w:rPr>
          <w:lang w:val="es-PE"/>
        </w:rPr>
        <w:t>7</w:t>
      </w:r>
      <w:r w:rsidR="00DD1B17" w:rsidRPr="00DD1B17">
        <w:rPr>
          <w:lang w:val="es-PE"/>
        </w:rPr>
        <w:t>. Financiamiento de plazas 2021, en el marco del proceso de racionalización 2020</w:t>
      </w:r>
    </w:p>
    <w:p w14:paraId="5B077D4C" w14:textId="77777777" w:rsidR="00DD1B17" w:rsidRPr="00DD1B17" w:rsidRDefault="00DD1B17" w:rsidP="00DD1B17">
      <w:pPr>
        <w:pStyle w:val="ListBullet"/>
        <w:jc w:val="both"/>
        <w:rPr>
          <w:lang w:val="es-PE"/>
        </w:rPr>
      </w:pPr>
      <w:r w:rsidRPr="00DD1B17">
        <w:rPr>
          <w:lang w:val="es-PE"/>
        </w:rPr>
        <w:t>A través del DS 078-2021-EF se financiaron  XXXXXXX plazas de docentes de aula en el marco de los resultados del proceso de racionalización 2020 en servicios educativos públicos de la región AMAZONAS con la siguiente distribución por UGEL:</w:t>
      </w:r>
    </w:p>
    <w:p w14:paraId="495EC29F" w14:textId="5A0FA500" w:rsidR="00DD1B17" w:rsidRDefault="006D0C6C" w:rsidP="00DD1B17">
      <w:pPr>
        <w:pStyle w:val="Heading1"/>
      </w:pPr>
      <w:r>
        <w:t>8</w:t>
      </w:r>
      <w:r w:rsidR="00DD1B17">
        <w:t xml:space="preserve">. </w:t>
      </w:r>
      <w:proofErr w:type="spellStart"/>
      <w:r w:rsidR="00DD1B17">
        <w:t>Resultados</w:t>
      </w:r>
      <w:proofErr w:type="spellEnd"/>
      <w:r w:rsidR="00DD1B17">
        <w:t xml:space="preserve"> </w:t>
      </w:r>
      <w:proofErr w:type="spellStart"/>
      <w:r w:rsidR="00DD1B17">
        <w:t>proceso</w:t>
      </w:r>
      <w:proofErr w:type="spellEnd"/>
      <w:r w:rsidR="00DD1B17">
        <w:t xml:space="preserve"> de </w:t>
      </w:r>
      <w:proofErr w:type="spellStart"/>
      <w:r w:rsidR="00DD1B17">
        <w:t>racionalización</w:t>
      </w:r>
      <w:proofErr w:type="spellEnd"/>
      <w:r w:rsidR="00DD1B17">
        <w:t xml:space="preserve"> 2020</w:t>
      </w:r>
    </w:p>
    <w:p w14:paraId="535D2AD2" w14:textId="77777777" w:rsidR="00DD1B17" w:rsidRPr="00DD1B17" w:rsidRDefault="00DD1B17" w:rsidP="00DD1B17">
      <w:pPr>
        <w:pStyle w:val="ListBullet"/>
        <w:jc w:val="both"/>
        <w:rPr>
          <w:lang w:val="es-PE"/>
        </w:rPr>
      </w:pPr>
      <w:r w:rsidRPr="00DD1B17">
        <w:rPr>
          <w:lang w:val="es-PE"/>
        </w:rPr>
        <w:t xml:space="preserve">En el proceso de racionalización 2020 , se identificó en la región AMAZONAS un total de </w:t>
      </w:r>
      <w:r w:rsidRPr="00DD1B17">
        <w:rPr>
          <w:b/>
          <w:lang w:val="es-PE"/>
        </w:rPr>
        <w:t xml:space="preserve">XXXXXXX plazas de docentes de aula excedentes </w:t>
      </w:r>
      <w:r w:rsidRPr="00DD1B17">
        <w:rPr>
          <w:lang w:val="es-PE"/>
        </w:rPr>
        <w:t xml:space="preserve">y </w:t>
      </w:r>
      <w:r w:rsidRPr="00DD1B17">
        <w:rPr>
          <w:b/>
          <w:lang w:val="es-PE"/>
        </w:rPr>
        <w:t xml:space="preserve">XXXXXXX plazas de requerimiento. </w:t>
      </w:r>
      <w:r w:rsidRPr="00DD1B17">
        <w:rPr>
          <w:lang w:val="es-PE"/>
        </w:rPr>
        <w:t xml:space="preserve">A partir de esos resultados, se procedió a calcular el requerimiento y la excedencia por UGEL y </w:t>
      </w:r>
      <w:r w:rsidRPr="00DD1B17">
        <w:rPr>
          <w:lang w:val="es-PE"/>
        </w:rPr>
        <w:lastRenderedPageBreak/>
        <w:t xml:space="preserve">el agregado a nivel regional, ello se puede observar en las dos últimas columnas del siguiente cuadro: </w:t>
      </w:r>
    </w:p>
    <w:p w14:paraId="3840AB0F" w14:textId="77777777" w:rsidR="00DD1B17" w:rsidRPr="00DD1B17" w:rsidRDefault="00DD1B17" w:rsidP="00DD1B17">
      <w:pPr>
        <w:pStyle w:val="ListBullet"/>
        <w:jc w:val="both"/>
        <w:rPr>
          <w:lang w:val="es-PE"/>
        </w:rPr>
      </w:pPr>
      <w:r w:rsidRPr="00DD1B17">
        <w:rPr>
          <w:lang w:val="es-PE"/>
        </w:rPr>
        <w:t xml:space="preserve"> Por lo tanto, a nivel regional se contaba con una brecha interna de XXXXXXX plazas en XXXXXXX UGEL, y un excedente neto de plazas vacantes ascendente XXXXXXX plazas en  XXXXXXX UGEL. Con ello, se obtuvo un </w:t>
      </w:r>
      <w:r w:rsidRPr="00DD1B17">
        <w:rPr>
          <w:b/>
          <w:lang w:val="es-PE"/>
        </w:rPr>
        <w:t>requerimiento neto a nivel regional igul a XXXXXXX</w:t>
      </w:r>
    </w:p>
    <w:p w14:paraId="23EF2017" w14:textId="34B470F4" w:rsidR="00DD1B17" w:rsidRDefault="006D0C6C" w:rsidP="00DD1B17">
      <w:pPr>
        <w:pStyle w:val="Heading1"/>
      </w:pPr>
      <w:r>
        <w:t>9</w:t>
      </w:r>
      <w:r w:rsidR="00DD1B17">
        <w:t xml:space="preserve">. </w:t>
      </w:r>
      <w:proofErr w:type="spellStart"/>
      <w:r w:rsidR="00DD1B17">
        <w:t>Acciones</w:t>
      </w:r>
      <w:proofErr w:type="spellEnd"/>
      <w:r w:rsidR="00DD1B17">
        <w:t xml:space="preserve"> de </w:t>
      </w:r>
      <w:proofErr w:type="spellStart"/>
      <w:r w:rsidR="00DD1B17">
        <w:t>reordenamiento</w:t>
      </w:r>
      <w:proofErr w:type="spellEnd"/>
      <w:r w:rsidR="00DD1B17">
        <w:t xml:space="preserve"> territorial 2020</w:t>
      </w:r>
    </w:p>
    <w:p w14:paraId="27AECA54" w14:textId="77777777" w:rsidR="00DD1B17" w:rsidRPr="00DD1B17" w:rsidRDefault="00DD1B17" w:rsidP="00DD1B17">
      <w:pPr>
        <w:pStyle w:val="ListBullet"/>
        <w:jc w:val="both"/>
        <w:rPr>
          <w:lang w:val="es-PE"/>
        </w:rPr>
      </w:pPr>
      <w:r w:rsidRPr="00DD1B17">
        <w:rPr>
          <w:lang w:val="es-PE"/>
        </w:rPr>
        <w:t>En el marco del proceso de racionalización 2020 , en la región AMAZONAS no se inhabilitaron plazas a pesar de contar con  XXXXXXX plazas vacantes identificadas como excedencia neta.</w:t>
      </w:r>
    </w:p>
    <w:p w14:paraId="7794C64A" w14:textId="77777777" w:rsidR="00DD1B17" w:rsidRPr="00DD1B17" w:rsidRDefault="00DD1B17" w:rsidP="00DD1B17">
      <w:pPr>
        <w:pStyle w:val="Heading1"/>
        <w:rPr>
          <w:lang w:val="es-PE"/>
        </w:rPr>
      </w:pPr>
      <w:r w:rsidRPr="00DD1B17">
        <w:rPr>
          <w:lang w:val="es-PE"/>
        </w:rPr>
        <w:t>Sobre Deudas Sociales y Contratación del DL 276</w:t>
      </w:r>
    </w:p>
    <w:p w14:paraId="2187F38E" w14:textId="6C5879CE" w:rsidR="00DD1B17" w:rsidRPr="00DD1B17" w:rsidRDefault="00DD1B17" w:rsidP="00DD1B17">
      <w:pPr>
        <w:pStyle w:val="Heading1"/>
        <w:rPr>
          <w:lang w:val="es-PE"/>
        </w:rPr>
      </w:pPr>
      <w:r w:rsidRPr="00DD1B17">
        <w:rPr>
          <w:lang w:val="es-PE"/>
        </w:rPr>
        <w:t>10. Deudas Sociales</w:t>
      </w:r>
    </w:p>
    <w:p w14:paraId="77974D00" w14:textId="77777777" w:rsidR="00DD1B17" w:rsidRPr="00DD1B17" w:rsidRDefault="00DD1B17" w:rsidP="00DD1B17">
      <w:pPr>
        <w:jc w:val="both"/>
        <w:rPr>
          <w:lang w:val="es-PE"/>
        </w:rPr>
      </w:pPr>
      <w:r w:rsidRPr="00DD1B17">
        <w:rPr>
          <w:lang w:val="es-PE"/>
        </w:rP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14:paraId="0271DE9B" w14:textId="77777777" w:rsidR="00DD1B17" w:rsidRPr="00DD1B17" w:rsidRDefault="00DD1B17" w:rsidP="00DD1B17">
      <w:pPr>
        <w:jc w:val="both"/>
        <w:rPr>
          <w:lang w:val="es-PE"/>
        </w:rPr>
      </w:pPr>
      <w:r w:rsidRPr="00DD1B17">
        <w:rPr>
          <w:lang w:val="es-PE"/>
        </w:rP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14:paraId="65759F79" w14:textId="77777777" w:rsidR="00DD1B17" w:rsidRPr="00DD1B17" w:rsidRDefault="00DD1B17" w:rsidP="00DD1B17">
      <w:pPr>
        <w:jc w:val="both"/>
        <w:rPr>
          <w:lang w:val="es-PE"/>
        </w:rPr>
      </w:pPr>
      <w:r w:rsidRPr="00DD1B17">
        <w:rPr>
          <w:lang w:val="es-PE"/>
        </w:rP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14:paraId="6C73C384" w14:textId="77777777" w:rsidR="00DD1B17" w:rsidRPr="00DD1B17" w:rsidRDefault="00DD1B17" w:rsidP="00DD1B17">
      <w:pPr>
        <w:jc w:val="both"/>
        <w:rPr>
          <w:lang w:val="es-PE"/>
        </w:rPr>
      </w:pPr>
      <w:r w:rsidRPr="00DD1B17">
        <w:rPr>
          <w:lang w:val="es-PE"/>
        </w:rP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w:t>
      </w:r>
      <w:r w:rsidRPr="00DD1B17">
        <w:rPr>
          <w:lang w:val="es-PE"/>
        </w:rPr>
        <w:lastRenderedPageBreak/>
        <w:t>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14:paraId="302098A3" w14:textId="77777777" w:rsidR="00DD1B17" w:rsidRPr="00DD1B17" w:rsidRDefault="00DD1B17" w:rsidP="00DD1B17">
      <w:pPr>
        <w:jc w:val="both"/>
        <w:rPr>
          <w:lang w:val="es-PE"/>
        </w:rPr>
      </w:pPr>
      <w:r w:rsidRPr="00DD1B17">
        <w:rPr>
          <w:lang w:val="es-PE"/>
        </w:rP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14:paraId="6D8C7E74" w14:textId="77777777" w:rsidR="00DD1B17" w:rsidRPr="00DD1B17" w:rsidRDefault="00DD1B17" w:rsidP="00DD1B17">
      <w:pPr>
        <w:jc w:val="both"/>
        <w:rPr>
          <w:lang w:val="es-PE"/>
        </w:rPr>
      </w:pPr>
      <w:r w:rsidRPr="00DD1B17">
        <w:rPr>
          <w:lang w:val="es-PE"/>
        </w:rP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sidRPr="00DD1B17">
        <w:rPr>
          <w:i/>
          <w:lang w:val="es-PE"/>
        </w:rPr>
        <w:t xml:space="preserve"> “A nivel de pliego</w:t>
      </w:r>
      <w:r w:rsidRPr="00DD1B17">
        <w:rPr>
          <w:b/>
          <w:i/>
          <w:lang w:val="es-PE"/>
        </w:rPr>
        <w:t xml:space="preserve"> la Partida de Gasto 2.2.1 “Pensiones” no puede ser habilitadora, </w:t>
      </w:r>
      <w:r w:rsidRPr="00DD1B17">
        <w:rPr>
          <w:b/>
          <w:i/>
          <w:u w:val="single"/>
          <w:lang w:val="es-PE"/>
        </w:rPr>
        <w:t xml:space="preserve">salvo para las habilitaciones que se realicen </w:t>
      </w:r>
      <w:r w:rsidRPr="00DD1B17">
        <w:rPr>
          <w:b/>
          <w:i/>
          <w:lang w:val="es-PE"/>
        </w:rPr>
        <w:t xml:space="preserve">dentro de la misma partida entre unidades ejecutoras del mismo pliego presupuestario, y </w:t>
      </w:r>
      <w:r w:rsidRPr="00DD1B17">
        <w:rPr>
          <w:b/>
          <w:i/>
          <w:u w:val="single"/>
          <w:lang w:val="es-PE"/>
        </w:rPr>
        <w:t>para la atención de sentencias judiciales en materia pensionaria con calidad de cosa juzgada,</w:t>
      </w:r>
      <w:r w:rsidRPr="00DD1B17">
        <w:rPr>
          <w:b/>
          <w:i/>
          <w:lang w:val="es-PE"/>
        </w:rPr>
        <w:t xml:space="preserve"> en este último caso, previo informe favorable de la Dirección General de Presupuesto Público (DGPP), </w:t>
      </w:r>
      <w:r w:rsidRPr="00DD1B17">
        <w:rPr>
          <w:i/>
          <w:lang w:val="es-PE"/>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rsidRPr="00DD1B17">
        <w:rPr>
          <w:lang w:val="es-PE"/>
        </w:rPr>
        <w:t>(Lo resaltado es nuestro).</w:t>
      </w:r>
    </w:p>
    <w:p w14:paraId="41DC0ECB" w14:textId="77777777" w:rsidR="00DD1B17" w:rsidRPr="00DD1B17" w:rsidRDefault="00DD1B17" w:rsidP="00DD1B17">
      <w:pPr>
        <w:jc w:val="both"/>
        <w:rPr>
          <w:lang w:val="es-PE"/>
        </w:rPr>
      </w:pPr>
      <w:r w:rsidRPr="00DD1B17">
        <w:rPr>
          <w:lang w:val="es-PE"/>
        </w:rP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sidRPr="00DD1B17">
        <w:rPr>
          <w:b/>
          <w:lang w:val="es-PE"/>
        </w:rPr>
        <w:t>las unidades orgánicas pertinentes del Pliego Presupuestal involucrado, deben implementar las acciones administrativas a que hubiera lugar con sujeción a la normatividad presupuestaria y al plazo legal invocados líneas atrás.</w:t>
      </w:r>
      <w:r w:rsidRPr="00DD1B17">
        <w:rPr>
          <w:lang w:val="es-PE"/>
        </w:rPr>
        <w:t xml:space="preserve"> Así como, </w:t>
      </w:r>
      <w:r w:rsidRPr="00DD1B17">
        <w:rPr>
          <w:u w:val="single"/>
          <w:lang w:val="es-P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14:paraId="323055E4" w14:textId="1F41DAF6" w:rsidR="00DD1B17" w:rsidRPr="00DD1B17" w:rsidRDefault="00DD1B17" w:rsidP="00DD1B17">
      <w:pPr>
        <w:pStyle w:val="Heading1"/>
        <w:rPr>
          <w:lang w:val="es-PE"/>
        </w:rPr>
      </w:pPr>
      <w:r w:rsidRPr="00DD1B17">
        <w:rPr>
          <w:lang w:val="es-PE"/>
        </w:rPr>
        <w:t>11. Ruta para contratación de personal administrativo</w:t>
      </w:r>
    </w:p>
    <w:p w14:paraId="035BE4FF" w14:textId="77777777" w:rsidR="00DD1B17" w:rsidRPr="00DD1B17" w:rsidRDefault="00DD1B17" w:rsidP="00DD1B17">
      <w:pPr>
        <w:jc w:val="both"/>
        <w:rPr>
          <w:lang w:val="es-PE"/>
        </w:rPr>
      </w:pPr>
      <w:r w:rsidRPr="00DD1B17">
        <w:rPr>
          <w:lang w:val="es-PE"/>
        </w:rPr>
        <w:t xml:space="preserve">En el marco del inciso d) del numeral 8.1 del artículo 8 de la Ley N° 31084, Ley de Presupuesto del Sector Público para el año 2021, </w:t>
      </w:r>
      <w:r w:rsidRPr="00DD1B17">
        <w:rPr>
          <w:u w:val="single"/>
          <w:lang w:val="es-PE"/>
        </w:rPr>
        <w:t>no se ha establecido como excepción la posibilidad del ingreso de personal administrativo bajo el régimen laboral del Decreto Legislativo N° 276.</w:t>
      </w:r>
    </w:p>
    <w:p w14:paraId="776CC3F4" w14:textId="77777777" w:rsidR="00DD1B17" w:rsidRPr="00DD1B17" w:rsidRDefault="00DD1B17" w:rsidP="00DD1B17">
      <w:pPr>
        <w:jc w:val="both"/>
        <w:rPr>
          <w:lang w:val="es-PE"/>
        </w:rPr>
      </w:pPr>
      <w:r w:rsidRPr="00DD1B17">
        <w:rPr>
          <w:lang w:val="es-PE"/>
        </w:rPr>
        <w:t xml:space="preserve">A su vez, la Gerencia de Políticas de Gestión del Servicio Civil de la Autoridad Nacional del Servicio Civil (SERVIR) se ha pronunciado sobre la imposibilidad de contratar personal </w:t>
      </w:r>
      <w:r w:rsidRPr="00DD1B17">
        <w:rPr>
          <w:lang w:val="es-PE"/>
        </w:rPr>
        <w:lastRenderedPageBreak/>
        <w:t>administrativo del Decreto Legislativo N° 276, emitido mediante Informe Técnico N° 331-2021-SERVIR-GPGSC.</w:t>
      </w:r>
    </w:p>
    <w:p w14:paraId="6E37FCA5" w14:textId="64A87E1D" w:rsidR="00DD1B17" w:rsidRPr="00DD1B17" w:rsidRDefault="00DD1B17" w:rsidP="00DD1B17">
      <w:pPr>
        <w:jc w:val="both"/>
        <w:rPr>
          <w:lang w:val="es-PE"/>
        </w:rPr>
      </w:pPr>
      <w:r w:rsidRPr="00DD1B17">
        <w:rPr>
          <w:lang w:val="es-PE"/>
        </w:rP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14:paraId="4AFD878E" w14:textId="4F60E4EA" w:rsidR="00DD1B17" w:rsidRDefault="00DD1B17" w:rsidP="00DD1B17">
      <w:pPr>
        <w:pStyle w:val="Heading1"/>
        <w:rPr>
          <w:lang w:val="es-PE"/>
        </w:rPr>
      </w:pPr>
      <w:r>
        <w:rPr>
          <w:lang w:val="es-PE"/>
        </w:rPr>
        <w:t>12</w:t>
      </w:r>
      <w:r w:rsidR="003B59CF" w:rsidRPr="00DD1B17">
        <w:rPr>
          <w:lang w:val="es-PE"/>
        </w:rPr>
        <w:t>. Anexos</w:t>
      </w:r>
    </w:p>
    <w:p w14:paraId="436D5144" w14:textId="77777777" w:rsidR="00DD1B17" w:rsidRPr="00EA161F" w:rsidRDefault="00DD1B17" w:rsidP="00DD1B17">
      <w:pPr>
        <w:jc w:val="both"/>
        <w:rPr>
          <w:lang w:val="es-PE"/>
        </w:rPr>
      </w:pPr>
      <w:r w:rsidRPr="00EA161F">
        <w:rPr>
          <w:lang w:val="es-PE"/>
        </w:rPr>
        <w:t>[1] Este costeo está en función a la información registrada en el sistema de control de plazas NEXUS</w:t>
      </w:r>
    </w:p>
    <w:p w14:paraId="53D368DB" w14:textId="77777777" w:rsidR="00DD1B17" w:rsidRPr="00EA161F" w:rsidRDefault="00DD1B17" w:rsidP="00DD1B17">
      <w:pPr>
        <w:jc w:val="both"/>
        <w:rPr>
          <w:lang w:val="es-PE"/>
        </w:rPr>
      </w:pPr>
      <w:r w:rsidRPr="00EA161F">
        <w:rPr>
          <w:lang w:val="es-PE"/>
        </w:rPr>
        <w:t>[2] Solo se considera los clasificadores 21.12.11 (JTA), 21.31.15 (CS) y 21.12.21 (Asignación por cargo).</w:t>
      </w:r>
    </w:p>
    <w:p w14:paraId="706A7A83" w14:textId="77777777" w:rsidR="00DD1B17" w:rsidRPr="00EA161F" w:rsidRDefault="00DD1B17" w:rsidP="00DD1B17">
      <w:pPr>
        <w:jc w:val="both"/>
        <w:rPr>
          <w:lang w:val="es-PE"/>
        </w:rPr>
      </w:pPr>
      <w:r w:rsidRPr="00EA161F">
        <w:rPr>
          <w:lang w:val="es-PE"/>
        </w:rP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14:paraId="187F8D61" w14:textId="77777777" w:rsidR="00DD1B17" w:rsidRPr="00DD1B17" w:rsidRDefault="00DD1B17" w:rsidP="00DD1B17">
      <w:pPr>
        <w:jc w:val="both"/>
        <w:rPr>
          <w:lang w:val="es-PE"/>
        </w:rPr>
      </w:pPr>
      <w:r w:rsidRPr="00DD1B17">
        <w:rPr>
          <w:lang w:val="es-PE"/>
        </w:rPr>
        <w:t>[4] Se considera el clasificador 21.12.21</w:t>
      </w:r>
    </w:p>
    <w:p w14:paraId="181FCB92" w14:textId="77777777" w:rsidR="00DD1B17" w:rsidRDefault="00DD1B17" w:rsidP="00DD1B17">
      <w:pPr>
        <w:jc w:val="both"/>
        <w:rPr>
          <w:lang w:val="es-PE"/>
        </w:rPr>
      </w:pPr>
    </w:p>
    <w:p w14:paraId="231423C6" w14:textId="705F6E85" w:rsidR="00A534C6" w:rsidRPr="00DD1B17" w:rsidRDefault="003B59CF" w:rsidP="00DD1B17">
      <w:pPr>
        <w:jc w:val="both"/>
        <w:rPr>
          <w:lang w:val="es-PE"/>
        </w:rPr>
      </w:pPr>
      <w:r w:rsidRPr="00DD1B17">
        <w:rPr>
          <w:lang w:val="es-PE"/>
        </w:rPr>
        <w:t>Las fechas de actualización para las secciones del documento se presentan en la tabla siguiente</w:t>
      </w:r>
    </w:p>
    <w:tbl>
      <w:tblPr>
        <w:tblStyle w:val="ColorfulList-Accent1"/>
        <w:tblW w:w="0" w:type="auto"/>
        <w:tblLook w:val="04A0" w:firstRow="1" w:lastRow="0" w:firstColumn="1" w:lastColumn="0" w:noHBand="0" w:noVBand="1"/>
      </w:tblPr>
      <w:tblGrid>
        <w:gridCol w:w="4320"/>
        <w:gridCol w:w="4320"/>
      </w:tblGrid>
      <w:tr w:rsidR="00A534C6" w14:paraId="37920D19" w14:textId="77777777" w:rsidTr="00A5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6AD1B80" w14:textId="77777777" w:rsidR="00A534C6" w:rsidRDefault="003B59CF">
            <w:proofErr w:type="spellStart"/>
            <w:r>
              <w:t>Sección</w:t>
            </w:r>
            <w:proofErr w:type="spellEnd"/>
          </w:p>
        </w:tc>
        <w:tc>
          <w:tcPr>
            <w:tcW w:w="4320" w:type="dxa"/>
          </w:tcPr>
          <w:p w14:paraId="4A04DCA9" w14:textId="77777777" w:rsidR="00A534C6" w:rsidRDefault="003B59CF">
            <w:pPr>
              <w:cnfStyle w:val="100000000000" w:firstRow="1" w:lastRow="0" w:firstColumn="0" w:lastColumn="0" w:oddVBand="0" w:evenVBand="0" w:oddHBand="0" w:evenHBand="0" w:firstRowFirstColumn="0" w:firstRowLastColumn="0" w:lastRowFirstColumn="0" w:lastRowLastColumn="0"/>
            </w:pPr>
            <w:r>
              <w:t>Fecha de actualización</w:t>
            </w:r>
          </w:p>
        </w:tc>
      </w:tr>
      <w:tr w:rsidR="00A534C6" w14:paraId="15E7D900"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0D396B" w14:textId="77777777" w:rsidR="00A534C6" w:rsidRDefault="003B59CF">
            <w:r>
              <w:t>Intervenciones pedagógicas</w:t>
            </w:r>
          </w:p>
        </w:tc>
        <w:tc>
          <w:tcPr>
            <w:tcW w:w="4320" w:type="dxa"/>
          </w:tcPr>
          <w:p w14:paraId="0B60A6B3" w14:textId="77777777" w:rsidR="00A534C6" w:rsidRDefault="003B59CF">
            <w:pPr>
              <w:cnfStyle w:val="000000100000" w:firstRow="0" w:lastRow="0" w:firstColumn="0" w:lastColumn="0" w:oddVBand="0" w:evenVBand="0" w:oddHBand="1" w:evenHBand="0" w:firstRowFirstColumn="0" w:firstRowLastColumn="0" w:lastRowFirstColumn="0" w:lastRowLastColumn="0"/>
            </w:pPr>
            <w:r>
              <w:t>2021-09-23</w:t>
            </w:r>
          </w:p>
        </w:tc>
      </w:tr>
      <w:tr w:rsidR="00A534C6" w14:paraId="59EEF65C" w14:textId="77777777" w:rsidTr="00A534C6">
        <w:tc>
          <w:tcPr>
            <w:cnfStyle w:val="001000000000" w:firstRow="0" w:lastRow="0" w:firstColumn="1" w:lastColumn="0" w:oddVBand="0" w:evenVBand="0" w:oddHBand="0" w:evenHBand="0" w:firstRowFirstColumn="0" w:firstRowLastColumn="0" w:lastRowFirstColumn="0" w:lastRowLastColumn="0"/>
            <w:tcW w:w="4320" w:type="dxa"/>
          </w:tcPr>
          <w:p w14:paraId="7A7CA2C6" w14:textId="77777777" w:rsidR="00A534C6" w:rsidRDefault="003B59CF">
            <w:r>
              <w:t>Mascarillas y protectores faciales</w:t>
            </w:r>
          </w:p>
        </w:tc>
        <w:tc>
          <w:tcPr>
            <w:tcW w:w="4320" w:type="dxa"/>
          </w:tcPr>
          <w:p w14:paraId="1A7D749A" w14:textId="77777777" w:rsidR="00A534C6" w:rsidRDefault="003B59CF">
            <w:pPr>
              <w:cnfStyle w:val="000000000000" w:firstRow="0" w:lastRow="0" w:firstColumn="0" w:lastColumn="0" w:oddVBand="0" w:evenVBand="0" w:oddHBand="0" w:evenHBand="0" w:firstRowFirstColumn="0" w:firstRowLastColumn="0" w:lastRowFirstColumn="0" w:lastRowLastColumn="0"/>
            </w:pPr>
            <w:r>
              <w:t>2021-09-20</w:t>
            </w:r>
          </w:p>
        </w:tc>
      </w:tr>
      <w:tr w:rsidR="00A534C6" w14:paraId="3B4DF250" w14:textId="77777777" w:rsidTr="00A5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F6E0D06" w14:textId="77777777" w:rsidR="00A534C6" w:rsidRDefault="003B59CF">
            <w:r>
              <w:t>Compromisos de desempeño</w:t>
            </w:r>
          </w:p>
        </w:tc>
        <w:tc>
          <w:tcPr>
            <w:tcW w:w="4320" w:type="dxa"/>
          </w:tcPr>
          <w:p w14:paraId="7BF684B4" w14:textId="77777777" w:rsidR="00A534C6" w:rsidRDefault="003B59CF">
            <w:pPr>
              <w:cnfStyle w:val="000000100000" w:firstRow="0" w:lastRow="0" w:firstColumn="0" w:lastColumn="0" w:oddVBand="0" w:evenVBand="0" w:oddHBand="1" w:evenHBand="0" w:firstRowFirstColumn="0" w:firstRowLastColumn="0" w:lastRowFirstColumn="0" w:lastRowLastColumn="0"/>
            </w:pPr>
            <w:r>
              <w:t>2021-09-21</w:t>
            </w:r>
          </w:p>
        </w:tc>
      </w:tr>
    </w:tbl>
    <w:p w14:paraId="3855C9E5" w14:textId="77777777" w:rsidR="003B59CF" w:rsidRDefault="003B59CF"/>
    <w:sectPr w:rsidR="003B59C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A1DE0" w14:textId="77777777" w:rsidR="00EF6960" w:rsidRDefault="00EF6960" w:rsidP="000F4F8B">
      <w:pPr>
        <w:spacing w:after="0" w:line="240" w:lineRule="auto"/>
      </w:pPr>
      <w:r>
        <w:separator/>
      </w:r>
    </w:p>
  </w:endnote>
  <w:endnote w:type="continuationSeparator" w:id="0">
    <w:p w14:paraId="2F72BAF4" w14:textId="77777777" w:rsidR="00EF6960" w:rsidRDefault="00EF6960" w:rsidP="000F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A5E4" w14:textId="77777777" w:rsidR="00EF6960" w:rsidRDefault="00EF6960" w:rsidP="000F4F8B">
      <w:pPr>
        <w:spacing w:after="0" w:line="240" w:lineRule="auto"/>
      </w:pPr>
      <w:r>
        <w:separator/>
      </w:r>
    </w:p>
  </w:footnote>
  <w:footnote w:type="continuationSeparator" w:id="0">
    <w:p w14:paraId="7480C9DE" w14:textId="77777777" w:rsidR="00EF6960" w:rsidRDefault="00EF6960" w:rsidP="000F4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087997"/>
    <w:multiLevelType w:val="hybridMultilevel"/>
    <w:tmpl w:val="4CA6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F8B"/>
    <w:rsid w:val="0015074B"/>
    <w:rsid w:val="00226224"/>
    <w:rsid w:val="0029639D"/>
    <w:rsid w:val="002E59CD"/>
    <w:rsid w:val="00326F90"/>
    <w:rsid w:val="003B59CF"/>
    <w:rsid w:val="00406775"/>
    <w:rsid w:val="006D0C6C"/>
    <w:rsid w:val="00A534C6"/>
    <w:rsid w:val="00AA1D8D"/>
    <w:rsid w:val="00B47730"/>
    <w:rsid w:val="00CA2C14"/>
    <w:rsid w:val="00CB0664"/>
    <w:rsid w:val="00DC0C91"/>
    <w:rsid w:val="00DD1B17"/>
    <w:rsid w:val="00EC7355"/>
    <w:rsid w:val="00EF69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E3021"/>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7</cp:revision>
  <dcterms:created xsi:type="dcterms:W3CDTF">2013-12-23T23:15:00Z</dcterms:created>
  <dcterms:modified xsi:type="dcterms:W3CDTF">2021-10-05T21:34:00Z</dcterms:modified>
  <cp:category/>
</cp:coreProperties>
</file>