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38"/>
          <w:szCs w:val="38"/>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b w:val="1"/>
          <w:sz w:val="38"/>
          <w:szCs w:val="38"/>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b w:val="1"/>
          <w:sz w:val="38"/>
          <w:szCs w:val="38"/>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b w:val="1"/>
          <w:sz w:val="38"/>
          <w:szCs w:val="38"/>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b w:val="1"/>
          <w:sz w:val="38"/>
          <w:szCs w:val="38"/>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b w:val="1"/>
          <w:sz w:val="38"/>
          <w:szCs w:val="38"/>
        </w:rPr>
      </w:pPr>
      <w:r w:rsidDel="00000000" w:rsidR="00000000" w:rsidRPr="00000000">
        <w:rPr>
          <w:rFonts w:ascii="Calibri" w:cs="Calibri" w:eastAsia="Calibri" w:hAnsi="Calibri"/>
          <w:b w:val="1"/>
          <w:sz w:val="38"/>
          <w:szCs w:val="38"/>
          <w:rtl w:val="0"/>
        </w:rPr>
        <w:t xml:space="preserve">PROTOCOLO CLÍNICO PARA </w:t>
      </w:r>
    </w:p>
    <w:p w:rsidR="00000000" w:rsidDel="00000000" w:rsidP="00000000" w:rsidRDefault="00000000" w:rsidRPr="00000000" w14:paraId="00000007">
      <w:pPr>
        <w:spacing w:after="160" w:line="259" w:lineRule="auto"/>
        <w:jc w:val="center"/>
        <w:rPr>
          <w:rFonts w:ascii="Lilita One" w:cs="Lilita One" w:eastAsia="Lilita One" w:hAnsi="Lilita One"/>
          <w:b w:val="1"/>
          <w:color w:val="1155cc"/>
          <w:sz w:val="58"/>
          <w:szCs w:val="58"/>
        </w:rPr>
      </w:pPr>
      <w:r w:rsidDel="00000000" w:rsidR="00000000" w:rsidRPr="00000000">
        <w:rPr>
          <w:rFonts w:ascii="Lilita One" w:cs="Lilita One" w:eastAsia="Lilita One" w:hAnsi="Lilita One"/>
          <w:b w:val="1"/>
          <w:color w:val="1155cc"/>
          <w:sz w:val="58"/>
          <w:szCs w:val="58"/>
          <w:rtl w:val="0"/>
        </w:rPr>
        <w:t xml:space="preserve">HEMORRAGIA UTERINA ANORMAL </w:t>
      </w:r>
    </w:p>
    <w:p w:rsidR="00000000" w:rsidDel="00000000" w:rsidP="00000000" w:rsidRDefault="00000000" w:rsidRPr="00000000" w14:paraId="00000008">
      <w:pPr>
        <w:jc w:val="center"/>
        <w:rPr>
          <w:rFonts w:ascii="Acme" w:cs="Acme" w:eastAsia="Acme" w:hAnsi="Acme"/>
          <w:b w:val="1"/>
          <w:sz w:val="32"/>
          <w:szCs w:val="32"/>
        </w:rPr>
      </w:pPr>
      <w:r w:rsidDel="00000000" w:rsidR="00000000" w:rsidRPr="00000000">
        <w:rPr>
          <w:rFonts w:ascii="Acme" w:cs="Acme" w:eastAsia="Acme" w:hAnsi="Acme"/>
          <w:b w:val="1"/>
          <w:sz w:val="32"/>
          <w:szCs w:val="32"/>
          <w:rtl w:val="0"/>
        </w:rPr>
        <w:t xml:space="preserve">Revisión de la literatura y propuesta de Abordaje Integral </w:t>
      </w:r>
    </w:p>
    <w:p w:rsidR="00000000" w:rsidDel="00000000" w:rsidP="00000000" w:rsidRDefault="00000000" w:rsidRPr="00000000" w14:paraId="00000009">
      <w:pPr>
        <w:jc w:val="center"/>
        <w:rPr>
          <w:rFonts w:ascii="Acme" w:cs="Acme" w:eastAsia="Acme" w:hAnsi="Acme"/>
          <w:b w:val="1"/>
          <w:sz w:val="32"/>
          <w:szCs w:val="32"/>
        </w:rPr>
      </w:pPr>
      <w:r w:rsidDel="00000000" w:rsidR="00000000" w:rsidRPr="00000000">
        <w:rPr>
          <w:rtl w:val="0"/>
        </w:rPr>
      </w:r>
    </w:p>
    <w:p w:rsidR="00000000" w:rsidDel="00000000" w:rsidP="00000000" w:rsidRDefault="00000000" w:rsidRPr="00000000" w14:paraId="0000000A">
      <w:pPr>
        <w:jc w:val="center"/>
        <w:rPr>
          <w:rFonts w:ascii="Acme" w:cs="Acme" w:eastAsia="Acme" w:hAnsi="Acme"/>
          <w:b w:val="1"/>
          <w:sz w:val="32"/>
          <w:szCs w:val="32"/>
        </w:rPr>
      </w:pPr>
      <w:r w:rsidDel="00000000" w:rsidR="00000000" w:rsidRPr="00000000">
        <w:rPr>
          <w:rtl w:val="0"/>
        </w:rPr>
      </w:r>
    </w:p>
    <w:p w:rsidR="00000000" w:rsidDel="00000000" w:rsidP="00000000" w:rsidRDefault="00000000" w:rsidRPr="00000000" w14:paraId="0000000B">
      <w:pPr>
        <w:jc w:val="left"/>
        <w:rPr>
          <w:rFonts w:ascii="Acme" w:cs="Acme" w:eastAsia="Acme" w:hAnsi="Acme"/>
          <w:b w:val="1"/>
          <w:sz w:val="32"/>
          <w:szCs w:val="32"/>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0" distT="0" distL="0" distR="0">
            <wp:extent cx="5612130" cy="3156585"/>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612130" cy="315658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F">
      <w:pPr>
        <w:spacing w:after="160" w:line="259" w:lineRule="auto"/>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sz w:val="28"/>
          <w:szCs w:val="28"/>
        </w:rPr>
      </w:pPr>
      <w:r w:rsidDel="00000000" w:rsidR="00000000" w:rsidRPr="00000000">
        <w:rPr>
          <w:rtl w:val="0"/>
        </w:rPr>
      </w:r>
    </w:p>
    <w:tbl>
      <w:tblPr>
        <w:tblStyle w:val="Table1"/>
        <w:tblW w:w="88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3260"/>
        <w:gridCol w:w="3401"/>
        <w:gridCol w:w="1016"/>
        <w:tblGridChange w:id="0">
          <w:tblGrid>
            <w:gridCol w:w="1128"/>
            <w:gridCol w:w="3260"/>
            <w:gridCol w:w="3401"/>
            <w:gridCol w:w="1016"/>
          </w:tblGrid>
        </w:tblGridChange>
      </w:tblGrid>
      <w:tr>
        <w:trPr>
          <w:cantSplit w:val="0"/>
          <w:trHeight w:val="20" w:hRule="atLeast"/>
          <w:tblHeader w:val="0"/>
        </w:trPr>
        <w:tc>
          <w:tcPr>
            <w:tcBorders>
              <w:right w:color="000000" w:space="0" w:sz="0" w:val="nil"/>
            </w:tcBorders>
          </w:tcPr>
          <w:p w:rsidR="00000000" w:rsidDel="00000000" w:rsidP="00000000" w:rsidRDefault="00000000" w:rsidRPr="00000000" w14:paraId="00000012">
            <w:pPr>
              <w:tabs>
                <w:tab w:val="left" w:leader="none" w:pos="-3188"/>
                <w:tab w:val="left" w:leader="none" w:pos="-3046"/>
                <w:tab w:val="left" w:leader="none" w:pos="781"/>
              </w:tabs>
              <w:jc w:val="center"/>
              <w:rPr>
                <w:rFonts w:ascii="Calibri" w:cs="Calibri" w:eastAsia="Calibri" w:hAnsi="Calibri"/>
                <w:b w:val="1"/>
                <w:sz w:val="20"/>
                <w:szCs w:val="20"/>
              </w:rPr>
            </w:pPr>
            <w:bookmarkStart w:colFirst="0" w:colLast="0" w:name="_vawoc59n0zl8" w:id="0"/>
            <w:bookmarkEnd w:id="0"/>
            <w:r w:rsidDel="00000000" w:rsidR="00000000" w:rsidRPr="00000000">
              <w:rPr>
                <w:rtl w:val="0"/>
              </w:rPr>
            </w:r>
          </w:p>
        </w:tc>
        <w:tc>
          <w:tcPr>
            <w:tcBorders>
              <w:left w:color="000000" w:space="0" w:sz="0" w:val="nil"/>
            </w:tcBorders>
          </w:tcPr>
          <w:p w:rsidR="00000000" w:rsidDel="00000000" w:rsidP="00000000" w:rsidRDefault="00000000" w:rsidRPr="00000000" w14:paraId="00000013">
            <w:pPr>
              <w:tabs>
                <w:tab w:val="left" w:leader="none" w:pos="-3188"/>
                <w:tab w:val="left" w:leader="none" w:pos="-3046"/>
                <w:tab w:val="left" w:leader="none" w:pos="781"/>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NOMBRE</w:t>
            </w:r>
          </w:p>
        </w:tc>
        <w:tc>
          <w:tcPr/>
          <w:p w:rsidR="00000000" w:rsidDel="00000000" w:rsidP="00000000" w:rsidRDefault="00000000" w:rsidRPr="00000000" w14:paraId="00000014">
            <w:pPr>
              <w:keepNext w:val="1"/>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CARGO</w:t>
            </w:r>
          </w:p>
        </w:tc>
        <w:tc>
          <w:tcPr/>
          <w:p w:rsidR="00000000" w:rsidDel="00000000" w:rsidP="00000000" w:rsidRDefault="00000000" w:rsidRPr="00000000" w14:paraId="00000015">
            <w:pPr>
              <w:tabs>
                <w:tab w:val="left" w:leader="none" w:pos="-3188"/>
                <w:tab w:val="left" w:leader="none" w:pos="-3046"/>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FECHA </w:t>
            </w:r>
          </w:p>
        </w:tc>
      </w:tr>
      <w:tr>
        <w:trPr>
          <w:cantSplit w:val="0"/>
          <w:trHeight w:val="20" w:hRule="atLeast"/>
          <w:tblHeader w:val="0"/>
        </w:trPr>
        <w:tc>
          <w:tcPr/>
          <w:p w:rsidR="00000000" w:rsidDel="00000000" w:rsidP="00000000" w:rsidRDefault="00000000" w:rsidRPr="00000000" w14:paraId="00000016">
            <w:pPr>
              <w:tabs>
                <w:tab w:val="left" w:leader="none" w:pos="-3188"/>
                <w:tab w:val="left" w:leader="none" w:pos="-3046"/>
                <w:tab w:val="left" w:leader="none" w:pos="781"/>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ELABORÓ</w:t>
            </w:r>
          </w:p>
        </w:tc>
        <w:tc>
          <w:tcPr/>
          <w:p w:rsidR="00000000" w:rsidDel="00000000" w:rsidP="00000000" w:rsidRDefault="00000000" w:rsidRPr="00000000" w14:paraId="00000017">
            <w:pPr>
              <w:tabs>
                <w:tab w:val="left" w:leader="none" w:pos="-3188"/>
                <w:tab w:val="left" w:leader="none" w:pos="-3046"/>
                <w:tab w:val="left" w:leader="none" w:pos="781"/>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8">
            <w:pPr>
              <w:keepNext w:val="1"/>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9">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A">
            <w:pPr>
              <w:tabs>
                <w:tab w:val="left" w:leader="none" w:pos="567"/>
                <w:tab w:val="left" w:leader="none" w:pos="781"/>
                <w:tab w:val="left" w:leader="none" w:pos="1134"/>
                <w:tab w:val="left" w:leader="none" w:pos="2552"/>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VALIDÓ</w:t>
            </w:r>
          </w:p>
        </w:tc>
        <w:tc>
          <w:tcPr/>
          <w:p w:rsidR="00000000" w:rsidDel="00000000" w:rsidP="00000000" w:rsidRDefault="00000000" w:rsidRPr="00000000" w14:paraId="0000001B">
            <w:pPr>
              <w:tabs>
                <w:tab w:val="left" w:leader="none" w:pos="567"/>
                <w:tab w:val="left" w:leader="none" w:pos="781"/>
                <w:tab w:val="left" w:leader="none" w:pos="1134"/>
                <w:tab w:val="left" w:leader="none" w:pos="2552"/>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C">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1D">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E">
            <w:pPr>
              <w:tabs>
                <w:tab w:val="left" w:leader="none" w:pos="567"/>
                <w:tab w:val="left" w:leader="none" w:pos="781"/>
                <w:tab w:val="left" w:leader="none" w:pos="1134"/>
                <w:tab w:val="left" w:leader="none" w:pos="2552"/>
              </w:tabs>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APROBÓ</w:t>
            </w:r>
          </w:p>
        </w:tc>
        <w:tc>
          <w:tcPr/>
          <w:p w:rsidR="00000000" w:rsidDel="00000000" w:rsidP="00000000" w:rsidRDefault="00000000" w:rsidRPr="00000000" w14:paraId="0000001F">
            <w:pPr>
              <w:tabs>
                <w:tab w:val="left" w:leader="none" w:pos="567"/>
                <w:tab w:val="left" w:leader="none" w:pos="781"/>
                <w:tab w:val="left" w:leader="none" w:pos="1134"/>
                <w:tab w:val="left" w:leader="none" w:pos="2552"/>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0">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1">
            <w:pPr>
              <w:tabs>
                <w:tab w:val="left" w:leader="none" w:pos="-3188"/>
                <w:tab w:val="left" w:leader="none" w:pos="-3046"/>
              </w:tabs>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2">
      <w:pPr>
        <w:spacing w:after="160" w:line="259" w:lineRule="auto"/>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3">
      <w:pPr>
        <w:pStyle w:val="Title"/>
        <w:rPr>
          <w:rFonts w:ascii="Abril Fatface" w:cs="Abril Fatface" w:eastAsia="Abril Fatface" w:hAnsi="Abril Fatface"/>
          <w:b w:val="1"/>
        </w:rPr>
      </w:pPr>
      <w:bookmarkStart w:colFirst="0" w:colLast="0" w:name="_psfhqj9zxp0s" w:id="1"/>
      <w:bookmarkEnd w:id="1"/>
      <w:r w:rsidDel="00000000" w:rsidR="00000000" w:rsidRPr="00000000">
        <w:rPr>
          <w:rFonts w:ascii="Abril Fatface" w:cs="Abril Fatface" w:eastAsia="Abril Fatface" w:hAnsi="Abril Fatface"/>
          <w:b w:val="1"/>
          <w:rtl w:val="0"/>
        </w:rPr>
        <w:t xml:space="preserve">CONTENIDO</w:t>
      </w:r>
      <w:r w:rsidDel="00000000" w:rsidR="00000000" w:rsidRPr="00000000">
        <w:rPr>
          <w:rtl w:val="0"/>
        </w:rPr>
      </w:r>
    </w:p>
    <w:p w:rsidR="00000000" w:rsidDel="00000000" w:rsidP="00000000" w:rsidRDefault="00000000" w:rsidRPr="00000000" w14:paraId="00000024">
      <w:pPr>
        <w:rPr/>
      </w:pPr>
      <w:r w:rsidDel="00000000" w:rsidR="00000000" w:rsidRPr="00000000">
        <w:rPr>
          <w:b w:val="1"/>
          <w:color w:val="ff9900"/>
          <w:rtl w:val="0"/>
        </w:rPr>
        <w:t xml:space="preserve">____________________________________________________________________________                                    </w:t>
      </w:r>
      <w:r w:rsidDel="00000000" w:rsidR="00000000" w:rsidRPr="00000000">
        <w:rPr>
          <w:rtl w:val="0"/>
        </w:rPr>
      </w:r>
    </w:p>
    <w:sdt>
      <w:sdtPr>
        <w:id w:val="1771411908"/>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orxcteh0yg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kw4x46mbkr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1xjgsrnyi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7fosgark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5uiwcwx0l4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zrlobm3nrr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a3nnr2zzw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PICO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dcoive610j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BÚSQUEDA Y SELECCIÓN DE LITERATURA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4e2tcw70i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inclusión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59tgdc6p5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exclusión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jamnz8hbq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MARCO TEÓRICO Y DEFINICIONES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t7yasbonlg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DEFINICIÓN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yuovsa1ya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EPIDEMIOLOGÍA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a1612i3xzu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CLASIFICACIÓN</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1izjq9x1xt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ETIOLOGÍA</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mom3fkv9ge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Grupos etareos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budp4qeu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PALM - COEIN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r8j8bro50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PÓLIPOS: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ot7ivbihr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ADENOMIOSIS: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mjzrpw8zn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Clasificación</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nywkml39h9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LEIOMIOMA:</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7xrke3q1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Clasificación</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a76j6p8m8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MALIGNIDAD:</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izpfzrik9o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Factores de riesgo para EIN y malignidad</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q245a5zkf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COAGULOPATÍA:</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rqn5a3qc1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DISFUNCIÓN OVULATORIA :</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oyo119pmd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TRASTORNOS DEL ENDOMETRIO: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ihbxb0u2u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IATROGENIA:</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jdajzmnf2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CLASIFICADO EN OTRA PARTE:</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z158ljmvv0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MANIFESTACIONES CLÍNICAS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ws9jb194tc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ABORDAJE DIAGNÓSTICO</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6im0zne92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 clínica</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oi2mcd6zd6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Descartar diagnósticos diferenciales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5r05rycs4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Ayudas diagnósticas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pcufe4xi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ABORDAJE TERAPEUTICO</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1i80gd9xw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OPCIONES DE TRATAMIENTO NO HORMONAL</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rhg0c3xeq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OPCIONES DE TRATAMIENTO HORMONAL, EN FUNCIÓN DE ESTABILIDAD HEMODINÁMICA Y TIEMPO DE EVOLUCIÓN</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w84uhqpp1c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Paciente inestable - HUA aguda</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r66r5t6wv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Paciente estable - HUA Crónica</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h3laym1vp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Casos especiales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ncyce9y14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Otras consideraciones de manejo de acuerdo a etiología</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jrq7458ghz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RECOMENDACIONES Y ACTIVIDADES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pzwzp5pbk1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ALGORITMO</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s4hjouoqbg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both"/>
        <w:rPr>
          <w:rFonts w:ascii="Abril Fatface" w:cs="Abril Fatface" w:eastAsia="Abril Fatface" w:hAnsi="Abril Fatface"/>
        </w:rPr>
      </w:pPr>
      <w:bookmarkStart w:colFirst="0" w:colLast="0" w:name="_oorxcteh0yga" w:id="2"/>
      <w:bookmarkEnd w:id="2"/>
      <w:r w:rsidDel="00000000" w:rsidR="00000000" w:rsidRPr="00000000">
        <w:rPr>
          <w:rFonts w:ascii="Abril Fatface" w:cs="Abril Fatface" w:eastAsia="Abril Fatface" w:hAnsi="Abril Fatface"/>
          <w:rtl w:val="0"/>
        </w:rPr>
        <w:t xml:space="preserve">INTRODUCCIÓN </w:t>
      </w:r>
    </w:p>
    <w:p w:rsidR="00000000" w:rsidDel="00000000" w:rsidP="00000000" w:rsidRDefault="00000000" w:rsidRPr="00000000" w14:paraId="00000053">
      <w:pPr>
        <w:jc w:val="both"/>
        <w:rPr/>
      </w:pPr>
      <w:r w:rsidDel="00000000" w:rsidR="00000000" w:rsidRPr="00000000">
        <w:rPr>
          <w:rtl w:val="0"/>
        </w:rPr>
        <w:t xml:space="preserve">La hemorragia uterina anormal (HUA) se define como cualquier alteración en la cantidad, regularidad, frecuencia o duración del sangrado uterino, en ausencia de embarazo. Es una de las principales causas de consulta ginecológica y general a nivel mundial, constituyendo un reto clínico por su diversidad etiológica, complejidad diagnóstica y variabilidad en la respuesta terapéutica. Para su clasificación, la Federación Internacional de Ginecología y Obstetricia (FIGO) propone el sistema PALM-COEIN, que diferencia las causas estructurales (pólipos, adenomiosis, leiomiomas, malignidad e hiperplasia) de las no estructurales (coagulopatías, disfunción ovulatoria, endometriales, iatrogénicas y no clasificadas).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En cuanto a la epidemiología, se estima que hasta el 30% de las mujeres en edad reproductiva presentan episodios de HUA en algún momento de su vida, lo que se traduce en un impacto importante en la calidad de vida y en el uso de los servicios de salud. En Colombia, los reportes institucionales reflejan que la HUA es uno de los principales motivos de consulta en los servicios de urgencias, hospitalización y consulta externa, aunque la incidencia y prevalencia específicas varían según la población y el nivel de atención. En el Hospital Regional de Moniquirá, centro de referencia para la provincia de Ricaurte Bajo en Boyacá, esta condición representa un volumen significativo de atenciones, especialmente en mujeres en edad reproductiva y perimenopáusica, siendo abordada tanto por medicina general como por ginecología.</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El contexto institucional evidencia la ausencia de procesos estandarizados para el diagnóstico y tratamiento de la HUA, lo que genera variabilidad en la atención, retrasos en el abordaje oportuno, uso inadecuado de recursos y, en algunos casos, complicaciones evitables. Ante este panorama, surge la necesidad de contar con un protocolo clínico que unifique criterios diagnósticos y terapéuticos, garantizando una atención integral, homogénea, temprana y de calidad, alineada con los principios de la Atención Primaria en Salud (APS).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El presente documento se justifica en la necesidad de optimizar los procesos asistenciales y mejorar los desenlaces clínicos de las pacientes con HUA en el Hospital Regional de Moniquirá. Su objetivo es servir como herramienta de apoyo clínico para el personal de salud en todos los niveles de atención, promoviendo la toma de decisiones basadas en la evidencia, la equidad en la atención y el uso eficiente de los recursos institucionales. De esta manera, el protocolo busca consolidarse como una guía práctica e integral para mejorar la atención de las pacientes con HUA en el Hospital Regional de Moniquirá.</w:t>
      </w:r>
      <w:r w:rsidDel="00000000" w:rsidR="00000000" w:rsidRPr="00000000">
        <w:rPr>
          <w:rtl w:val="0"/>
        </w:rPr>
      </w:r>
    </w:p>
    <w:p w:rsidR="00000000" w:rsidDel="00000000" w:rsidP="00000000" w:rsidRDefault="00000000" w:rsidRPr="00000000" w14:paraId="0000005A">
      <w:pPr>
        <w:pStyle w:val="Heading1"/>
        <w:jc w:val="both"/>
        <w:rPr>
          <w:rFonts w:ascii="Abril Fatface" w:cs="Abril Fatface" w:eastAsia="Abril Fatface" w:hAnsi="Abril Fatface"/>
        </w:rPr>
      </w:pPr>
      <w:bookmarkStart w:colFirst="0" w:colLast="0" w:name="_pkw4x46mbkrz" w:id="3"/>
      <w:bookmarkEnd w:id="3"/>
      <w:r w:rsidDel="00000000" w:rsidR="00000000" w:rsidRPr="00000000">
        <w:rPr>
          <w:rFonts w:ascii="Abril Fatface" w:cs="Abril Fatface" w:eastAsia="Abril Fatface" w:hAnsi="Abril Fatface"/>
          <w:rtl w:val="0"/>
        </w:rPr>
        <w:t xml:space="preserve">OBJETIVOS </w:t>
      </w:r>
    </w:p>
    <w:p w:rsidR="00000000" w:rsidDel="00000000" w:rsidP="00000000" w:rsidRDefault="00000000" w:rsidRPr="00000000" w14:paraId="0000005B">
      <w:pPr>
        <w:pStyle w:val="Heading2"/>
        <w:jc w:val="both"/>
        <w:rPr>
          <w:rFonts w:ascii="Lilita One" w:cs="Lilita One" w:eastAsia="Lilita One" w:hAnsi="Lilita One"/>
        </w:rPr>
      </w:pPr>
      <w:bookmarkStart w:colFirst="0" w:colLast="0" w:name="_d1xjgsrnyi1q" w:id="4"/>
      <w:bookmarkEnd w:id="4"/>
      <w:r w:rsidDel="00000000" w:rsidR="00000000" w:rsidRPr="00000000">
        <w:rPr>
          <w:rFonts w:ascii="Lilita One" w:cs="Lilita One" w:eastAsia="Lilita One" w:hAnsi="Lilita One"/>
          <w:rtl w:val="0"/>
        </w:rPr>
        <w:t xml:space="preserve">OBJETIVO GENERAL </w:t>
      </w:r>
    </w:p>
    <w:p w:rsidR="00000000" w:rsidDel="00000000" w:rsidP="00000000" w:rsidRDefault="00000000" w:rsidRPr="00000000" w14:paraId="0000005C">
      <w:pPr>
        <w:jc w:val="both"/>
        <w:rPr/>
      </w:pPr>
      <w:r w:rsidDel="00000000" w:rsidR="00000000" w:rsidRPr="00000000">
        <w:rPr>
          <w:rtl w:val="0"/>
        </w:rPr>
        <w:t xml:space="preserve">Fortalecer la atención integral de las mujeres en edad reproductiva y perimenopáusica con diagnóstico de hemorragia uterina anormal en el Hospital Regional de Moniquirá, mediante la optimización de los procesos diagnósticos y terapéuticos, con el fin de garantizar una atención oportuna, segura y de calidad.</w:t>
      </w:r>
      <w:r w:rsidDel="00000000" w:rsidR="00000000" w:rsidRPr="00000000">
        <w:rPr>
          <w:rtl w:val="0"/>
        </w:rPr>
      </w:r>
    </w:p>
    <w:p w:rsidR="00000000" w:rsidDel="00000000" w:rsidP="00000000" w:rsidRDefault="00000000" w:rsidRPr="00000000" w14:paraId="0000005D">
      <w:pPr>
        <w:pStyle w:val="Heading2"/>
        <w:jc w:val="both"/>
        <w:rPr>
          <w:rFonts w:ascii="Lilita One" w:cs="Lilita One" w:eastAsia="Lilita One" w:hAnsi="Lilita One"/>
        </w:rPr>
      </w:pPr>
      <w:bookmarkStart w:colFirst="0" w:colLast="0" w:name="_mq7fosgark9p" w:id="5"/>
      <w:bookmarkEnd w:id="5"/>
      <w:r w:rsidDel="00000000" w:rsidR="00000000" w:rsidRPr="00000000">
        <w:rPr>
          <w:rFonts w:ascii="Lilita One" w:cs="Lilita One" w:eastAsia="Lilita One" w:hAnsi="Lilita One"/>
          <w:rtl w:val="0"/>
        </w:rPr>
        <w:t xml:space="preserve">OBJETIVOS ESPECÍFICOS </w:t>
      </w:r>
    </w:p>
    <w:p w:rsidR="00000000" w:rsidDel="00000000" w:rsidP="00000000" w:rsidRDefault="00000000" w:rsidRPr="00000000" w14:paraId="0000005E">
      <w:pPr>
        <w:numPr>
          <w:ilvl w:val="0"/>
          <w:numId w:val="20"/>
        </w:numPr>
        <w:ind w:left="720" w:hanging="360"/>
        <w:jc w:val="both"/>
        <w:rPr>
          <w:u w:val="none"/>
        </w:rPr>
      </w:pPr>
      <w:r w:rsidDel="00000000" w:rsidR="00000000" w:rsidRPr="00000000">
        <w:rPr>
          <w:rtl w:val="0"/>
        </w:rPr>
        <w:t xml:space="preserve">Definir criterios clínicos y paraclínicos estandarizados para el diagnóstico temprano y preciso de la hemorragia uterina anormal en los diferentes niveles de atención del hospital durante el período de implementación del protocolo.</w:t>
      </w:r>
    </w:p>
    <w:p w:rsidR="00000000" w:rsidDel="00000000" w:rsidP="00000000" w:rsidRDefault="00000000" w:rsidRPr="00000000" w14:paraId="0000005F">
      <w:pPr>
        <w:numPr>
          <w:ilvl w:val="0"/>
          <w:numId w:val="20"/>
        </w:numPr>
        <w:ind w:left="720" w:hanging="360"/>
        <w:jc w:val="both"/>
        <w:rPr>
          <w:u w:val="none"/>
        </w:rPr>
      </w:pPr>
      <w:r w:rsidDel="00000000" w:rsidR="00000000" w:rsidRPr="00000000">
        <w:rPr>
          <w:rtl w:val="0"/>
        </w:rPr>
        <w:t xml:space="preserve">Aplicar esquemas terapéuticos actualizados y basados en la evidencia científica para el manejo integral de la HUA, optimizando la utilización de los recursos disponibles en la institución.</w:t>
      </w:r>
    </w:p>
    <w:p w:rsidR="00000000" w:rsidDel="00000000" w:rsidP="00000000" w:rsidRDefault="00000000" w:rsidRPr="00000000" w14:paraId="00000060">
      <w:pPr>
        <w:numPr>
          <w:ilvl w:val="0"/>
          <w:numId w:val="20"/>
        </w:numPr>
        <w:ind w:left="720" w:hanging="360"/>
        <w:jc w:val="both"/>
        <w:rPr>
          <w:u w:val="none"/>
        </w:rPr>
      </w:pPr>
      <w:r w:rsidDel="00000000" w:rsidR="00000000" w:rsidRPr="00000000">
        <w:rPr>
          <w:rtl w:val="0"/>
        </w:rPr>
        <w:t xml:space="preserve">Estandarizar rutas de atención clínica en consulta externa, urgencias y hospitalización general que permitan reducir la variabilidad en la práctica médica y mejorar la oportunidad en el abordaje de las pacientes.</w:t>
      </w:r>
    </w:p>
    <w:p w:rsidR="00000000" w:rsidDel="00000000" w:rsidP="00000000" w:rsidRDefault="00000000" w:rsidRPr="00000000" w14:paraId="00000061">
      <w:pPr>
        <w:numPr>
          <w:ilvl w:val="0"/>
          <w:numId w:val="20"/>
        </w:numPr>
        <w:ind w:left="720" w:hanging="360"/>
        <w:jc w:val="both"/>
        <w:rPr>
          <w:u w:val="none"/>
        </w:rPr>
      </w:pPr>
      <w:r w:rsidDel="00000000" w:rsidR="00000000" w:rsidRPr="00000000">
        <w:rPr>
          <w:rtl w:val="0"/>
        </w:rPr>
        <w:t xml:space="preserve">Incorporar un enfoque integral de atención que contemple los determinantes biológicos, sociales y de salud pública relacionados con la HUA, alineado con la estrategia de APS del hospital.</w:t>
      </w:r>
    </w:p>
    <w:p w:rsidR="00000000" w:rsidDel="00000000" w:rsidP="00000000" w:rsidRDefault="00000000" w:rsidRPr="00000000" w14:paraId="00000062">
      <w:pPr>
        <w:numPr>
          <w:ilvl w:val="0"/>
          <w:numId w:val="20"/>
        </w:numPr>
        <w:ind w:left="720" w:hanging="360"/>
        <w:jc w:val="both"/>
        <w:rPr>
          <w:u w:val="none"/>
        </w:rPr>
      </w:pPr>
      <w:r w:rsidDel="00000000" w:rsidR="00000000" w:rsidRPr="00000000">
        <w:rPr>
          <w:rtl w:val="0"/>
        </w:rPr>
        <w:t xml:space="preserve">Capacitar de manera continua al personal médico y de enfermería en el diagnóstico y tratamiento de la HUA, garantizando la sostenibilidad del protocolo y la mejora progresiva de los indicadores de calidad asistencial.</w:t>
      </w:r>
      <w:r w:rsidDel="00000000" w:rsidR="00000000" w:rsidRPr="00000000">
        <w:rPr>
          <w:rtl w:val="0"/>
        </w:rPr>
      </w:r>
    </w:p>
    <w:p w:rsidR="00000000" w:rsidDel="00000000" w:rsidP="00000000" w:rsidRDefault="00000000" w:rsidRPr="00000000" w14:paraId="00000063">
      <w:pPr>
        <w:pStyle w:val="Heading1"/>
        <w:jc w:val="both"/>
        <w:rPr>
          <w:rFonts w:ascii="Abril Fatface" w:cs="Abril Fatface" w:eastAsia="Abril Fatface" w:hAnsi="Abril Fatface"/>
        </w:rPr>
      </w:pPr>
      <w:bookmarkStart w:colFirst="0" w:colLast="0" w:name="_65uiwcwx0l4j" w:id="6"/>
      <w:bookmarkEnd w:id="6"/>
      <w:r w:rsidDel="00000000" w:rsidR="00000000" w:rsidRPr="00000000">
        <w:rPr>
          <w:rFonts w:ascii="Abril Fatface" w:cs="Abril Fatface" w:eastAsia="Abril Fatface" w:hAnsi="Abril Fatface"/>
          <w:rtl w:val="0"/>
        </w:rPr>
        <w:t xml:space="preserve">ALCANCE </w:t>
      </w:r>
    </w:p>
    <w:p w:rsidR="00000000" w:rsidDel="00000000" w:rsidP="00000000" w:rsidRDefault="00000000" w:rsidRPr="00000000" w14:paraId="00000064">
      <w:pPr>
        <w:jc w:val="both"/>
        <w:rPr>
          <w:b w:val="1"/>
        </w:rPr>
      </w:pPr>
      <w:r w:rsidDel="00000000" w:rsidR="00000000" w:rsidRPr="00000000">
        <w:rPr>
          <w:b w:val="1"/>
          <w:rtl w:val="0"/>
        </w:rPr>
        <w:t xml:space="preserve">Ámbito de atención:</w:t>
      </w:r>
    </w:p>
    <w:p w:rsidR="00000000" w:rsidDel="00000000" w:rsidP="00000000" w:rsidRDefault="00000000" w:rsidRPr="00000000" w14:paraId="00000065">
      <w:pPr>
        <w:jc w:val="both"/>
        <w:rPr/>
      </w:pPr>
      <w:r w:rsidDel="00000000" w:rsidR="00000000" w:rsidRPr="00000000">
        <w:rPr>
          <w:rtl w:val="0"/>
        </w:rPr>
        <w:t xml:space="preserve">El protocolo se aplicará en los servicios de consulta externa, urgencias, hospitalización y áreas quirúrgicas, abarcando especialidades como ginecología y obstetricia, medicina general, medicina familiar y servicios de apoyo diagnóstico (laboratorio clínico, imágenes diagnósticas). Asimismo, será de utilidad en escenarios de atención primaria en salud (APS), asegurando continuidad y articulación con niveles de mayor complejidad cuando se requiera.</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rPr>
      </w:pPr>
      <w:r w:rsidDel="00000000" w:rsidR="00000000" w:rsidRPr="00000000">
        <w:rPr>
          <w:b w:val="1"/>
          <w:rtl w:val="0"/>
        </w:rPr>
        <w:t xml:space="preserve">Profesionales usuarios:</w:t>
      </w:r>
    </w:p>
    <w:p w:rsidR="00000000" w:rsidDel="00000000" w:rsidP="00000000" w:rsidRDefault="00000000" w:rsidRPr="00000000" w14:paraId="00000068">
      <w:pPr>
        <w:jc w:val="both"/>
        <w:rPr/>
      </w:pPr>
      <w:r w:rsidDel="00000000" w:rsidR="00000000" w:rsidRPr="00000000">
        <w:rPr>
          <w:rtl w:val="0"/>
        </w:rPr>
        <w:t xml:space="preserve">Está dirigido a médicos generales, ginecólogos, médicos familiares, profesionales de urgencias, personal en formación, así como personal de enfermería y profesionales de apoyo que participan en la atención integral de pacientes con hemorragia uterina anormal.</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rPr>
      </w:pPr>
      <w:r w:rsidDel="00000000" w:rsidR="00000000" w:rsidRPr="00000000">
        <w:rPr>
          <w:b w:val="1"/>
          <w:rtl w:val="0"/>
        </w:rPr>
        <w:t xml:space="preserve">Población objetivo:</w:t>
      </w:r>
    </w:p>
    <w:p w:rsidR="00000000" w:rsidDel="00000000" w:rsidP="00000000" w:rsidRDefault="00000000" w:rsidRPr="00000000" w14:paraId="0000006B">
      <w:pPr>
        <w:jc w:val="both"/>
        <w:rPr/>
      </w:pPr>
      <w:r w:rsidDel="00000000" w:rsidR="00000000" w:rsidRPr="00000000">
        <w:rPr>
          <w:rtl w:val="0"/>
        </w:rPr>
        <w:t xml:space="preserve">El protocolo está orientado a mujeres en edad reproductiva, adolescentes y mujeres en etapa de transición menopáusica y posmenopáusica que consulten por hemorragia uterina anormal. Se tendrán en cuenta criterios específicos como edad, estado reproductivo, comorbilidades (p. ej., trastornos de la coagulación, patologías crónicas, uso de anticoagulantes), condiciones obstétricas diferenciales y factores de riesgo asociados.</w:t>
      </w:r>
      <w:r w:rsidDel="00000000" w:rsidR="00000000" w:rsidRPr="00000000">
        <w:rPr>
          <w:rtl w:val="0"/>
        </w:rPr>
      </w:r>
    </w:p>
    <w:p w:rsidR="00000000" w:rsidDel="00000000" w:rsidP="00000000" w:rsidRDefault="00000000" w:rsidRPr="00000000" w14:paraId="0000006C">
      <w:pPr>
        <w:pStyle w:val="Heading1"/>
        <w:jc w:val="both"/>
        <w:rPr>
          <w:rFonts w:ascii="Abril Fatface" w:cs="Abril Fatface" w:eastAsia="Abril Fatface" w:hAnsi="Abril Fatface"/>
        </w:rPr>
      </w:pPr>
      <w:bookmarkStart w:colFirst="0" w:colLast="0" w:name="_gzrlobm3nrra" w:id="7"/>
      <w:bookmarkEnd w:id="7"/>
      <w:r w:rsidDel="00000000" w:rsidR="00000000" w:rsidRPr="00000000">
        <w:rPr>
          <w:rFonts w:ascii="Abril Fatface" w:cs="Abril Fatface" w:eastAsia="Abril Fatface" w:hAnsi="Abril Fatface"/>
          <w:rtl w:val="0"/>
        </w:rPr>
        <w:t xml:space="preserve">METODOLOGÍA </w:t>
      </w:r>
    </w:p>
    <w:p w:rsidR="00000000" w:rsidDel="00000000" w:rsidP="00000000" w:rsidRDefault="00000000" w:rsidRPr="00000000" w14:paraId="0000006D">
      <w:pPr>
        <w:pStyle w:val="Heading2"/>
        <w:jc w:val="both"/>
        <w:rPr>
          <w:rFonts w:ascii="Lilita One" w:cs="Lilita One" w:eastAsia="Lilita One" w:hAnsi="Lilita One"/>
        </w:rPr>
      </w:pPr>
      <w:bookmarkStart w:colFirst="0" w:colLast="0" w:name="_4a3nnr2zzwib" w:id="8"/>
      <w:bookmarkEnd w:id="8"/>
      <w:r w:rsidDel="00000000" w:rsidR="00000000" w:rsidRPr="00000000">
        <w:rPr>
          <w:rFonts w:ascii="Lilita One" w:cs="Lilita One" w:eastAsia="Lilita One" w:hAnsi="Lilita One"/>
          <w:rtl w:val="0"/>
        </w:rPr>
        <w:t xml:space="preserve">PREGUNTA PICO </w:t>
      </w:r>
    </w:p>
    <w:p w:rsidR="00000000" w:rsidDel="00000000" w:rsidP="00000000" w:rsidRDefault="00000000" w:rsidRPr="00000000" w14:paraId="0000006E">
      <w:pPr>
        <w:jc w:val="both"/>
        <w:rPr/>
      </w:pPr>
      <w:r w:rsidDel="00000000" w:rsidR="00000000" w:rsidRPr="00000000">
        <w:rPr>
          <w:rtl w:val="0"/>
        </w:rPr>
        <w:t xml:space="preserve">En mujeres en edad reproductiva, perimenopáusicas y posmenopáusicas atendidas en los servicios de consulta externa, urgencias y hospitalización general del Hospital Regional de Moniquirá con diagnóstico de hemorragia uterina anormal (P), ¿la implementación de un protocolo clínico estandarizado para su abordaje diagnóstico y terapéutico (I), en comparación con la práctica clínica no protocolizada (C), mejora la precisión diagnóstica, la oportunidad terapéutica y la calidad integral de la atención en salud (O)?</w:t>
      </w:r>
      <w:r w:rsidDel="00000000" w:rsidR="00000000" w:rsidRPr="00000000">
        <w:rPr>
          <w:rtl w:val="0"/>
        </w:rPr>
      </w:r>
    </w:p>
    <w:p w:rsidR="00000000" w:rsidDel="00000000" w:rsidP="00000000" w:rsidRDefault="00000000" w:rsidRPr="00000000" w14:paraId="0000006F">
      <w:pPr>
        <w:pStyle w:val="Heading2"/>
        <w:jc w:val="both"/>
        <w:rPr>
          <w:rFonts w:ascii="Lilita One" w:cs="Lilita One" w:eastAsia="Lilita One" w:hAnsi="Lilita One"/>
        </w:rPr>
      </w:pPr>
      <w:bookmarkStart w:colFirst="0" w:colLast="0" w:name="_1dcoive610jr" w:id="9"/>
      <w:bookmarkEnd w:id="9"/>
      <w:r w:rsidDel="00000000" w:rsidR="00000000" w:rsidRPr="00000000">
        <w:rPr>
          <w:rFonts w:ascii="Lilita One" w:cs="Lilita One" w:eastAsia="Lilita One" w:hAnsi="Lilita One"/>
          <w:rtl w:val="0"/>
        </w:rPr>
        <w:t xml:space="preserve">BÚSQUEDA Y SELECCIÓN DE LITERATURA </w:t>
      </w:r>
    </w:p>
    <w:p w:rsidR="00000000" w:rsidDel="00000000" w:rsidP="00000000" w:rsidRDefault="00000000" w:rsidRPr="00000000" w14:paraId="00000070">
      <w:pPr>
        <w:jc w:val="both"/>
        <w:rPr/>
      </w:pPr>
      <w:r w:rsidDel="00000000" w:rsidR="00000000" w:rsidRPr="00000000">
        <w:rPr>
          <w:rtl w:val="0"/>
        </w:rPr>
        <w:t xml:space="preserve">Se realizó una búsqueda sistemática en las bases de datos PubMed/MEDLINE, Scopus, Embase y SciELO, complementada con el motor de búsqueda Google Scholar para literatura gris, con el fin de identificar publicaciones relacionadas con la hemorragia uterina anormal (HUA) en mujeres en edad reproductiva y postmenopáusicas. La estrategia de búsqueda combinó descriptores MeSH y palabras clave en inglés y español, incluyendo los términos: “abnormal uterine bleeding”, “endometrial pathology”, “gynecological hemorrhage”, “diagnosis”, “management”, “treatment”, junto con los equivalentes en español “hemorragia uterina anormal”, “patología endometrial” y “manejo”. Estos términos se enlazaron mediante operadores booleanos (AND, OR) para maximizar la sensibilidad y especificidad de la búsqueda.</w:t>
      </w:r>
    </w:p>
    <w:p w:rsidR="00000000" w:rsidDel="00000000" w:rsidP="00000000" w:rsidRDefault="00000000" w:rsidRPr="00000000" w14:paraId="00000071">
      <w:pPr>
        <w:pStyle w:val="Heading3"/>
        <w:keepNext w:val="0"/>
        <w:keepLines w:val="0"/>
        <w:spacing w:before="280" w:lineRule="auto"/>
        <w:jc w:val="both"/>
        <w:rPr>
          <w:b w:val="1"/>
          <w:color w:val="000000"/>
          <w:sz w:val="26"/>
          <w:szCs w:val="26"/>
        </w:rPr>
      </w:pPr>
      <w:bookmarkStart w:colFirst="0" w:colLast="0" w:name="_34e2tcw70ix5" w:id="10"/>
      <w:bookmarkEnd w:id="10"/>
      <w:r w:rsidDel="00000000" w:rsidR="00000000" w:rsidRPr="00000000">
        <w:rPr>
          <w:b w:val="1"/>
          <w:color w:val="000000"/>
          <w:sz w:val="26"/>
          <w:szCs w:val="26"/>
          <w:rtl w:val="0"/>
        </w:rPr>
        <w:t xml:space="preserve">Criterios de inclusión</w:t>
      </w:r>
    </w:p>
    <w:p w:rsidR="00000000" w:rsidDel="00000000" w:rsidP="00000000" w:rsidRDefault="00000000" w:rsidRPr="00000000" w14:paraId="00000072">
      <w:pPr>
        <w:numPr>
          <w:ilvl w:val="0"/>
          <w:numId w:val="17"/>
        </w:numPr>
        <w:spacing w:after="0" w:afterAutospacing="0" w:before="240" w:lineRule="auto"/>
        <w:ind w:left="720" w:hanging="360"/>
        <w:jc w:val="both"/>
      </w:pPr>
      <w:r w:rsidDel="00000000" w:rsidR="00000000" w:rsidRPr="00000000">
        <w:rPr>
          <w:rtl w:val="0"/>
        </w:rPr>
        <w:t xml:space="preserve">Mujeres en edad reproductiva y postmenopáusicas con diagnóstico o sospecha de hemorragia uterina anormal (HUA).</w:t>
      </w:r>
    </w:p>
    <w:p w:rsidR="00000000" w:rsidDel="00000000" w:rsidP="00000000" w:rsidRDefault="00000000" w:rsidRPr="00000000" w14:paraId="00000073">
      <w:pPr>
        <w:numPr>
          <w:ilvl w:val="0"/>
          <w:numId w:val="17"/>
        </w:numPr>
        <w:spacing w:after="0" w:afterAutospacing="0" w:before="0" w:beforeAutospacing="0" w:lineRule="auto"/>
        <w:ind w:left="720" w:hanging="360"/>
        <w:jc w:val="both"/>
      </w:pPr>
      <w:r w:rsidDel="00000000" w:rsidR="00000000" w:rsidRPr="00000000">
        <w:rPr>
          <w:rtl w:val="0"/>
        </w:rPr>
        <w:t xml:space="preserve">Estudios que evaluaran aspectos relacionados con criterios diagnósticos, manejo terapéutico, atención oportuna y calidad en la atención.</w:t>
      </w:r>
    </w:p>
    <w:p w:rsidR="00000000" w:rsidDel="00000000" w:rsidP="00000000" w:rsidRDefault="00000000" w:rsidRPr="00000000" w14:paraId="00000074">
      <w:pPr>
        <w:numPr>
          <w:ilvl w:val="0"/>
          <w:numId w:val="17"/>
        </w:numPr>
        <w:spacing w:after="0" w:afterAutospacing="0" w:before="0" w:beforeAutospacing="0" w:lineRule="auto"/>
        <w:ind w:left="720" w:hanging="360"/>
        <w:jc w:val="both"/>
      </w:pPr>
      <w:r w:rsidDel="00000000" w:rsidR="00000000" w:rsidRPr="00000000">
        <w:rPr>
          <w:rtl w:val="0"/>
        </w:rPr>
        <w:t xml:space="preserve">Artículos publicados entre </w:t>
      </w:r>
      <w:r w:rsidDel="00000000" w:rsidR="00000000" w:rsidRPr="00000000">
        <w:rPr>
          <w:b w:val="1"/>
          <w:rtl w:val="0"/>
        </w:rPr>
        <w:t xml:space="preserve">2013 y 2023</w:t>
      </w:r>
      <w:r w:rsidDel="00000000" w:rsidR="00000000" w:rsidRPr="00000000">
        <w:rPr>
          <w:rtl w:val="0"/>
        </w:rPr>
        <w:t xml:space="preserve">.</w:t>
      </w:r>
    </w:p>
    <w:p w:rsidR="00000000" w:rsidDel="00000000" w:rsidP="00000000" w:rsidRDefault="00000000" w:rsidRPr="00000000" w14:paraId="00000075">
      <w:pPr>
        <w:numPr>
          <w:ilvl w:val="0"/>
          <w:numId w:val="17"/>
        </w:numPr>
        <w:spacing w:after="0" w:afterAutospacing="0" w:before="0" w:beforeAutospacing="0" w:lineRule="auto"/>
        <w:ind w:left="720" w:hanging="360"/>
        <w:jc w:val="both"/>
      </w:pPr>
      <w:r w:rsidDel="00000000" w:rsidR="00000000" w:rsidRPr="00000000">
        <w:rPr>
          <w:rtl w:val="0"/>
        </w:rPr>
        <w:t xml:space="preserve">Publicaciones en </w:t>
      </w:r>
      <w:r w:rsidDel="00000000" w:rsidR="00000000" w:rsidRPr="00000000">
        <w:rPr>
          <w:b w:val="1"/>
          <w:rtl w:val="0"/>
        </w:rPr>
        <w:t xml:space="preserve">inglés y español</w:t>
      </w:r>
      <w:r w:rsidDel="00000000" w:rsidR="00000000" w:rsidRPr="00000000">
        <w:rPr>
          <w:rtl w:val="0"/>
        </w:rPr>
        <w:t xml:space="preserve">.</w:t>
      </w:r>
    </w:p>
    <w:p w:rsidR="00000000" w:rsidDel="00000000" w:rsidP="00000000" w:rsidRDefault="00000000" w:rsidRPr="00000000" w14:paraId="00000076">
      <w:pPr>
        <w:numPr>
          <w:ilvl w:val="0"/>
          <w:numId w:val="17"/>
        </w:numPr>
        <w:spacing w:after="240" w:before="0" w:beforeAutospacing="0" w:lineRule="auto"/>
        <w:ind w:left="720" w:hanging="360"/>
        <w:jc w:val="both"/>
      </w:pPr>
      <w:r w:rsidDel="00000000" w:rsidR="00000000" w:rsidRPr="00000000">
        <w:rPr>
          <w:rtl w:val="0"/>
        </w:rPr>
        <w:t xml:space="preserve">Tipos de estudios: ensayos clínicos, estudios observacionales (cohortes, casos y controles, estudios transversales), revisiones sistemáticas y guías de práctica clínica.</w:t>
      </w:r>
    </w:p>
    <w:p w:rsidR="00000000" w:rsidDel="00000000" w:rsidP="00000000" w:rsidRDefault="00000000" w:rsidRPr="00000000" w14:paraId="00000077">
      <w:pPr>
        <w:pStyle w:val="Heading3"/>
        <w:keepNext w:val="0"/>
        <w:keepLines w:val="0"/>
        <w:spacing w:before="280" w:lineRule="auto"/>
        <w:jc w:val="both"/>
        <w:rPr>
          <w:b w:val="1"/>
          <w:color w:val="000000"/>
          <w:sz w:val="26"/>
          <w:szCs w:val="26"/>
        </w:rPr>
      </w:pPr>
      <w:bookmarkStart w:colFirst="0" w:colLast="0" w:name="_459tgdc6p5ut" w:id="11"/>
      <w:bookmarkEnd w:id="11"/>
      <w:r w:rsidDel="00000000" w:rsidR="00000000" w:rsidRPr="00000000">
        <w:rPr>
          <w:b w:val="1"/>
          <w:color w:val="000000"/>
          <w:sz w:val="26"/>
          <w:szCs w:val="26"/>
          <w:rtl w:val="0"/>
        </w:rPr>
        <w:t xml:space="preserve">Criterios de exclusión</w:t>
      </w:r>
    </w:p>
    <w:p w:rsidR="00000000" w:rsidDel="00000000" w:rsidP="00000000" w:rsidRDefault="00000000" w:rsidRPr="00000000" w14:paraId="00000078">
      <w:pPr>
        <w:numPr>
          <w:ilvl w:val="0"/>
          <w:numId w:val="26"/>
        </w:numPr>
        <w:spacing w:after="0" w:afterAutospacing="0" w:before="240" w:lineRule="auto"/>
        <w:ind w:left="720" w:hanging="360"/>
        <w:jc w:val="both"/>
      </w:pPr>
      <w:r w:rsidDel="00000000" w:rsidR="00000000" w:rsidRPr="00000000">
        <w:rPr>
          <w:rtl w:val="0"/>
        </w:rPr>
        <w:t xml:space="preserve">Estudios en varones o población pediátrica/adolescente sin diagnóstico confirmado de HUA.</w:t>
      </w:r>
    </w:p>
    <w:p w:rsidR="00000000" w:rsidDel="00000000" w:rsidP="00000000" w:rsidRDefault="00000000" w:rsidRPr="00000000" w14:paraId="00000079">
      <w:pPr>
        <w:numPr>
          <w:ilvl w:val="0"/>
          <w:numId w:val="26"/>
        </w:numPr>
        <w:spacing w:after="0" w:afterAutospacing="0" w:before="0" w:beforeAutospacing="0" w:lineRule="auto"/>
        <w:ind w:left="720" w:hanging="360"/>
        <w:jc w:val="both"/>
      </w:pPr>
      <w:r w:rsidDel="00000000" w:rsidR="00000000" w:rsidRPr="00000000">
        <w:rPr>
          <w:rtl w:val="0"/>
        </w:rPr>
        <w:t xml:space="preserve">Artículos que abordaran exclusivamente condiciones ginecológicas diferentes a la hemorragia uterina anormal (p. ej., embarazo, aborto, trauma).</w:t>
      </w:r>
    </w:p>
    <w:p w:rsidR="00000000" w:rsidDel="00000000" w:rsidP="00000000" w:rsidRDefault="00000000" w:rsidRPr="00000000" w14:paraId="0000007A">
      <w:pPr>
        <w:numPr>
          <w:ilvl w:val="0"/>
          <w:numId w:val="26"/>
        </w:numPr>
        <w:spacing w:after="0" w:afterAutospacing="0" w:before="0" w:beforeAutospacing="0" w:lineRule="auto"/>
        <w:ind w:left="720" w:hanging="360"/>
        <w:jc w:val="both"/>
      </w:pPr>
      <w:r w:rsidDel="00000000" w:rsidR="00000000" w:rsidRPr="00000000">
        <w:rPr>
          <w:rtl w:val="0"/>
        </w:rPr>
        <w:t xml:space="preserve">Reportes de caso individuales, cartas al editor, editoriales y opiniones de expertos sin metodología científica explícita.</w:t>
      </w:r>
    </w:p>
    <w:p w:rsidR="00000000" w:rsidDel="00000000" w:rsidP="00000000" w:rsidRDefault="00000000" w:rsidRPr="00000000" w14:paraId="0000007B">
      <w:pPr>
        <w:numPr>
          <w:ilvl w:val="0"/>
          <w:numId w:val="26"/>
        </w:numPr>
        <w:spacing w:after="240" w:before="0" w:beforeAutospacing="0" w:lineRule="auto"/>
        <w:ind w:left="720" w:hanging="360"/>
        <w:jc w:val="both"/>
      </w:pPr>
      <w:r w:rsidDel="00000000" w:rsidR="00000000" w:rsidRPr="00000000">
        <w:rPr>
          <w:rtl w:val="0"/>
        </w:rPr>
        <w:t xml:space="preserve">Publicaciones duplicadas o con información incompleta.</w:t>
      </w:r>
      <w:r w:rsidDel="00000000" w:rsidR="00000000" w:rsidRPr="00000000">
        <w:rPr>
          <w:rtl w:val="0"/>
        </w:rPr>
      </w:r>
    </w:p>
    <w:p w:rsidR="00000000" w:rsidDel="00000000" w:rsidP="00000000" w:rsidRDefault="00000000" w:rsidRPr="00000000" w14:paraId="0000007C">
      <w:pPr>
        <w:pStyle w:val="Heading1"/>
        <w:jc w:val="both"/>
        <w:rPr>
          <w:rFonts w:ascii="Abril Fatface" w:cs="Abril Fatface" w:eastAsia="Abril Fatface" w:hAnsi="Abril Fatface"/>
        </w:rPr>
      </w:pPr>
      <w:bookmarkStart w:colFirst="0" w:colLast="0" w:name="_vjamnz8hbqvb" w:id="12"/>
      <w:bookmarkEnd w:id="12"/>
      <w:r w:rsidDel="00000000" w:rsidR="00000000" w:rsidRPr="00000000">
        <w:rPr>
          <w:rFonts w:ascii="Abril Fatface" w:cs="Abril Fatface" w:eastAsia="Abril Fatface" w:hAnsi="Abril Fatface"/>
          <w:rtl w:val="0"/>
        </w:rPr>
        <w:t xml:space="preserve">MARCO TEÓRICO Y DEFINICIONES </w:t>
      </w:r>
    </w:p>
    <w:p w:rsidR="00000000" w:rsidDel="00000000" w:rsidP="00000000" w:rsidRDefault="00000000" w:rsidRPr="00000000" w14:paraId="0000007D">
      <w:pPr>
        <w:pStyle w:val="Heading2"/>
        <w:jc w:val="both"/>
        <w:rPr>
          <w:rFonts w:ascii="Lilita One" w:cs="Lilita One" w:eastAsia="Lilita One" w:hAnsi="Lilita One"/>
        </w:rPr>
      </w:pPr>
      <w:bookmarkStart w:colFirst="0" w:colLast="0" w:name="_gt7yasbonlg6" w:id="13"/>
      <w:bookmarkEnd w:id="13"/>
      <w:r w:rsidDel="00000000" w:rsidR="00000000" w:rsidRPr="00000000">
        <w:rPr>
          <w:rFonts w:ascii="Lilita One" w:cs="Lilita One" w:eastAsia="Lilita One" w:hAnsi="Lilita One"/>
          <w:rtl w:val="0"/>
        </w:rPr>
        <w:t xml:space="preserve">DEFINICIÓN </w:t>
      </w:r>
    </w:p>
    <w:p w:rsidR="00000000" w:rsidDel="00000000" w:rsidP="00000000" w:rsidRDefault="00000000" w:rsidRPr="00000000" w14:paraId="0000007E">
      <w:pPr>
        <w:jc w:val="both"/>
        <w:rPr/>
      </w:pPr>
      <w:r w:rsidDel="00000000" w:rsidR="00000000" w:rsidRPr="00000000">
        <w:rPr>
          <w:sz w:val="24"/>
          <w:szCs w:val="24"/>
          <w:rtl w:val="0"/>
        </w:rPr>
        <w:t xml:space="preserve">La hemorragia uterina anormal se define como cualquier sangrado de origen uterino con alteración el volumen, duración, frecuencia o regularidad, en ausencia de embarazo; y, constituye un síntoma, no un diagnóstico </w:t>
      </w:r>
      <w:r w:rsidDel="00000000" w:rsidR="00000000" w:rsidRPr="00000000">
        <w:rPr>
          <w:vertAlign w:val="superscript"/>
          <w:rtl w:val="0"/>
        </w:rPr>
        <w:t xml:space="preserve"> 1-3</w:t>
      </w: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12" w:val="single"/>
              <w:left w:color="ffffff" w:space="0" w:sz="12" w:val="single"/>
              <w:bottom w:color="ffffff" w:space="0" w:sz="12" w:val="single"/>
              <w:right w:color="ffffff" w:space="0" w:sz="12"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PARÁMETRO </w:t>
            </w:r>
          </w:p>
        </w:tc>
        <w:tc>
          <w:tcPr>
            <w:tcBorders>
              <w:top w:color="ffffff" w:space="0" w:sz="12" w:val="single"/>
              <w:left w:color="ffffff" w:space="0" w:sz="12" w:val="single"/>
              <w:bottom w:color="ffffff" w:space="0" w:sz="12" w:val="single"/>
              <w:right w:color="ffffff" w:space="0" w:sz="12"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NORMAL </w:t>
            </w:r>
          </w:p>
        </w:tc>
        <w:tc>
          <w:tcPr>
            <w:tcBorders>
              <w:top w:color="ffffff" w:space="0" w:sz="12" w:val="single"/>
              <w:left w:color="ffffff" w:space="0" w:sz="12" w:val="single"/>
              <w:bottom w:color="ffffff" w:space="0" w:sz="12" w:val="single"/>
              <w:right w:color="ffffff" w:space="0" w:sz="12"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ANORMAL </w:t>
            </w:r>
          </w:p>
        </w:tc>
      </w:tr>
      <w:tr>
        <w:trPr>
          <w:cantSplit w:val="0"/>
          <w:tblHeader w:val="0"/>
        </w:trPr>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Frecuencia</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24-38 días </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Ausente: amenorrea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Infrecuente: &gt; 38 días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Frecuente: &lt; 24 días</w:t>
            </w:r>
          </w:p>
        </w:tc>
      </w:tr>
      <w:tr>
        <w:trPr>
          <w:cantSplit w:val="0"/>
          <w:tblHeader w:val="0"/>
        </w:trPr>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 </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4.5 - 8 días</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Prolongado: &gt; 8 días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Corto: &lt;4.5 días </w:t>
            </w:r>
          </w:p>
        </w:tc>
      </w:tr>
      <w:tr>
        <w:trPr>
          <w:cantSplit w:val="0"/>
          <w:tblHeader w:val="0"/>
        </w:trPr>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Regularidad </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Regular: entre ciclo más corto y más largo, variación  ≤ 9 días</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Irregular: variación entre ciclos ≥ 10 días</w:t>
            </w:r>
          </w:p>
        </w:tc>
      </w:tr>
      <w:tr>
        <w:trPr>
          <w:cantSplit w:val="0"/>
          <w:tblHeader w:val="0"/>
        </w:trPr>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Volumen </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5-80 ml</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Abundante: &gt; 80 ml</w:t>
            </w:r>
          </w:p>
        </w:tc>
      </w:tr>
      <w:tr>
        <w:trPr>
          <w:cantSplit w:val="0"/>
          <w:tblHeader w:val="0"/>
        </w:trPr>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Sangrado Intermenstrual (entre menstruaciones cíclicas) </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Ausente</w:t>
            </w:r>
          </w:p>
        </w:tc>
        <w:tc>
          <w:tcPr>
            <w:tcBorders>
              <w:top w:color="ffffff" w:space="0" w:sz="12" w:val="single"/>
              <w:left w:color="ffffff" w:space="0" w:sz="12" w:val="single"/>
              <w:bottom w:color="ffffff" w:space="0" w:sz="12" w:val="single"/>
              <w:right w:color="ffffff" w:space="0" w:sz="12" w:val="single"/>
            </w:tcBorders>
            <w:shd w:fill="ffe9d2"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Presente </w:t>
            </w:r>
          </w:p>
        </w:tc>
      </w:tr>
    </w:tbl>
    <w:p w:rsidR="00000000" w:rsidDel="00000000" w:rsidP="00000000" w:rsidRDefault="00000000" w:rsidRPr="00000000" w14:paraId="00000094">
      <w:pPr>
        <w:jc w:val="both"/>
        <w:rPr>
          <w:i w:val="1"/>
          <w:sz w:val="24"/>
          <w:szCs w:val="24"/>
        </w:rPr>
      </w:pPr>
      <w:r w:rsidDel="00000000" w:rsidR="00000000" w:rsidRPr="00000000">
        <w:rPr>
          <w:i w:val="1"/>
          <w:sz w:val="24"/>
          <w:szCs w:val="24"/>
          <w:rtl w:val="0"/>
        </w:rPr>
        <w:t xml:space="preserve">Tabla  1.  Características  del  ciclo  menstrual  normal vs anormal. Adaptado de Munro  M  et  al,  The  two  FIGO  systems  for  normal  and  abnormal uterine bleeding symptoms and classification of causes of abnormal uterine bleeding in the reproductive years: 2018 revisions. Int J Gynecol Obstet 2018; 143: 393–408</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En la actualidad, no se recomienda el uso de términos imprecisos como menorragia, metrorragia y sangrado uterino disfuncional </w:t>
      </w:r>
      <w:r w:rsidDel="00000000" w:rsidR="00000000" w:rsidRPr="00000000">
        <w:rPr>
          <w:sz w:val="24"/>
          <w:szCs w:val="24"/>
          <w:vertAlign w:val="superscript"/>
          <w:rtl w:val="0"/>
        </w:rPr>
        <w:t xml:space="preserve">2-4</w:t>
      </w:r>
      <w:r w:rsidDel="00000000" w:rsidR="00000000" w:rsidRPr="00000000">
        <w:rPr>
          <w:rtl w:val="0"/>
        </w:rPr>
      </w:r>
    </w:p>
    <w:p w:rsidR="00000000" w:rsidDel="00000000" w:rsidP="00000000" w:rsidRDefault="00000000" w:rsidRPr="00000000" w14:paraId="00000097">
      <w:pPr>
        <w:pStyle w:val="Heading2"/>
        <w:jc w:val="both"/>
        <w:rPr>
          <w:rFonts w:ascii="Lilita One" w:cs="Lilita One" w:eastAsia="Lilita One" w:hAnsi="Lilita One"/>
        </w:rPr>
      </w:pPr>
      <w:bookmarkStart w:colFirst="0" w:colLast="0" w:name="_2pyuovsa1yaf" w:id="14"/>
      <w:bookmarkEnd w:id="14"/>
      <w:r w:rsidDel="00000000" w:rsidR="00000000" w:rsidRPr="00000000">
        <w:rPr>
          <w:rFonts w:ascii="Lilita One" w:cs="Lilita One" w:eastAsia="Lilita One" w:hAnsi="Lilita One"/>
          <w:rtl w:val="0"/>
        </w:rPr>
        <w:t xml:space="preserve">EPIDEMIOLOGÍA </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La hemorragia uterina anormal,  es una condición ginecológica frecuente que afecta a un amplio porcentaje de mujeres en edad reproductiva. Su prevalencia global se estima entre el 36% y el 38%, aunque esta puede variar significativamente dependiendo de los métodos utilizados para cuantificar la pérdida hemática menstrual: mientras las mediciones cuantitativas reportan una prevalencia de hasta el 14%, las evaluaciones cualitativas la sitúan incluso en el 52%</w:t>
      </w:r>
      <w:r w:rsidDel="00000000" w:rsidR="00000000" w:rsidRPr="00000000">
        <w:rPr>
          <w:sz w:val="24"/>
          <w:szCs w:val="24"/>
          <w:vertAlign w:val="superscript"/>
          <w:rtl w:val="0"/>
        </w:rPr>
        <w:t xml:space="preserve">5</w:t>
      </w:r>
      <w:r w:rsidDel="00000000" w:rsidR="00000000" w:rsidRPr="00000000">
        <w:rPr>
          <w:sz w:val="24"/>
          <w:szCs w:val="24"/>
          <w:rtl w:val="0"/>
        </w:rPr>
        <w:t xml:space="preserve">. Estudios internacionales estiman que entre el 10% y el 30% de las mujeres en edad fértil experimentan algún grado de HUA, que puede presentarse de forma aislada o en combinación con otros síntomas ginecológicos </w:t>
      </w:r>
      <w:r w:rsidDel="00000000" w:rsidR="00000000" w:rsidRPr="00000000">
        <w:rPr>
          <w:sz w:val="24"/>
          <w:szCs w:val="24"/>
          <w:vertAlign w:val="superscript"/>
          <w:rtl w:val="0"/>
        </w:rPr>
        <w:t xml:space="preserve">5,6</w:t>
      </w:r>
      <w:r w:rsidDel="00000000" w:rsidR="00000000" w:rsidRPr="00000000">
        <w:rPr>
          <w:sz w:val="24"/>
          <w:szCs w:val="24"/>
          <w:rtl w:val="0"/>
        </w:rPr>
        <w:t xml:space="preserve">. Esta alteración no solo representa un desafío clínico, sino que también interfiere notablemente con la calidad de vida, afectando el desempeño laboral, familiar y social, y asociándose a complicaciones médicas como anemia, fatiga crónica, deterioro cognitivo y trastornos emocionales </w:t>
      </w:r>
      <w:r w:rsidDel="00000000" w:rsidR="00000000" w:rsidRPr="00000000">
        <w:rPr>
          <w:sz w:val="24"/>
          <w:szCs w:val="24"/>
          <w:vertAlign w:val="superscript"/>
          <w:rtl w:val="0"/>
        </w:rPr>
        <w:t xml:space="preserve">4-6</w:t>
      </w:r>
      <w:r w:rsidDel="00000000" w:rsidR="00000000" w:rsidRPr="00000000">
        <w:rPr>
          <w:sz w:val="24"/>
          <w:szCs w:val="24"/>
          <w:rtl w:val="0"/>
        </w:rPr>
        <w:t xml:space="preserve">.</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En cuanto al HUA de presentación aguda, su prevalencia es aún más variable, oscilando entre el 4% y el 52% según diversos reportes a nivel mundial. Un estudio europeo realizado en 2012, que incluyó a 4.506 mujeres, encontró que el 27% de ellas había presentado dos o más síntomas de sangrado menstrual abundante en el año previo, y, de forma preocupante, el 46% de estas mujeres nunca había consultado al médico, evidenciando una significativa brecha de atención y subdiagnóstico. En el contexto colombiano, los datos estadísticos sobre la prevalencia de la HUA son limitados; sin embargo, la Organización Mundial de la Salud (OMS) reportó una prevalencia aproximada del 27% en mujeres colombianas en edad fértil. A pesar de esta alta carga de enfermedad, en Colombia no se cuenta actualmente con guías de práctica clínica nacionales que orienten el manejo diagnóstico y terapéutico de la HUA, y persiste el desconocimiento sobre la variabilidad existente en su abordaje clínico, tanto en el primer nivel de atención como en el ámbito especializado </w:t>
      </w:r>
      <w:r w:rsidDel="00000000" w:rsidR="00000000" w:rsidRPr="00000000">
        <w:rPr>
          <w:sz w:val="24"/>
          <w:szCs w:val="24"/>
          <w:vertAlign w:val="superscript"/>
          <w:rtl w:val="0"/>
        </w:rPr>
        <w:t xml:space="preserve">6</w:t>
      </w:r>
      <w:r w:rsidDel="00000000" w:rsidR="00000000" w:rsidRPr="00000000">
        <w:rPr>
          <w:sz w:val="24"/>
          <w:szCs w:val="24"/>
          <w:rtl w:val="0"/>
        </w:rPr>
        <w:t xml:space="preserve">.</w:t>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El rol del médico en urgencias o consulta externa es descartar entidades clínicas que pongan en peligro la vida y evitar complicaciones a través de un abordaje diagnóstico y terapéutico que permita estabilizar y establecer un plan de manejo oportuno. </w:t>
      </w:r>
    </w:p>
    <w:p w:rsidR="00000000" w:rsidDel="00000000" w:rsidP="00000000" w:rsidRDefault="00000000" w:rsidRPr="00000000" w14:paraId="0000009B">
      <w:pPr>
        <w:pStyle w:val="Heading2"/>
        <w:jc w:val="both"/>
        <w:rPr>
          <w:rFonts w:ascii="Lilita One" w:cs="Lilita One" w:eastAsia="Lilita One" w:hAnsi="Lilita One"/>
        </w:rPr>
      </w:pPr>
      <w:bookmarkStart w:colFirst="0" w:colLast="0" w:name="_qa1612i3xzu0" w:id="15"/>
      <w:bookmarkEnd w:id="15"/>
      <w:r w:rsidDel="00000000" w:rsidR="00000000" w:rsidRPr="00000000">
        <w:rPr>
          <w:rFonts w:ascii="Lilita One" w:cs="Lilita One" w:eastAsia="Lilita One" w:hAnsi="Lilita One"/>
          <w:rtl w:val="0"/>
        </w:rPr>
        <w:t xml:space="preserve">CLASIFICACIÓN </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numPr>
          <w:ilvl w:val="0"/>
          <w:numId w:val="36"/>
        </w:numPr>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HUA aguda: sangrado excesivo, profuso, que empapa una toalla sanitaria o un tampón cada 1-2 h y continúa por ≥ 2 horas; suficiente para requerir intervenciones urgentes</w:t>
      </w:r>
      <w:r w:rsidDel="00000000" w:rsidR="00000000" w:rsidRPr="00000000">
        <w:rPr>
          <w:sz w:val="24"/>
          <w:szCs w:val="24"/>
          <w:vertAlign w:val="superscript"/>
          <w:rtl w:val="0"/>
        </w:rPr>
        <w:t xml:space="preserve"> 2,4</w:t>
      </w:r>
      <w:r w:rsidDel="00000000" w:rsidR="00000000" w:rsidRPr="00000000">
        <w:rPr>
          <w:sz w:val="24"/>
          <w:szCs w:val="24"/>
          <w:rtl w:val="0"/>
        </w:rPr>
        <w:t xml:space="preserve"> </w:t>
      </w:r>
    </w:p>
    <w:p w:rsidR="00000000" w:rsidDel="00000000" w:rsidP="00000000" w:rsidRDefault="00000000" w:rsidRPr="00000000" w14:paraId="0000009E">
      <w:pPr>
        <w:numPr>
          <w:ilvl w:val="0"/>
          <w:numId w:val="36"/>
        </w:numPr>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HUA crónica: sangrado uterino anormal  ≥ 6 meses </w:t>
      </w:r>
      <w:r w:rsidDel="00000000" w:rsidR="00000000" w:rsidRPr="00000000">
        <w:rPr>
          <w:sz w:val="24"/>
          <w:szCs w:val="24"/>
          <w:vertAlign w:val="superscript"/>
          <w:rtl w:val="0"/>
        </w:rPr>
        <w:t xml:space="preserve">2,4</w:t>
      </w:r>
      <w:r w:rsidDel="00000000" w:rsidR="00000000" w:rsidRPr="00000000">
        <w:rPr>
          <w:sz w:val="24"/>
          <w:szCs w:val="24"/>
          <w:rtl w:val="0"/>
        </w:rPr>
        <w:t xml:space="preserve"> </w:t>
      </w:r>
    </w:p>
    <w:p w:rsidR="00000000" w:rsidDel="00000000" w:rsidP="00000000" w:rsidRDefault="00000000" w:rsidRPr="00000000" w14:paraId="0000009F">
      <w:pPr>
        <w:pStyle w:val="Heading2"/>
        <w:jc w:val="both"/>
        <w:rPr>
          <w:rFonts w:ascii="Lilita One" w:cs="Lilita One" w:eastAsia="Lilita One" w:hAnsi="Lilita One"/>
        </w:rPr>
      </w:pPr>
      <w:bookmarkStart w:colFirst="0" w:colLast="0" w:name="_z1izjq9x1xtk" w:id="16"/>
      <w:bookmarkEnd w:id="16"/>
      <w:r w:rsidDel="00000000" w:rsidR="00000000" w:rsidRPr="00000000">
        <w:rPr>
          <w:rFonts w:ascii="Lilita One" w:cs="Lilita One" w:eastAsia="Lilita One" w:hAnsi="Lilita One"/>
          <w:rtl w:val="0"/>
        </w:rPr>
        <w:t xml:space="preserve">ETIOLOGÍA </w:t>
      </w:r>
    </w:p>
    <w:p w:rsidR="00000000" w:rsidDel="00000000" w:rsidP="00000000" w:rsidRDefault="00000000" w:rsidRPr="00000000" w14:paraId="000000A0">
      <w:pPr>
        <w:pStyle w:val="Heading3"/>
        <w:jc w:val="both"/>
        <w:rPr>
          <w:b w:val="1"/>
          <w:sz w:val="30"/>
          <w:szCs w:val="30"/>
        </w:rPr>
      </w:pPr>
      <w:bookmarkStart w:colFirst="0" w:colLast="0" w:name="_smom3fkv9geu" w:id="17"/>
      <w:bookmarkEnd w:id="17"/>
      <w:r w:rsidDel="00000000" w:rsidR="00000000" w:rsidRPr="00000000">
        <w:rPr>
          <w:b w:val="1"/>
          <w:sz w:val="30"/>
          <w:szCs w:val="30"/>
          <w:rtl w:val="0"/>
        </w:rPr>
        <w:t xml:space="preserve">Grupos etareos </w:t>
      </w:r>
    </w:p>
    <w:p w:rsidR="00000000" w:rsidDel="00000000" w:rsidP="00000000" w:rsidRDefault="00000000" w:rsidRPr="00000000" w14:paraId="000000A1">
      <w:pPr>
        <w:numPr>
          <w:ilvl w:val="0"/>
          <w:numId w:val="1"/>
        </w:numPr>
        <w:ind w:left="720" w:hanging="360"/>
        <w:jc w:val="both"/>
        <w:rPr>
          <w:sz w:val="24"/>
          <w:szCs w:val="24"/>
        </w:rPr>
      </w:pPr>
      <w:r w:rsidDel="00000000" w:rsidR="00000000" w:rsidRPr="00000000">
        <w:rPr>
          <w:sz w:val="24"/>
          <w:szCs w:val="24"/>
          <w:rtl w:val="0"/>
        </w:rPr>
        <w:t xml:space="preserve">12-18 años: En adolescentes,  la causa más común es la inmadurez del eje hipotálamo-hipófisis-ovario que produce un estado de anovulación persistente. Los primeros 3 años del inicio de la vida menstrual  se caracterizan por sangrados irregulares, y ocasionalmente abundantes. Una etiología importante  en  este  grupo  son  las  coagulopatías,  hasta en  el  20%  la  causa  subyacente  es  la  enfermedad  de  Von  Willebrand. La púrpura trombocitopénica idiopática también puede presentarse con HUA </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24"/>
          <w:szCs w:val="24"/>
        </w:rPr>
      </w:pPr>
      <w:r w:rsidDel="00000000" w:rsidR="00000000" w:rsidRPr="00000000">
        <w:rPr>
          <w:sz w:val="24"/>
          <w:szCs w:val="24"/>
          <w:rtl w:val="0"/>
        </w:rPr>
        <w:t xml:space="preserve">19-39  años:  Utilizar  el  sistema  propuesto  por  la  FIGO  en  2011  para  la  clasificación  de  HUA  en  mujeres  en edad  reproductiva con el acrónimo PALM-COEIN. Donde PALM (pólipo, adenomiosis, leiomioma, malignidad e hiperplasia) son estructurales y las más frecuentes en este grupo etáreo; y, COEIN (coagulopatía, disfunción ovulatoria, endometrial, iatrogénica, no clasificada de otra manera) son no estructurales. Estas etiologías no son mutuamente excluyentes, y las pacientes pueden tener más de una causa </w:t>
      </w:r>
      <w:r w:rsidDel="00000000" w:rsidR="00000000" w:rsidRPr="00000000">
        <w:rPr>
          <w:sz w:val="24"/>
          <w:szCs w:val="24"/>
          <w:vertAlign w:val="superscript"/>
          <w:rtl w:val="0"/>
        </w:rPr>
        <w:t xml:space="preserve">1-4,7</w:t>
      </w:r>
      <w:r w:rsidDel="00000000" w:rsidR="00000000" w:rsidRPr="00000000">
        <w:rPr>
          <w:rtl w:val="0"/>
        </w:rPr>
      </w:r>
    </w:p>
    <w:p w:rsidR="00000000" w:rsidDel="00000000" w:rsidP="00000000" w:rsidRDefault="00000000" w:rsidRPr="00000000" w14:paraId="000000A3">
      <w:pPr>
        <w:numPr>
          <w:ilvl w:val="0"/>
          <w:numId w:val="1"/>
        </w:numPr>
        <w:ind w:left="720" w:hanging="360"/>
        <w:jc w:val="both"/>
        <w:rPr>
          <w:sz w:val="24"/>
          <w:szCs w:val="24"/>
        </w:rPr>
      </w:pPr>
      <w:r w:rsidDel="00000000" w:rsidR="00000000" w:rsidRPr="00000000">
        <w:rPr>
          <w:sz w:val="24"/>
          <w:szCs w:val="24"/>
          <w:rtl w:val="0"/>
        </w:rPr>
        <w:t xml:space="preserve">Perimenopáusicas</w:t>
      </w:r>
      <w:r w:rsidDel="00000000" w:rsidR="00000000" w:rsidRPr="00000000">
        <w:rPr>
          <w:sz w:val="24"/>
          <w:szCs w:val="24"/>
          <w:rtl w:val="0"/>
        </w:rPr>
        <w:t xml:space="preserve">  y  posmenopáusicas:  La  causa  más  común es la atrofia endometrial. Sin embargo, la mayor preocupación es el cáncer de endometrio. Estas pacientes siempre requieren biopsia endometrial </w:t>
      </w:r>
      <w:r w:rsidDel="00000000" w:rsidR="00000000" w:rsidRPr="00000000">
        <w:rPr>
          <w:sz w:val="24"/>
          <w:szCs w:val="24"/>
          <w:vertAlign w:val="superscript"/>
          <w:rtl w:val="0"/>
        </w:rPr>
        <w:t xml:space="preserve">3,4</w:t>
      </w:r>
    </w:p>
    <w:p w:rsidR="00000000" w:rsidDel="00000000" w:rsidP="00000000" w:rsidRDefault="00000000" w:rsidRPr="00000000" w14:paraId="000000A4">
      <w:pPr>
        <w:pStyle w:val="Heading2"/>
        <w:jc w:val="both"/>
        <w:rPr>
          <w:rFonts w:ascii="Acme" w:cs="Acme" w:eastAsia="Acme" w:hAnsi="Acme"/>
          <w:b w:val="1"/>
          <w:color w:val="6d9eeb"/>
        </w:rPr>
      </w:pPr>
      <w:bookmarkStart w:colFirst="0" w:colLast="0" w:name="_1cbudp4qeug9" w:id="18"/>
      <w:bookmarkEnd w:id="18"/>
      <w:r w:rsidDel="00000000" w:rsidR="00000000" w:rsidRPr="00000000">
        <w:rPr>
          <w:rFonts w:ascii="Acme" w:cs="Acme" w:eastAsia="Acme" w:hAnsi="Acme"/>
          <w:b w:val="1"/>
          <w:color w:val="6d9eeb"/>
          <w:rtl w:val="0"/>
        </w:rPr>
        <w:t xml:space="preserve">PALM - COEIN</w:t>
      </w:r>
    </w:p>
    <w:p w:rsidR="00000000" w:rsidDel="00000000" w:rsidP="00000000" w:rsidRDefault="00000000" w:rsidRPr="00000000" w14:paraId="000000A5">
      <w:pPr>
        <w:jc w:val="center"/>
        <w:rPr/>
      </w:pPr>
      <w:r w:rsidDel="00000000" w:rsidR="00000000" w:rsidRPr="00000000">
        <w:rPr/>
        <w:drawing>
          <wp:inline distB="114300" distT="114300" distL="114300" distR="114300">
            <wp:extent cx="4506577" cy="2971799"/>
            <wp:effectExtent b="0" l="0" r="0" t="0"/>
            <wp:docPr id="3" name="image4.png"/>
            <a:graphic>
              <a:graphicData uri="http://schemas.openxmlformats.org/drawingml/2006/picture">
                <pic:pic>
                  <pic:nvPicPr>
                    <pic:cNvPr id="0" name="image4.png"/>
                    <pic:cNvPicPr preferRelativeResize="0"/>
                  </pic:nvPicPr>
                  <pic:blipFill>
                    <a:blip r:embed="rId7"/>
                    <a:srcRect b="0" l="0" r="0" t="11904"/>
                    <a:stretch>
                      <a:fillRect/>
                    </a:stretch>
                  </pic:blipFill>
                  <pic:spPr>
                    <a:xfrm>
                      <a:off x="0" y="0"/>
                      <a:ext cx="4506577" cy="297179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sz w:val="24"/>
          <w:szCs w:val="24"/>
        </w:rPr>
      </w:pPr>
      <w:r w:rsidDel="00000000" w:rsidR="00000000" w:rsidRPr="00000000">
        <w:rPr>
          <w:i w:val="1"/>
          <w:sz w:val="24"/>
          <w:szCs w:val="24"/>
          <w:rtl w:val="0"/>
        </w:rPr>
        <w:t xml:space="preserve">Figura 1. Acrónimo PALM-COEIN para etiología de HUA, donde PALM son causas estructurales, y COEIN son causas no estructurales.  Tomado de: Munro  M  et  al,  The  two  FIGO  systems  for  normal  and  abnormal uterine bleeding symptoms and classification of causes of abnormal uterine bleeding in the reproductive years: 2018 revisions. Int J Gynecol Obstet 2018; 143: 393–408</w:t>
      </w:r>
      <w:r w:rsidDel="00000000" w:rsidR="00000000" w:rsidRPr="00000000">
        <w:rPr>
          <w:rtl w:val="0"/>
        </w:rPr>
      </w:r>
    </w:p>
    <w:p w:rsidR="00000000" w:rsidDel="00000000" w:rsidP="00000000" w:rsidRDefault="00000000" w:rsidRPr="00000000" w14:paraId="000000A7">
      <w:pPr>
        <w:pStyle w:val="Heading3"/>
        <w:jc w:val="both"/>
        <w:rPr>
          <w:b w:val="1"/>
          <w:color w:val="1c4587"/>
          <w:sz w:val="30"/>
          <w:szCs w:val="30"/>
        </w:rPr>
      </w:pPr>
      <w:bookmarkStart w:colFirst="0" w:colLast="0" w:name="_2r8j8bro50p3" w:id="19"/>
      <w:bookmarkEnd w:id="19"/>
      <w:r w:rsidDel="00000000" w:rsidR="00000000" w:rsidRPr="00000000">
        <w:rPr>
          <w:b w:val="1"/>
          <w:color w:val="1c4587"/>
          <w:sz w:val="30"/>
          <w:szCs w:val="30"/>
          <w:rtl w:val="0"/>
        </w:rPr>
        <w:t xml:space="preserve">PÓLIPOS: </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Los pólipos endometriales son una de las causas estructurales más frecuentes de hemorragia uterina anormal. Su prevalencia a lo largo de la vida oscila entre el 7,8% y el 35%, con una incidencia que aumenta progresivamente con la edad. Son más prevalentes en mujeres con obesidad, síndrome metabólico, dislipidemias y en aquellas en tratamiento con tamoxifeno, aunque en este último grupo no se ha establecido relación con la duración del tratamiento ni con el tamaño del pólipo  </w:t>
      </w:r>
      <w:r w:rsidDel="00000000" w:rsidR="00000000" w:rsidRPr="00000000">
        <w:rPr>
          <w:sz w:val="24"/>
          <w:szCs w:val="24"/>
          <w:vertAlign w:val="superscript"/>
          <w:rtl w:val="0"/>
        </w:rPr>
        <w:t xml:space="preserve">2-4,7</w:t>
      </w:r>
      <w:r w:rsidDel="00000000" w:rsidR="00000000" w:rsidRPr="00000000">
        <w:rPr>
          <w:sz w:val="24"/>
          <w:szCs w:val="24"/>
          <w:rtl w:val="0"/>
        </w:rPr>
        <w:t xml:space="preserve">. </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Desde el punto de vista histológico, los pólipos son proliferaciones focales del endometrio que incluyen cantidades variables de glándulas, estroma y vasos sanguíneos. El componente glandular siempre presenta cierto grado de desorganización arquitectural, que puede ser funcional o atrófico según la edad de la paciente. Son crecimientos hiperplásicos localizados de glándulas endometriales y estroma alrededor de un núcleo vascular que forma una proyección a menudo desde el fondo uterino y se extiende hacia el orificio interno </w:t>
      </w:r>
      <w:r w:rsidDel="00000000" w:rsidR="00000000" w:rsidRPr="00000000">
        <w:rPr>
          <w:sz w:val="24"/>
          <w:szCs w:val="24"/>
          <w:vertAlign w:val="superscript"/>
          <w:rtl w:val="0"/>
        </w:rPr>
        <w:t xml:space="preserve">2-4,7</w:t>
      </w:r>
      <w:r w:rsidDel="00000000" w:rsidR="00000000" w:rsidRPr="00000000">
        <w:rPr>
          <w:sz w:val="24"/>
          <w:szCs w:val="24"/>
          <w:rtl w:val="0"/>
        </w:rPr>
        <w:t xml:space="preserve">.</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La causa exacta de los pólipos es desconocida, pero las posibles etiologías incluyen factores genéticos, bioquímicos y hormonales. Los factores de riesgo para desarrollar pólipos incluyen la edad, el uso de tamoxifeno, el aumento de los niveles de estrógeno endógeno o exógeno, la obesidad y el síndrome de Lynch (cáncer colorrectal hereditario sin poliposis). La presencia de pólipos múltiples o la coexistencia con endometrosis también pueden incrementar el riesgo de recurrencia </w:t>
      </w:r>
      <w:r w:rsidDel="00000000" w:rsidR="00000000" w:rsidRPr="00000000">
        <w:rPr>
          <w:sz w:val="24"/>
          <w:szCs w:val="24"/>
          <w:vertAlign w:val="superscript"/>
          <w:rtl w:val="0"/>
        </w:rPr>
        <w:t xml:space="preserve">2-4,7</w:t>
      </w:r>
      <w:r w:rsidDel="00000000" w:rsidR="00000000" w:rsidRPr="00000000">
        <w:rPr>
          <w:sz w:val="24"/>
          <w:szCs w:val="24"/>
          <w:rtl w:val="0"/>
        </w:rPr>
        <w:t xml:space="preserve">.</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Según su aspecto endoscópico, se clasifican en tres tipos </w:t>
      </w:r>
      <w:r w:rsidDel="00000000" w:rsidR="00000000" w:rsidRPr="00000000">
        <w:rPr>
          <w:sz w:val="24"/>
          <w:szCs w:val="24"/>
          <w:vertAlign w:val="superscript"/>
          <w:rtl w:val="0"/>
        </w:rPr>
        <w:t xml:space="preserve">4</w:t>
      </w:r>
      <w:r w:rsidDel="00000000" w:rsidR="00000000" w:rsidRPr="00000000">
        <w:rPr>
          <w:sz w:val="24"/>
          <w:szCs w:val="24"/>
          <w:rtl w:val="0"/>
        </w:rPr>
        <w:t xml:space="preserve">:</w:t>
      </w:r>
    </w:p>
    <w:p w:rsidR="00000000" w:rsidDel="00000000" w:rsidP="00000000" w:rsidRDefault="00000000" w:rsidRPr="00000000" w14:paraId="000000AC">
      <w:pPr>
        <w:numPr>
          <w:ilvl w:val="0"/>
          <w:numId w:val="38"/>
        </w:numPr>
        <w:spacing w:after="0" w:afterAutospacing="0" w:before="240" w:lineRule="auto"/>
        <w:ind w:left="720" w:hanging="360"/>
        <w:jc w:val="both"/>
        <w:rPr>
          <w:sz w:val="24"/>
          <w:szCs w:val="24"/>
        </w:rPr>
      </w:pPr>
      <w:r w:rsidDel="00000000" w:rsidR="00000000" w:rsidRPr="00000000">
        <w:rPr>
          <w:b w:val="1"/>
          <w:sz w:val="24"/>
          <w:szCs w:val="24"/>
          <w:rtl w:val="0"/>
        </w:rPr>
        <w:t xml:space="preserve">Adenomatosos</w:t>
      </w:r>
      <w:r w:rsidDel="00000000" w:rsidR="00000000" w:rsidRPr="00000000">
        <w:rPr>
          <w:sz w:val="24"/>
          <w:szCs w:val="24"/>
          <w:rtl w:val="0"/>
        </w:rPr>
        <w:t xml:space="preserve">: comunes en edad fértil; de superficie rosada, lisa y blanda, con aspecto similar al endometrio normal.</w:t>
      </w:r>
    </w:p>
    <w:p w:rsidR="00000000" w:rsidDel="00000000" w:rsidP="00000000" w:rsidRDefault="00000000" w:rsidRPr="00000000" w14:paraId="000000AD">
      <w:pPr>
        <w:numPr>
          <w:ilvl w:val="0"/>
          <w:numId w:val="3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Quísticos</w:t>
      </w:r>
      <w:r w:rsidDel="00000000" w:rsidR="00000000" w:rsidRPr="00000000">
        <w:rPr>
          <w:sz w:val="24"/>
          <w:szCs w:val="24"/>
          <w:rtl w:val="0"/>
        </w:rPr>
        <w:t xml:space="preserve">: más frecuentes en la posmenopausia; de superficie lisa, color blanquecino-azulado por su contenido mucoso y con vascularización fina.</w:t>
      </w:r>
    </w:p>
    <w:p w:rsidR="00000000" w:rsidDel="00000000" w:rsidP="00000000" w:rsidRDefault="00000000" w:rsidRPr="00000000" w14:paraId="000000AE">
      <w:pPr>
        <w:numPr>
          <w:ilvl w:val="0"/>
          <w:numId w:val="38"/>
        </w:numPr>
        <w:spacing w:after="240" w:before="0" w:beforeAutospacing="0" w:lineRule="auto"/>
        <w:ind w:left="720" w:hanging="360"/>
        <w:jc w:val="both"/>
        <w:rPr>
          <w:sz w:val="24"/>
          <w:szCs w:val="24"/>
        </w:rPr>
      </w:pPr>
      <w:r w:rsidDel="00000000" w:rsidR="00000000" w:rsidRPr="00000000">
        <w:rPr>
          <w:b w:val="1"/>
          <w:sz w:val="24"/>
          <w:szCs w:val="24"/>
          <w:rtl w:val="0"/>
        </w:rPr>
        <w:t xml:space="preserve">Fibrosos</w:t>
      </w:r>
      <w:r w:rsidDel="00000000" w:rsidR="00000000" w:rsidRPr="00000000">
        <w:rPr>
          <w:sz w:val="24"/>
          <w:szCs w:val="24"/>
          <w:rtl w:val="0"/>
        </w:rPr>
        <w:t xml:space="preserve">: también más prevalentes en la posmenopausia; de color blanco nacarado y consistencia firme, como resultado de la involución de un pólipo adenomatoso</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El sangrado intermenstrual o HUA puede ocurrir en hasta el 67% de las mujeres premenopáusicas con pólipos endometriales. Muchos casos son asintomáticos y se descubren de forma incidental en estudios de imagen o durante procedimientos artroscópicos. Los pólipos pueden ser únicos o múltiples, midiendo desde unos pocos milímetros hasta centímetros, y pueden ser sésiles o pediculados. La exploración física suele ser normal, salvo en casos donde el pólipo protruye a través del cuello uterino </w:t>
      </w:r>
      <w:r w:rsidDel="00000000" w:rsidR="00000000" w:rsidRPr="00000000">
        <w:rPr>
          <w:sz w:val="24"/>
          <w:szCs w:val="24"/>
          <w:vertAlign w:val="superscript"/>
          <w:rtl w:val="0"/>
        </w:rPr>
        <w:t xml:space="preserve">2-4,7</w:t>
      </w:r>
      <w:r w:rsidDel="00000000" w:rsidR="00000000" w:rsidRPr="00000000">
        <w:rPr>
          <w:sz w:val="24"/>
          <w:szCs w:val="24"/>
          <w:rtl w:val="0"/>
        </w:rPr>
        <w:t xml:space="preserve">.</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La mayoría de los pólipos endometriales, alrededor del 95%, son benignos. Sin embargo, una gran revisión de más de 10.000 mujeres sugiere que la incidencia de malignidad es del 1,7% en mujeres premenopáusicas, mientras que el riesgo en mujeres posmenopáusicas es del 5,4%. El riesgo de malignización —con hallazgos de hiperplasia atípica o carcinoma— se presenta en un 0.5% a 5% de los casos, y es mayor en mujeres posmenopáusicas con factores de riesgo endometrial como síndrome de Lynch, síndrome de Cowden o sangrado uterino en la postmenopausia </w:t>
      </w:r>
      <w:r w:rsidDel="00000000" w:rsidR="00000000" w:rsidRPr="00000000">
        <w:rPr>
          <w:sz w:val="24"/>
          <w:szCs w:val="24"/>
          <w:vertAlign w:val="superscript"/>
          <w:rtl w:val="0"/>
        </w:rPr>
        <w:t xml:space="preserve">2-4,7</w:t>
      </w:r>
      <w:r w:rsidDel="00000000" w:rsidR="00000000" w:rsidRPr="00000000">
        <w:rPr>
          <w:sz w:val="24"/>
          <w:szCs w:val="24"/>
          <w:rtl w:val="0"/>
        </w:rPr>
        <w:t xml:space="preserve">.</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Los pólipos cervicales se presentan con mayor frecuencia en la edad reproductiva, especialmente después de los 40 años. Generalmente surgen del endocérvix, posiblemente debido a inflamación y factores hormonales. Los pólipos cervicales rara vez miden más de 3 cm, no suelen ser malignos, suelen ser fácilmente extirpables en el consultorio y deben enviarse para examen patológico. Cabe destacar que los pólipos cervicales pueden coexistir con neoplasia intraepitelial endometrial (NEI) o hiperplasia endometrial y pólipos endometriales, y pueden confundirse con leiomiomas prolapsados </w:t>
      </w:r>
      <w:r w:rsidDel="00000000" w:rsidR="00000000" w:rsidRPr="00000000">
        <w:rPr>
          <w:sz w:val="24"/>
          <w:szCs w:val="24"/>
          <w:vertAlign w:val="superscript"/>
          <w:rtl w:val="0"/>
        </w:rPr>
        <w:t xml:space="preserve">3,4,</w:t>
      </w:r>
      <w:r w:rsidDel="00000000" w:rsidR="00000000" w:rsidRPr="00000000">
        <w:rPr>
          <w:rtl w:val="0"/>
        </w:rPr>
      </w:r>
    </w:p>
    <w:p w:rsidR="00000000" w:rsidDel="00000000" w:rsidP="00000000" w:rsidRDefault="00000000" w:rsidRPr="00000000" w14:paraId="000000B2">
      <w:pPr>
        <w:pStyle w:val="Heading3"/>
        <w:jc w:val="both"/>
        <w:rPr>
          <w:b w:val="1"/>
          <w:color w:val="1c4587"/>
          <w:sz w:val="30"/>
          <w:szCs w:val="30"/>
        </w:rPr>
      </w:pPr>
      <w:bookmarkStart w:colFirst="0" w:colLast="0" w:name="_sot7ivbihro5" w:id="20"/>
      <w:bookmarkEnd w:id="20"/>
      <w:r w:rsidDel="00000000" w:rsidR="00000000" w:rsidRPr="00000000">
        <w:rPr>
          <w:b w:val="1"/>
          <w:color w:val="1c4587"/>
          <w:sz w:val="30"/>
          <w:szCs w:val="30"/>
          <w:rtl w:val="0"/>
        </w:rPr>
        <w:t xml:space="preserve">ADENOMIOSIS: </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La adenomiosis es una condición caracterizada por la presencia de glándulas y estroma endometrial dentro del espesor del miometrio, lo que genera una respuesta hipertrófica e hiperplásica del músculo uterino circundante. Se predice que la prevalencia es del 5% al 70% de las mujeres, dependiendo de los criterios diagnósticos utilizados y del grupo poblacional estudiado. La mayoría de los casos ocurre en mujeres multíparas en la cuarta a quinta décadas de la vida </w:t>
      </w:r>
      <w:r w:rsidDel="00000000" w:rsidR="00000000" w:rsidRPr="00000000">
        <w:rPr>
          <w:sz w:val="24"/>
          <w:szCs w:val="24"/>
          <w:vertAlign w:val="superscript"/>
          <w:rtl w:val="0"/>
        </w:rPr>
        <w:t xml:space="preserve">2-4,7</w:t>
      </w:r>
      <w:r w:rsidDel="00000000" w:rsidR="00000000" w:rsidRPr="00000000">
        <w:rPr>
          <w:sz w:val="24"/>
          <w:szCs w:val="24"/>
          <w:rtl w:val="0"/>
        </w:rPr>
        <w:t xml:space="preserve">. </w:t>
      </w:r>
    </w:p>
    <w:p w:rsidR="00000000" w:rsidDel="00000000" w:rsidP="00000000" w:rsidRDefault="00000000" w:rsidRPr="00000000" w14:paraId="000000B4">
      <w:pPr>
        <w:pStyle w:val="Heading4"/>
        <w:keepNext w:val="0"/>
        <w:keepLines w:val="0"/>
        <w:spacing w:after="40" w:before="240" w:lineRule="auto"/>
        <w:jc w:val="both"/>
        <w:rPr>
          <w:b w:val="1"/>
          <w:color w:val="000000"/>
        </w:rPr>
      </w:pPr>
      <w:bookmarkStart w:colFirst="0" w:colLast="0" w:name="_gmjzrpw8zn79" w:id="21"/>
      <w:bookmarkEnd w:id="21"/>
      <w:r w:rsidDel="00000000" w:rsidR="00000000" w:rsidRPr="00000000">
        <w:rPr>
          <w:b w:val="1"/>
          <w:color w:val="000000"/>
          <w:rtl w:val="0"/>
        </w:rPr>
        <w:t xml:space="preserve">Clasificación</w:t>
      </w:r>
    </w:p>
    <w:p w:rsidR="00000000" w:rsidDel="00000000" w:rsidP="00000000" w:rsidRDefault="00000000" w:rsidRPr="00000000" w14:paraId="000000B5">
      <w:pPr>
        <w:numPr>
          <w:ilvl w:val="0"/>
          <w:numId w:val="21"/>
        </w:numPr>
        <w:spacing w:after="0" w:afterAutospacing="0" w:before="240" w:lineRule="auto"/>
        <w:ind w:left="720" w:hanging="360"/>
        <w:jc w:val="both"/>
        <w:rPr>
          <w:sz w:val="24"/>
          <w:szCs w:val="24"/>
        </w:rPr>
      </w:pPr>
      <w:r w:rsidDel="00000000" w:rsidR="00000000" w:rsidRPr="00000000">
        <w:rPr>
          <w:b w:val="1"/>
          <w:sz w:val="24"/>
          <w:szCs w:val="24"/>
          <w:rtl w:val="0"/>
        </w:rPr>
        <w:t xml:space="preserve">Focal</w:t>
      </w:r>
      <w:r w:rsidDel="00000000" w:rsidR="00000000" w:rsidRPr="00000000">
        <w:rPr>
          <w:sz w:val="24"/>
          <w:szCs w:val="24"/>
          <w:rtl w:val="0"/>
        </w:rPr>
        <w:t xml:space="preserve">: se manifiesta como nódulos circunscritos, generalmente localizados en la pared anterior o posterior del útero.</w:t>
      </w:r>
    </w:p>
    <w:p w:rsidR="00000000" w:rsidDel="00000000" w:rsidP="00000000" w:rsidRDefault="00000000" w:rsidRPr="00000000" w14:paraId="000000B6">
      <w:pPr>
        <w:numPr>
          <w:ilvl w:val="0"/>
          <w:numId w:val="21"/>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Difusa</w:t>
      </w:r>
      <w:r w:rsidDel="00000000" w:rsidR="00000000" w:rsidRPr="00000000">
        <w:rPr>
          <w:sz w:val="24"/>
          <w:szCs w:val="24"/>
          <w:rtl w:val="0"/>
        </w:rPr>
        <w:t xml:space="preserve">: múltiples focos de glándulas y estroma endometrial diseminados a lo largo del miometrio.</w:t>
      </w:r>
    </w:p>
    <w:p w:rsidR="00000000" w:rsidDel="00000000" w:rsidP="00000000" w:rsidRDefault="00000000" w:rsidRPr="00000000" w14:paraId="000000B7">
      <w:pPr>
        <w:numPr>
          <w:ilvl w:val="0"/>
          <w:numId w:val="21"/>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Quística</w:t>
      </w:r>
      <w:r w:rsidDel="00000000" w:rsidR="00000000" w:rsidRPr="00000000">
        <w:rPr>
          <w:sz w:val="24"/>
          <w:szCs w:val="24"/>
          <w:rtl w:val="0"/>
        </w:rPr>
        <w:t xml:space="preserve">: forma menos común, caracterizada por formaciones cavitadas dentro del miometrio.</w:t>
      </w:r>
    </w:p>
    <w:p w:rsidR="00000000" w:rsidDel="00000000" w:rsidP="00000000" w:rsidRDefault="00000000" w:rsidRPr="00000000" w14:paraId="000000B8">
      <w:pPr>
        <w:numPr>
          <w:ilvl w:val="0"/>
          <w:numId w:val="29"/>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Adenomiosis intrínseca</w:t>
      </w:r>
      <w:r w:rsidDel="00000000" w:rsidR="00000000" w:rsidRPr="00000000">
        <w:rPr>
          <w:sz w:val="24"/>
          <w:szCs w:val="24"/>
          <w:rtl w:val="0"/>
        </w:rPr>
        <w:t xml:space="preserve">: afecta la mitad interna del miometrio, generada por invasión de la capa basal del endometrio. Puede visualizarse mediante histeroscopia como quistes azulados subendometriales.</w:t>
      </w:r>
    </w:p>
    <w:p w:rsidR="00000000" w:rsidDel="00000000" w:rsidP="00000000" w:rsidRDefault="00000000" w:rsidRPr="00000000" w14:paraId="000000B9">
      <w:pPr>
        <w:numPr>
          <w:ilvl w:val="0"/>
          <w:numId w:val="29"/>
        </w:numPr>
        <w:spacing w:after="240" w:before="0" w:beforeAutospacing="0" w:lineRule="auto"/>
        <w:ind w:left="720" w:hanging="360"/>
        <w:jc w:val="both"/>
        <w:rPr>
          <w:sz w:val="24"/>
          <w:szCs w:val="24"/>
        </w:rPr>
      </w:pPr>
      <w:r w:rsidDel="00000000" w:rsidR="00000000" w:rsidRPr="00000000">
        <w:rPr>
          <w:b w:val="1"/>
          <w:sz w:val="24"/>
          <w:szCs w:val="24"/>
          <w:rtl w:val="0"/>
        </w:rPr>
        <w:t xml:space="preserve">Adenomiosis extrínseca</w:t>
      </w:r>
      <w:r w:rsidDel="00000000" w:rsidR="00000000" w:rsidRPr="00000000">
        <w:rPr>
          <w:sz w:val="24"/>
          <w:szCs w:val="24"/>
          <w:rtl w:val="0"/>
        </w:rPr>
        <w:t xml:space="preserve">: ocurre en la mitad externa del miometrio, constituida por la capa superficial del endometrio. Suele estar asociada a endometrosis infiltrativa profunda, pudiendo corresponder a invaginación en la subserosa de lesiones de endometrosis peritoneal.</w:t>
      </w:r>
    </w:p>
    <w:p w:rsidR="00000000" w:rsidDel="00000000" w:rsidP="00000000" w:rsidRDefault="00000000" w:rsidRPr="00000000" w14:paraId="000000BA">
      <w:pPr>
        <w:spacing w:after="240" w:before="240" w:lineRule="auto"/>
        <w:ind w:left="0" w:firstLine="0"/>
        <w:jc w:val="both"/>
        <w:rPr>
          <w:sz w:val="24"/>
          <w:szCs w:val="24"/>
        </w:rPr>
      </w:pPr>
      <w:r w:rsidDel="00000000" w:rsidR="00000000" w:rsidRPr="00000000">
        <w:rPr>
          <w:sz w:val="24"/>
          <w:szCs w:val="24"/>
          <w:rtl w:val="0"/>
        </w:rPr>
        <w:t xml:space="preserve">La fisiopatología de la adenomiosis implica múltiples alteraciones celulares y moleculares que contribuyen a su desarrollo y sintomatología. Se ha descrito una expresión génica anormal, junto con aumento de la angiogénesis y proliferación celular, reducción de la apoptosis y expresión alterada de citocinas inflamatorias. Además, se observa producción local de estrógenos, resistencia a la progesterona, mayor densidad de fibras nerviosas y presencia de estrés oxidativo inmunológico, lo que favorece un entorno inflamatorio crónico y sensibilización del dolor </w:t>
      </w:r>
      <w:r w:rsidDel="00000000" w:rsidR="00000000" w:rsidRPr="00000000">
        <w:rPr>
          <w:sz w:val="24"/>
          <w:szCs w:val="24"/>
          <w:vertAlign w:val="superscript"/>
          <w:rtl w:val="0"/>
        </w:rPr>
        <w:t xml:space="preserve">3,4</w:t>
      </w:r>
      <w:r w:rsidDel="00000000" w:rsidR="00000000" w:rsidRPr="00000000">
        <w:rPr>
          <w:rtl w:val="0"/>
        </w:rPr>
      </w:r>
    </w:p>
    <w:p w:rsidR="00000000" w:rsidDel="00000000" w:rsidP="00000000" w:rsidRDefault="00000000" w:rsidRPr="00000000" w14:paraId="000000BB">
      <w:pPr>
        <w:pStyle w:val="Heading3"/>
        <w:jc w:val="both"/>
        <w:rPr>
          <w:b w:val="1"/>
          <w:color w:val="1c4587"/>
          <w:sz w:val="30"/>
          <w:szCs w:val="30"/>
        </w:rPr>
      </w:pPr>
      <w:bookmarkStart w:colFirst="0" w:colLast="0" w:name="_6nywkml39h9d" w:id="22"/>
      <w:bookmarkEnd w:id="22"/>
      <w:r w:rsidDel="00000000" w:rsidR="00000000" w:rsidRPr="00000000">
        <w:rPr>
          <w:b w:val="1"/>
          <w:color w:val="1c4587"/>
          <w:sz w:val="30"/>
          <w:szCs w:val="30"/>
          <w:rtl w:val="0"/>
        </w:rPr>
        <w:t xml:space="preserve">LEIOMIOMA: </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Los leiomiomas, también conocidos como miomas o fibromas, son tumores monoclonales benignos que se desarrollan a partir de las células del músculo liso del miometrio uterino. Son los tumores pélvicos más comunes, con una prevalencia estimada a lo largo de la vida del 70 % en mujeres blancas y más del 80 % en mujeres negras. La prevalencia aumenta con la edad, llegando a afectar hasta al 80% de las mujeres en algún momento de su vida </w:t>
      </w:r>
      <w:r w:rsidDel="00000000" w:rsidR="00000000" w:rsidRPr="00000000">
        <w:rPr>
          <w:sz w:val="24"/>
          <w:szCs w:val="24"/>
          <w:vertAlign w:val="superscript"/>
          <w:rtl w:val="0"/>
        </w:rPr>
        <w:t xml:space="preserve">2-4</w:t>
      </w:r>
      <w:r w:rsidDel="00000000" w:rsidR="00000000" w:rsidRPr="00000000">
        <w:rPr>
          <w:sz w:val="24"/>
          <w:szCs w:val="24"/>
          <w:rtl w:val="0"/>
        </w:rPr>
        <w:t xml:space="preserve">. Los factores de riesgo para desarrollar leiomiomas incluyen raza afroamericana, menarquia temprana, uso temprano de anticonceptivos orales, baja paridad, obesidad, dieta (mayor consumo de carnes, mayor índice o carga glucémica, consumo de alcohol), hipertensión y antecedentes familiares </w:t>
      </w:r>
      <w:r w:rsidDel="00000000" w:rsidR="00000000" w:rsidRPr="00000000">
        <w:rPr>
          <w:sz w:val="24"/>
          <w:szCs w:val="24"/>
          <w:vertAlign w:val="superscript"/>
          <w:rtl w:val="0"/>
        </w:rPr>
        <w:t xml:space="preserve">2-4</w:t>
      </w:r>
      <w:r w:rsidDel="00000000" w:rsidR="00000000" w:rsidRPr="00000000">
        <w:rPr>
          <w:sz w:val="24"/>
          <w:szCs w:val="24"/>
          <w:rtl w:val="0"/>
        </w:rPr>
        <w:t xml:space="preserve">.</w:t>
      </w:r>
    </w:p>
    <w:p w:rsidR="00000000" w:rsidDel="00000000" w:rsidP="00000000" w:rsidRDefault="00000000" w:rsidRPr="00000000" w14:paraId="000000BD">
      <w:pPr>
        <w:pStyle w:val="Heading4"/>
        <w:keepNext w:val="0"/>
        <w:keepLines w:val="0"/>
        <w:spacing w:after="40" w:before="240" w:lineRule="auto"/>
        <w:jc w:val="both"/>
        <w:rPr>
          <w:b w:val="1"/>
          <w:color w:val="000000"/>
        </w:rPr>
      </w:pPr>
      <w:bookmarkStart w:colFirst="0" w:colLast="0" w:name="_j57xrke3q1k1" w:id="23"/>
      <w:bookmarkEnd w:id="23"/>
      <w:r w:rsidDel="00000000" w:rsidR="00000000" w:rsidRPr="00000000">
        <w:rPr>
          <w:b w:val="1"/>
          <w:color w:val="000000"/>
          <w:rtl w:val="0"/>
        </w:rPr>
        <w:t xml:space="preserve">Clasificación</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De acuerdo con su ubicación, los leiomiomas se clasifican en </w:t>
      </w:r>
      <w:r w:rsidDel="00000000" w:rsidR="00000000" w:rsidRPr="00000000">
        <w:rPr>
          <w:sz w:val="24"/>
          <w:szCs w:val="24"/>
          <w:vertAlign w:val="superscript"/>
          <w:rtl w:val="0"/>
        </w:rPr>
        <w:t xml:space="preserve">2 </w:t>
      </w:r>
      <w:r w:rsidDel="00000000" w:rsidR="00000000" w:rsidRPr="00000000">
        <w:rPr>
          <w:sz w:val="24"/>
          <w:szCs w:val="24"/>
          <w:rtl w:val="0"/>
        </w:rPr>
        <w:t xml:space="preserve">:</w:t>
      </w:r>
    </w:p>
    <w:p w:rsidR="00000000" w:rsidDel="00000000" w:rsidP="00000000" w:rsidRDefault="00000000" w:rsidRPr="00000000" w14:paraId="000000BF">
      <w:pPr>
        <w:numPr>
          <w:ilvl w:val="0"/>
          <w:numId w:val="32"/>
        </w:numPr>
        <w:spacing w:after="0" w:afterAutospacing="0" w:before="240" w:lineRule="auto"/>
        <w:ind w:left="720" w:hanging="360"/>
        <w:jc w:val="both"/>
        <w:rPr>
          <w:sz w:val="24"/>
          <w:szCs w:val="24"/>
        </w:rPr>
      </w:pPr>
      <w:r w:rsidDel="00000000" w:rsidR="00000000" w:rsidRPr="00000000">
        <w:rPr>
          <w:sz w:val="24"/>
          <w:szCs w:val="24"/>
          <w:rtl w:val="0"/>
        </w:rPr>
        <w:t xml:space="preserve">Subserosos</w:t>
      </w:r>
    </w:p>
    <w:p w:rsidR="00000000" w:rsidDel="00000000" w:rsidP="00000000" w:rsidRDefault="00000000" w:rsidRPr="00000000" w14:paraId="000000C0">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Intramurales</w:t>
      </w:r>
    </w:p>
    <w:p w:rsidR="00000000" w:rsidDel="00000000" w:rsidP="00000000" w:rsidRDefault="00000000" w:rsidRPr="00000000" w14:paraId="000000C1">
      <w:pPr>
        <w:numPr>
          <w:ilvl w:val="0"/>
          <w:numId w:val="32"/>
        </w:numPr>
        <w:spacing w:after="240" w:before="0" w:beforeAutospacing="0" w:lineRule="auto"/>
        <w:ind w:left="720" w:hanging="360"/>
        <w:jc w:val="both"/>
        <w:rPr>
          <w:sz w:val="24"/>
          <w:szCs w:val="24"/>
        </w:rPr>
      </w:pPr>
      <w:r w:rsidDel="00000000" w:rsidR="00000000" w:rsidRPr="00000000">
        <w:rPr>
          <w:sz w:val="24"/>
          <w:szCs w:val="24"/>
          <w:rtl w:val="0"/>
        </w:rPr>
        <w:t xml:space="preserve">Submucosos: representan solo el 5–10% del total, pero son los más asociados a HUA, infertilidad y abortos recurrentes. También pueden causar dismenorrea y dolor pélvico.</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La clasificación FIGO de la ubicación del leiomioma ayuda a definir la relación de los leiomiomas en referencia al endometrio o al peritoneo visceral </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Pr>
        <w:drawing>
          <wp:inline distB="114300" distT="114300" distL="114300" distR="114300">
            <wp:extent cx="6000750" cy="3015388"/>
            <wp:effectExtent b="0" l="0" r="0" t="0"/>
            <wp:docPr id="2" name="image2.png"/>
            <a:graphic>
              <a:graphicData uri="http://schemas.openxmlformats.org/drawingml/2006/picture">
                <pic:pic>
                  <pic:nvPicPr>
                    <pic:cNvPr id="0" name="image2.png"/>
                    <pic:cNvPicPr preferRelativeResize="0"/>
                  </pic:nvPicPr>
                  <pic:blipFill>
                    <a:blip r:embed="rId8"/>
                    <a:srcRect b="7566" l="0" r="-961" t="-1785"/>
                    <a:stretch>
                      <a:fillRect/>
                    </a:stretch>
                  </pic:blipFill>
                  <pic:spPr>
                    <a:xfrm>
                      <a:off x="0" y="0"/>
                      <a:ext cx="6000750" cy="301538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jc w:val="both"/>
        <w:rPr>
          <w:sz w:val="24"/>
          <w:szCs w:val="24"/>
        </w:rPr>
      </w:pPr>
      <w:r w:rsidDel="00000000" w:rsidR="00000000" w:rsidRPr="00000000">
        <w:rPr>
          <w:i w:val="1"/>
          <w:sz w:val="24"/>
          <w:szCs w:val="24"/>
          <w:rtl w:val="0"/>
        </w:rPr>
        <w:t xml:space="preserve">Figura 2. Sistema de clasificación FIGO para Leiomiomas.  Adaptado de: Munro  M  et  al,  The  two  FIGO  systems  for  normal  and  abnormal uterine bleeding symptoms and classification of causes of abnormal uterine bleeding in the reproductive years: 2018 revisions. Int J Gynecol Obstet 2018; 143: 393–408</w:t>
      </w:r>
      <w:r w:rsidDel="00000000" w:rsidR="00000000" w:rsidRPr="00000000">
        <w:rPr>
          <w:rtl w:val="0"/>
        </w:rPr>
      </w:r>
    </w:p>
    <w:p w:rsidR="00000000" w:rsidDel="00000000" w:rsidP="00000000" w:rsidRDefault="00000000" w:rsidRPr="00000000" w14:paraId="000000C5">
      <w:pPr>
        <w:pStyle w:val="Heading3"/>
        <w:jc w:val="both"/>
        <w:rPr>
          <w:sz w:val="30"/>
          <w:szCs w:val="30"/>
        </w:rPr>
      </w:pPr>
      <w:bookmarkStart w:colFirst="0" w:colLast="0" w:name="_ha76j6p8m84u" w:id="24"/>
      <w:bookmarkEnd w:id="24"/>
      <w:r w:rsidDel="00000000" w:rsidR="00000000" w:rsidRPr="00000000">
        <w:rPr>
          <w:b w:val="1"/>
          <w:color w:val="1c4587"/>
          <w:sz w:val="30"/>
          <w:szCs w:val="30"/>
          <w:rtl w:val="0"/>
        </w:rPr>
        <w:t xml:space="preserve">MALIGNIDAD: </w:t>
      </w:r>
      <w:r w:rsidDel="00000000" w:rsidR="00000000" w:rsidRPr="00000000">
        <w:rPr>
          <w:rtl w:val="0"/>
        </w:rPr>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La malignidad de la vagina o el útero (incluido el cuello uterino) puede causar sangrado anormal. Por lo tanto, es importante discernir la etiología de cualquier sangrado uterino anormal mediante el examen de la vulva, la vagina y el cuello uterino con una prueba de Papanicolaou o una muestra de tejido </w:t>
      </w:r>
      <w:r w:rsidDel="00000000" w:rsidR="00000000" w:rsidRPr="00000000">
        <w:rPr>
          <w:sz w:val="24"/>
          <w:szCs w:val="24"/>
          <w:vertAlign w:val="superscript"/>
          <w:rtl w:val="0"/>
        </w:rPr>
        <w:t xml:space="preserve">1-3</w:t>
      </w:r>
      <w:r w:rsidDel="00000000" w:rsidR="00000000" w:rsidRPr="00000000">
        <w:rPr>
          <w:sz w:val="24"/>
          <w:szCs w:val="24"/>
          <w:rtl w:val="0"/>
        </w:rPr>
        <w:t xml:space="preserve"> . En mujeres mayores premenopáusicas y menopáusicas, la HUA puede ser secundario a neoplasia intraepitelial endometrial (EIN), que puede ser del subtipo hiperplasia simple o benigna, o del subtipo más preocupante, hiperplasia atípica con progresión a o concurrente con malignidad endometrial</w:t>
      </w:r>
      <w:r w:rsidDel="00000000" w:rsidR="00000000" w:rsidRPr="00000000">
        <w:rPr>
          <w:sz w:val="24"/>
          <w:szCs w:val="24"/>
          <w:vertAlign w:val="superscript"/>
          <w:rtl w:val="0"/>
        </w:rPr>
        <w:t xml:space="preserve"> 4</w:t>
      </w:r>
      <w:r w:rsidDel="00000000" w:rsidR="00000000" w:rsidRPr="00000000">
        <w:rPr>
          <w:sz w:val="24"/>
          <w:szCs w:val="24"/>
          <w:rtl w:val="0"/>
        </w:rPr>
        <w:t xml:space="preserve">.</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Las mujeres tienen un riesgo de por vida del 2,8% de desarrollar cáncer de endometrio, que representa aproximadamente 63.000 casos nuevos cada año en los Estados Unidos. Afortunadamente, el 70% de los casos se detectan en una etapa temprana dado que la mayoría de las mujeres (75% a 90%) con malignidad presentan sangrado uterino anormal </w:t>
      </w:r>
      <w:r w:rsidDel="00000000" w:rsidR="00000000" w:rsidRPr="00000000">
        <w:rPr>
          <w:sz w:val="24"/>
          <w:szCs w:val="24"/>
          <w:vertAlign w:val="superscript"/>
          <w:rtl w:val="0"/>
        </w:rPr>
        <w:t xml:space="preserve">3,4,7</w:t>
      </w:r>
      <w:r w:rsidDel="00000000" w:rsidR="00000000" w:rsidRPr="00000000">
        <w:rPr>
          <w:sz w:val="24"/>
          <w:szCs w:val="24"/>
          <w:rtl w:val="0"/>
        </w:rPr>
        <w:t xml:space="preserve">.El adenocarcinoma endometrioide es el tipo más común de malignidad; el cáncer de endometrio papilar seroso, de células claras, mucinoso y el carcinosarcoma son cánceres de endometrio menos frecuentes, pero más agresivos </w:t>
      </w:r>
      <w:r w:rsidDel="00000000" w:rsidR="00000000" w:rsidRPr="00000000">
        <w:rPr>
          <w:sz w:val="24"/>
          <w:szCs w:val="24"/>
          <w:vertAlign w:val="superscript"/>
          <w:rtl w:val="0"/>
        </w:rPr>
        <w:t xml:space="preserve">2,4</w:t>
      </w:r>
      <w:r w:rsidDel="00000000" w:rsidR="00000000" w:rsidRPr="00000000">
        <w:rPr>
          <w:sz w:val="24"/>
          <w:szCs w:val="24"/>
          <w:rtl w:val="0"/>
        </w:rPr>
        <w:t xml:space="preserve">.</w:t>
      </w:r>
    </w:p>
    <w:p w:rsidR="00000000" w:rsidDel="00000000" w:rsidP="00000000" w:rsidRDefault="00000000" w:rsidRPr="00000000" w14:paraId="000000C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jc w:val="both"/>
        <w:rPr>
          <w:b w:val="1"/>
          <w:color w:val="000000"/>
        </w:rPr>
      </w:pPr>
      <w:bookmarkStart w:colFirst="0" w:colLast="0" w:name="_dizpfzrik9o6" w:id="25"/>
      <w:bookmarkEnd w:id="25"/>
      <w:r w:rsidDel="00000000" w:rsidR="00000000" w:rsidRPr="00000000">
        <w:rPr>
          <w:b w:val="1"/>
          <w:color w:val="000000"/>
          <w:rtl w:val="0"/>
        </w:rPr>
        <w:t xml:space="preserve">Factores de riesgo para EIN y malignidad </w:t>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Los principales factores de riesgo para el desarrollo de cáncer de endometrio incluyen la administración de estrógenos sin oposición en mujeres con útero intacto, obesidad, diabetes mellitus, hipertensión arterial, nuliparidad, uso de tamoxifeno, síndrome de ovario poliquístico, historia de infertilidad, menopausia tardía, enfermedad tiroidea, tumores productores de estrógenos y anovulación crónica. Adicionalmente, el síndrome de Lynch confiere un riesgo significativamente elevado de cáncer endometrial, con una incidencia a lo largo de la vida que varía entre el 27% y el 71%, lo que hace necesaria una vigilancia endometrial estricta hasta la realización de histerectomía profiláctica para reducir dicho riesgo</w:t>
      </w:r>
      <w:r w:rsidDel="00000000" w:rsidR="00000000" w:rsidRPr="00000000">
        <w:rPr>
          <w:sz w:val="24"/>
          <w:szCs w:val="24"/>
          <w:vertAlign w:val="superscript"/>
          <w:rtl w:val="0"/>
        </w:rPr>
        <w:t xml:space="preserve">2-4</w:t>
      </w:r>
      <w:r w:rsidDel="00000000" w:rsidR="00000000" w:rsidRPr="00000000">
        <w:rPr>
          <w:rtl w:val="0"/>
        </w:rPr>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El Colegio Americano de Obstetras y Ginecólogos recomienda realizar una biopsia endometrial a todas las mujeres con HUA mayores de 45 años, así como a aquellas menores de 45 años que presenten factores de riesgo para neoplasia endometrial intraepitelial (EIN). En mujeres premenopáusicas, el muestreo endometrial presenta una sensibilidad del 91% para el diagnóstico de cáncer de endometrio y del 81% para EIN. Por su parte, la histeroscopia muestra una sensibilidad del 86% y especificidad del 99% para cáncer de endometrio, y una sensibilidad del 78% y especificidad del 96% para EIN.</w:t>
      </w:r>
      <w:r w:rsidDel="00000000" w:rsidR="00000000" w:rsidRPr="00000000">
        <w:rPr>
          <w:sz w:val="24"/>
          <w:szCs w:val="24"/>
          <w:vertAlign w:val="superscript"/>
          <w:rtl w:val="0"/>
        </w:rPr>
        <w:t xml:space="preserve">4,7</w:t>
      </w:r>
      <w:r w:rsidDel="00000000" w:rsidR="00000000" w:rsidRPr="00000000">
        <w:rPr>
          <w:rtl w:val="0"/>
        </w:rPr>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El sangrado uterino anormal es el síntoma más común del cáncer de endometrio. Aunque la prevalencia de esta neoplasia aumenta con la edad, aproximadamente una cuarta parte de los nuevos diagnósticos ocurre en mujeres menores de 55 años. Los patrones de sangrado en pacientes con neoplasias malignas uterinas pueden ser altamente variables, por lo que todo sangrado anómalo en mujeres posmenopáusicas o con factores de riesgo debe evaluarse cuidadosamente para descartar hiperplasia endometrial o malignidad </w:t>
      </w:r>
      <w:r w:rsidDel="00000000" w:rsidR="00000000" w:rsidRPr="00000000">
        <w:rPr>
          <w:sz w:val="24"/>
          <w:szCs w:val="24"/>
          <w:vertAlign w:val="superscript"/>
          <w:rtl w:val="0"/>
        </w:rPr>
        <w:t xml:space="preserve">2-4</w:t>
      </w:r>
      <w:r w:rsidDel="00000000" w:rsidR="00000000" w:rsidRPr="00000000">
        <w:rPr>
          <w:sz w:val="24"/>
          <w:szCs w:val="24"/>
          <w:rtl w:val="0"/>
        </w:rPr>
        <w:t xml:space="preserve">.</w:t>
      </w:r>
    </w:p>
    <w:p w:rsidR="00000000" w:rsidDel="00000000" w:rsidP="00000000" w:rsidRDefault="00000000" w:rsidRPr="00000000" w14:paraId="000000CE">
      <w:pPr>
        <w:pStyle w:val="Heading3"/>
        <w:jc w:val="both"/>
        <w:rPr>
          <w:sz w:val="30"/>
          <w:szCs w:val="30"/>
        </w:rPr>
      </w:pPr>
      <w:bookmarkStart w:colFirst="0" w:colLast="0" w:name="_rq245a5zkflj" w:id="26"/>
      <w:bookmarkEnd w:id="26"/>
      <w:r w:rsidDel="00000000" w:rsidR="00000000" w:rsidRPr="00000000">
        <w:rPr>
          <w:b w:val="1"/>
          <w:color w:val="1c4587"/>
          <w:sz w:val="30"/>
          <w:szCs w:val="30"/>
          <w:rtl w:val="0"/>
        </w:rPr>
        <w:t xml:space="preserve">COAGULOPATÍA: </w:t>
      </w:r>
      <w:r w:rsidDel="00000000" w:rsidR="00000000" w:rsidRPr="00000000">
        <w:rPr>
          <w:rtl w:val="0"/>
        </w:rPr>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Los trastornos hemorrágicos hereditarios, especialmente la enfermedad de von Willebrand, se identifican en el 5% al 24% de las mujeres con sangrado menstrual abundante. Se debe considerar la coagulopatía en mujeres con menstruaciones abundantes y prolongadas desde una edad reproductiva temprana; antecedentes de hematomas frecuentes, epistaxis, sangrado de encías o dentales, hemorragia posparto y sangrado quirúrgico grave; y antecedentes familiares de estos problemas. Se pueden observar menstruaciones abundantes con deficiencias de factores (los factores VIII y IX son los más comunes, los factores VII y XI son menos frecuentes) y trastornos plaquetarios </w:t>
      </w:r>
      <w:r w:rsidDel="00000000" w:rsidR="00000000" w:rsidRPr="00000000">
        <w:rPr>
          <w:sz w:val="24"/>
          <w:szCs w:val="24"/>
          <w:vertAlign w:val="superscript"/>
          <w:rtl w:val="0"/>
        </w:rPr>
        <w:t xml:space="preserve">2-4</w:t>
      </w:r>
      <w:r w:rsidDel="00000000" w:rsidR="00000000" w:rsidRPr="00000000">
        <w:rPr>
          <w:sz w:val="24"/>
          <w:szCs w:val="24"/>
          <w:rtl w:val="0"/>
        </w:rPr>
        <w:t xml:space="preserve">. </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Aproximadamente el 20% de las pacientes con sangrado menstrual abundante tienen un trastorno hemorrágico, y la prevalencia en las adolescentes que sangran abundantemente es aún mayor </w:t>
      </w:r>
      <w:r w:rsidDel="00000000" w:rsidR="00000000" w:rsidRPr="00000000">
        <w:rPr>
          <w:sz w:val="24"/>
          <w:szCs w:val="24"/>
          <w:vertAlign w:val="superscript"/>
          <w:rtl w:val="0"/>
        </w:rPr>
        <w:t xml:space="preserve">7</w:t>
      </w:r>
      <w:r w:rsidDel="00000000" w:rsidR="00000000" w:rsidRPr="00000000">
        <w:rPr>
          <w:sz w:val="24"/>
          <w:szCs w:val="24"/>
          <w:rtl w:val="0"/>
        </w:rPr>
        <w:t xml:space="preserve">. La enfermedad de von Willebrand y la disfunción plaquetaria son las coagulopatías más comunes asociadas con el sangrado uterino anormal </w:t>
      </w:r>
      <w:r w:rsidDel="00000000" w:rsidR="00000000" w:rsidRPr="00000000">
        <w:rPr>
          <w:sz w:val="24"/>
          <w:szCs w:val="24"/>
          <w:vertAlign w:val="superscript"/>
          <w:rtl w:val="0"/>
        </w:rPr>
        <w:t xml:space="preserve">1-4,7</w:t>
      </w:r>
      <w:r w:rsidDel="00000000" w:rsidR="00000000" w:rsidRPr="00000000">
        <w:rPr>
          <w:sz w:val="24"/>
          <w:szCs w:val="24"/>
          <w:rtl w:val="0"/>
        </w:rPr>
        <w:t xml:space="preserve">.</w:t>
      </w:r>
    </w:p>
    <w:p w:rsidR="00000000" w:rsidDel="00000000" w:rsidP="00000000" w:rsidRDefault="00000000" w:rsidRPr="00000000" w14:paraId="000000D1">
      <w:pPr>
        <w:pStyle w:val="Heading3"/>
        <w:jc w:val="both"/>
        <w:rPr>
          <w:sz w:val="30"/>
          <w:szCs w:val="30"/>
        </w:rPr>
      </w:pPr>
      <w:bookmarkStart w:colFirst="0" w:colLast="0" w:name="_jrqn5a3qc1mc" w:id="27"/>
      <w:bookmarkEnd w:id="27"/>
      <w:r w:rsidDel="00000000" w:rsidR="00000000" w:rsidRPr="00000000">
        <w:rPr>
          <w:b w:val="1"/>
          <w:color w:val="1c4587"/>
          <w:sz w:val="30"/>
          <w:szCs w:val="30"/>
          <w:rtl w:val="0"/>
        </w:rPr>
        <w:t xml:space="preserve">DISFUNCIÓN </w:t>
      </w:r>
      <w:r w:rsidDel="00000000" w:rsidR="00000000" w:rsidRPr="00000000">
        <w:rPr>
          <w:b w:val="1"/>
          <w:color w:val="1c4587"/>
          <w:sz w:val="30"/>
          <w:szCs w:val="30"/>
          <w:u w:val="single"/>
          <w:rtl w:val="0"/>
        </w:rPr>
        <w:t xml:space="preserve">O</w:t>
      </w:r>
      <w:r w:rsidDel="00000000" w:rsidR="00000000" w:rsidRPr="00000000">
        <w:rPr>
          <w:b w:val="1"/>
          <w:color w:val="1c4587"/>
          <w:sz w:val="30"/>
          <w:szCs w:val="30"/>
          <w:rtl w:val="0"/>
        </w:rPr>
        <w:t xml:space="preserve">VULATORIA : </w:t>
      </w:r>
      <w:r w:rsidDel="00000000" w:rsidR="00000000" w:rsidRPr="00000000">
        <w:rPr>
          <w:rtl w:val="0"/>
        </w:rPr>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La disfunción ovulatoria incluye no ovular de forma regular o con poca frecuencia, lo que puede provocar amenorrea, pero es más probable que resulte en sangrado irregular. La anovulación ocurre con mayor frecuencia en los primeros años reproductivos y en los años premenopáusicos posteriores. Los episodios de sangrado varían de ligeros e infrecuentes durante 2 o más meses a episodios de sangrado menstrual abundante impredecible y extremo que requieren intervención</w:t>
      </w:r>
      <w:r w:rsidDel="00000000" w:rsidR="00000000" w:rsidRPr="00000000">
        <w:rPr>
          <w:sz w:val="24"/>
          <w:szCs w:val="24"/>
          <w:vertAlign w:val="superscript"/>
          <w:rtl w:val="0"/>
        </w:rPr>
        <w:t xml:space="preserve">3,4</w:t>
      </w:r>
      <w:r w:rsidDel="00000000" w:rsidR="00000000" w:rsidRPr="00000000">
        <w:rPr>
          <w:sz w:val="24"/>
          <w:szCs w:val="24"/>
          <w:rtl w:val="0"/>
        </w:rPr>
        <w:t xml:space="preserve"> .Cuando el sangrado menstrual abundante se asocia con anovulación, la pérdida de progesterona lútea resulta en un endometrio proliferativo persistente, lo que parece estar asociado con niveles locales reducidos de prostaglandina F2a, un factor necesario para una hemostasia endometrial eficiente </w:t>
      </w:r>
      <w:r w:rsidDel="00000000" w:rsidR="00000000" w:rsidRPr="00000000">
        <w:rPr>
          <w:sz w:val="24"/>
          <w:szCs w:val="24"/>
          <w:vertAlign w:val="superscript"/>
          <w:rtl w:val="0"/>
        </w:rPr>
        <w:t xml:space="preserve">3,7</w:t>
      </w:r>
      <w:r w:rsidDel="00000000" w:rsidR="00000000" w:rsidRPr="00000000">
        <w:rPr>
          <w:sz w:val="24"/>
          <w:szCs w:val="24"/>
          <w:rtl w:val="0"/>
        </w:rPr>
        <w:t xml:space="preserve">. Un trastorno diferente, que generalmente se manifiesta en los últimos años reproductivos, puede ocurrir en mujeres ovulatorias: el evento lúteo fuera de fase. Estas mujeres ovulan, pero reclutan folículos temprano en la fase lútea, lo que resulta en altos niveles circulantes de estradiol y sangrado menstrual abundante asociado </w:t>
      </w:r>
      <w:r w:rsidDel="00000000" w:rsidR="00000000" w:rsidRPr="00000000">
        <w:rPr>
          <w:sz w:val="24"/>
          <w:szCs w:val="24"/>
          <w:vertAlign w:val="superscript"/>
          <w:rtl w:val="0"/>
        </w:rPr>
        <w:t xml:space="preserve">3,7</w:t>
      </w:r>
      <w:r w:rsidDel="00000000" w:rsidR="00000000" w:rsidRPr="00000000">
        <w:rPr>
          <w:sz w:val="24"/>
          <w:szCs w:val="24"/>
          <w:rtl w:val="0"/>
        </w:rPr>
        <w:t xml:space="preserve">. Aunque no existe una causa identificable, la disfunción ovulatoria puede ocurrir con el síndrome de ovario poliquístico, obesidad, hipotiroidismo, hiperprolactinemia, anorexia, ejercicio extremo y pérdida de peso significativa </w:t>
      </w:r>
      <w:r w:rsidDel="00000000" w:rsidR="00000000" w:rsidRPr="00000000">
        <w:rPr>
          <w:sz w:val="24"/>
          <w:szCs w:val="24"/>
          <w:vertAlign w:val="superscript"/>
          <w:rtl w:val="0"/>
        </w:rPr>
        <w:t xml:space="preserve">2-4</w:t>
      </w:r>
      <w:r w:rsidDel="00000000" w:rsidR="00000000" w:rsidRPr="00000000">
        <w:rPr>
          <w:sz w:val="24"/>
          <w:szCs w:val="24"/>
          <w:rtl w:val="0"/>
        </w:rPr>
        <w:t xml:space="preserve">. En mujeres con sangrado uterino anormal compatible con disfunción ovulatoria, la evaluación debe dirigirse a la identificación de causas tratables, lo que puede incluir pruebas de función tiroidea. Se debe considerar la realización de pruebas de gonadotropina coriónica humana, prolactina y hormona folículo estimulante para la amenorrea prolongada en mujeres jóvenes. Los niveles de hormona folículo estimulante pueden fluctuar diariamente. En mujeres obesas, la amenorrea prolongada debida a la anovulación y la exposición a estrógenos endógenos sin oposición aumenta el riesgo de hiperplasia endometrial y cáncer de endometrio; es importante considerar la toma de muestras y evaluación endometrial </w:t>
      </w:r>
      <w:r w:rsidDel="00000000" w:rsidR="00000000" w:rsidRPr="00000000">
        <w:rPr>
          <w:sz w:val="24"/>
          <w:szCs w:val="24"/>
          <w:vertAlign w:val="superscript"/>
          <w:rtl w:val="0"/>
        </w:rPr>
        <w:t xml:space="preserve">3,7</w:t>
      </w:r>
      <w:r w:rsidDel="00000000" w:rsidR="00000000" w:rsidRPr="00000000">
        <w:rPr>
          <w:sz w:val="24"/>
          <w:szCs w:val="24"/>
          <w:rtl w:val="0"/>
        </w:rPr>
        <w:t xml:space="preserve">.</w:t>
      </w:r>
    </w:p>
    <w:p w:rsidR="00000000" w:rsidDel="00000000" w:rsidP="00000000" w:rsidRDefault="00000000" w:rsidRPr="00000000" w14:paraId="000000D3">
      <w:pPr>
        <w:pStyle w:val="Heading3"/>
        <w:jc w:val="both"/>
        <w:rPr>
          <w:sz w:val="30"/>
          <w:szCs w:val="30"/>
        </w:rPr>
      </w:pPr>
      <w:bookmarkStart w:colFirst="0" w:colLast="0" w:name="_uoyo119pmdzq" w:id="28"/>
      <w:bookmarkEnd w:id="28"/>
      <w:r w:rsidDel="00000000" w:rsidR="00000000" w:rsidRPr="00000000">
        <w:rPr>
          <w:b w:val="1"/>
          <w:color w:val="1c4587"/>
          <w:sz w:val="30"/>
          <w:szCs w:val="30"/>
          <w:rtl w:val="0"/>
        </w:rPr>
        <w:t xml:space="preserve">TRASTORNOS DEL </w:t>
      </w:r>
      <w:r w:rsidDel="00000000" w:rsidR="00000000" w:rsidRPr="00000000">
        <w:rPr>
          <w:b w:val="1"/>
          <w:color w:val="1c4587"/>
          <w:sz w:val="30"/>
          <w:szCs w:val="30"/>
          <w:u w:val="single"/>
          <w:rtl w:val="0"/>
        </w:rPr>
        <w:t xml:space="preserve">E</w:t>
      </w:r>
      <w:r w:rsidDel="00000000" w:rsidR="00000000" w:rsidRPr="00000000">
        <w:rPr>
          <w:b w:val="1"/>
          <w:color w:val="1c4587"/>
          <w:sz w:val="30"/>
          <w:szCs w:val="30"/>
          <w:rtl w:val="0"/>
        </w:rPr>
        <w:t xml:space="preserve">NDOMETRIO: </w:t>
      </w:r>
      <w:r w:rsidDel="00000000" w:rsidR="00000000" w:rsidRPr="00000000">
        <w:rPr>
          <w:rtl w:val="0"/>
        </w:rPr>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Los trastornos primarios de la hemostasia endometrial suelen ocurrir en el contexto de ciclos ovulatorios predecibles y probablemente se deban a trastornos de vasoconstricción, inflamación o infección. Las mujeres presentan menstruaciones predecibles y cíclicas, indicativas de una ovulación normal, pero presentan sangrado menstrual abundante </w:t>
      </w:r>
      <w:r w:rsidDel="00000000" w:rsidR="00000000" w:rsidRPr="00000000">
        <w:rPr>
          <w:sz w:val="24"/>
          <w:szCs w:val="24"/>
          <w:vertAlign w:val="superscript"/>
          <w:rtl w:val="0"/>
        </w:rPr>
        <w:t xml:space="preserve">3,7. </w:t>
      </w:r>
      <w:r w:rsidDel="00000000" w:rsidR="00000000" w:rsidRPr="00000000">
        <w:rPr>
          <w:sz w:val="24"/>
          <w:szCs w:val="24"/>
          <w:rtl w:val="0"/>
        </w:rPr>
        <w:t xml:space="preserve"> La etiología no está completamente definida, pero es probable que existan deficiencias en la vasoconstricción (endotelina-1, prostaglandina F2a) y una producción excesiva de plasminógeno, lo que provoca una lisis acelerada del coágulo </w:t>
      </w:r>
      <w:r w:rsidDel="00000000" w:rsidR="00000000" w:rsidRPr="00000000">
        <w:rPr>
          <w:sz w:val="24"/>
          <w:szCs w:val="24"/>
          <w:vertAlign w:val="superscript"/>
          <w:rtl w:val="0"/>
        </w:rPr>
        <w:t xml:space="preserve">3,4,7</w:t>
      </w:r>
      <w:r w:rsidDel="00000000" w:rsidR="00000000" w:rsidRPr="00000000">
        <w:rPr>
          <w:sz w:val="24"/>
          <w:szCs w:val="24"/>
          <w:rtl w:val="0"/>
        </w:rPr>
        <w:t xml:space="preserve">. Además, la inflamación endometrial o endometritis puede influir, como se observa en infecciones por Chlamydia trachomatis o ureaplasma </w:t>
      </w:r>
      <w:r w:rsidDel="00000000" w:rsidR="00000000" w:rsidRPr="00000000">
        <w:rPr>
          <w:sz w:val="24"/>
          <w:szCs w:val="24"/>
          <w:vertAlign w:val="superscript"/>
          <w:rtl w:val="0"/>
        </w:rPr>
        <w:t xml:space="preserve">3,4</w:t>
      </w:r>
      <w:r w:rsidDel="00000000" w:rsidR="00000000" w:rsidRPr="00000000">
        <w:rPr>
          <w:rtl w:val="0"/>
        </w:rPr>
      </w:r>
    </w:p>
    <w:p w:rsidR="00000000" w:rsidDel="00000000" w:rsidP="00000000" w:rsidRDefault="00000000" w:rsidRPr="00000000" w14:paraId="000000D5">
      <w:pPr>
        <w:pStyle w:val="Heading3"/>
        <w:jc w:val="both"/>
        <w:rPr>
          <w:sz w:val="30"/>
          <w:szCs w:val="30"/>
        </w:rPr>
      </w:pPr>
      <w:bookmarkStart w:colFirst="0" w:colLast="0" w:name="_37ihbxb0u2uw" w:id="29"/>
      <w:bookmarkEnd w:id="29"/>
      <w:r w:rsidDel="00000000" w:rsidR="00000000" w:rsidRPr="00000000">
        <w:rPr>
          <w:b w:val="1"/>
          <w:color w:val="1c4587"/>
          <w:sz w:val="30"/>
          <w:szCs w:val="30"/>
          <w:rtl w:val="0"/>
        </w:rPr>
        <w:t xml:space="preserve">IATROGENIA: </w:t>
      </w:r>
      <w:r w:rsidDel="00000000" w:rsidR="00000000" w:rsidRPr="00000000">
        <w:rPr>
          <w:rtl w:val="0"/>
        </w:rPr>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El HUA de origen iatrogénico se relaciona principalmente con el uso de terapias hormonales, fármacos que afectan el eje endocrino o medicamentos que alteran la coagulación </w:t>
      </w:r>
      <w:r w:rsidDel="00000000" w:rsidR="00000000" w:rsidRPr="00000000">
        <w:rPr>
          <w:sz w:val="24"/>
          <w:szCs w:val="24"/>
          <w:vertAlign w:val="superscript"/>
          <w:rtl w:val="0"/>
        </w:rPr>
        <w:t xml:space="preserve">3,4</w:t>
      </w:r>
      <w:r w:rsidDel="00000000" w:rsidR="00000000" w:rsidRPr="00000000">
        <w:rPr>
          <w:sz w:val="24"/>
          <w:szCs w:val="24"/>
          <w:rtl w:val="0"/>
        </w:rPr>
        <w:t xml:space="preserve">.</w:t>
      </w:r>
    </w:p>
    <w:p w:rsidR="00000000" w:rsidDel="00000000" w:rsidP="00000000" w:rsidRDefault="00000000" w:rsidRPr="00000000" w14:paraId="000000D7">
      <w:pPr>
        <w:numPr>
          <w:ilvl w:val="0"/>
          <w:numId w:val="30"/>
        </w:numPr>
        <w:spacing w:after="0" w:afterAutospacing="0" w:before="240" w:lineRule="auto"/>
        <w:ind w:left="720" w:hanging="360"/>
        <w:jc w:val="both"/>
        <w:rPr>
          <w:sz w:val="24"/>
          <w:szCs w:val="24"/>
        </w:rPr>
      </w:pPr>
      <w:r w:rsidDel="00000000" w:rsidR="00000000" w:rsidRPr="00000000">
        <w:rPr>
          <w:b w:val="1"/>
          <w:sz w:val="24"/>
          <w:szCs w:val="24"/>
          <w:rtl w:val="0"/>
        </w:rPr>
        <w:t xml:space="preserve">Anticonceptivos hormonales</w:t>
        <w:br w:type="textWrapping"/>
      </w:r>
      <w:r w:rsidDel="00000000" w:rsidR="00000000" w:rsidRPr="00000000">
        <w:rPr>
          <w:sz w:val="24"/>
          <w:szCs w:val="24"/>
          <w:rtl w:val="0"/>
        </w:rPr>
        <w:t xml:space="preserve">Los anticonceptivos orales combinados, inyectables, sistemas intrauterinos con levonorgestrel (SIU-LNG) e implantes subdérmicos pueden causar sangrado transitorio o irregular, especialmente durante los primeros 4 a 6 meses de uso. En la mayoría de los casos, no se requiere tratamiento y basta con tranquilizar a la paciente</w:t>
      </w:r>
      <w:r w:rsidDel="00000000" w:rsidR="00000000" w:rsidRPr="00000000">
        <w:rPr>
          <w:sz w:val="24"/>
          <w:szCs w:val="24"/>
          <w:vertAlign w:val="superscript"/>
          <w:rtl w:val="0"/>
        </w:rPr>
        <w:t xml:space="preserve">3,4</w:t>
      </w:r>
      <w:r w:rsidDel="00000000" w:rsidR="00000000" w:rsidRPr="00000000">
        <w:rPr>
          <w:sz w:val="24"/>
          <w:szCs w:val="24"/>
          <w:rtl w:val="0"/>
        </w:rPr>
        <w:t xml:space="preserve">. El implante subdérmico presenta mayor probabilidad de sangrado irregular, el cual puede manejarse, si es necesario, con AINEs de corta duración si no hay contraindicaciones </w:t>
      </w:r>
      <w:r w:rsidDel="00000000" w:rsidR="00000000" w:rsidRPr="00000000">
        <w:rPr>
          <w:sz w:val="24"/>
          <w:szCs w:val="24"/>
          <w:vertAlign w:val="superscript"/>
          <w:rtl w:val="0"/>
        </w:rPr>
        <w:t xml:space="preserve">4</w:t>
      </w:r>
      <w:r w:rsidDel="00000000" w:rsidR="00000000" w:rsidRPr="00000000">
        <w:rPr>
          <w:sz w:val="24"/>
          <w:szCs w:val="24"/>
          <w:rtl w:val="0"/>
        </w:rPr>
        <w:t xml:space="preserve">.</w:t>
      </w:r>
    </w:p>
    <w:p w:rsidR="00000000" w:rsidDel="00000000" w:rsidP="00000000" w:rsidRDefault="00000000" w:rsidRPr="00000000" w14:paraId="000000D8">
      <w:pPr>
        <w:numPr>
          <w:ilvl w:val="0"/>
          <w:numId w:val="30"/>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Fármacos que afectan el eje dopaminérgico o la prolactina</w:t>
        <w:br w:type="textWrapping"/>
      </w:r>
      <w:r w:rsidDel="00000000" w:rsidR="00000000" w:rsidRPr="00000000">
        <w:rPr>
          <w:sz w:val="24"/>
          <w:szCs w:val="24"/>
          <w:rtl w:val="0"/>
        </w:rPr>
        <w:t xml:space="preserve"> Algunos antidepresivos que alteran el metabolismo de la dopamina o inducen hiperprolactinemia pueden provocar alteraciones del ciclo menstrual y HUA</w:t>
      </w:r>
      <w:r w:rsidDel="00000000" w:rsidR="00000000" w:rsidRPr="00000000">
        <w:rPr>
          <w:sz w:val="24"/>
          <w:szCs w:val="24"/>
          <w:vertAlign w:val="superscript"/>
          <w:rtl w:val="0"/>
        </w:rPr>
        <w:t xml:space="preserve">3,4</w:t>
      </w:r>
      <w:r w:rsidDel="00000000" w:rsidR="00000000" w:rsidRPr="00000000">
        <w:rPr>
          <w:sz w:val="24"/>
          <w:szCs w:val="24"/>
          <w:rtl w:val="0"/>
        </w:rPr>
        <w:t xml:space="preserve">.</w:t>
      </w:r>
    </w:p>
    <w:p w:rsidR="00000000" w:rsidDel="00000000" w:rsidP="00000000" w:rsidRDefault="00000000" w:rsidRPr="00000000" w14:paraId="000000D9">
      <w:pPr>
        <w:numPr>
          <w:ilvl w:val="0"/>
          <w:numId w:val="30"/>
        </w:numPr>
        <w:spacing w:after="240" w:before="0" w:beforeAutospacing="0" w:lineRule="auto"/>
        <w:ind w:left="720" w:hanging="360"/>
        <w:jc w:val="both"/>
        <w:rPr>
          <w:sz w:val="24"/>
          <w:szCs w:val="24"/>
        </w:rPr>
      </w:pPr>
      <w:r w:rsidDel="00000000" w:rsidR="00000000" w:rsidRPr="00000000">
        <w:rPr>
          <w:b w:val="1"/>
          <w:sz w:val="24"/>
          <w:szCs w:val="24"/>
          <w:rtl w:val="0"/>
        </w:rPr>
        <w:t xml:space="preserve">Anticoagulantes</w:t>
        <w:br w:type="textWrapping"/>
      </w:r>
      <w:r w:rsidDel="00000000" w:rsidR="00000000" w:rsidRPr="00000000">
        <w:rPr>
          <w:sz w:val="24"/>
          <w:szCs w:val="24"/>
          <w:rtl w:val="0"/>
        </w:rPr>
        <w:t xml:space="preserve">Fármacos como warfarina, heparina y anticoagulantes orales directos se asocian con menorragia, menstruaciones prolongadas y sangrado posmenopáusico</w:t>
      </w:r>
      <w:r w:rsidDel="00000000" w:rsidR="00000000" w:rsidRPr="00000000">
        <w:rPr>
          <w:sz w:val="24"/>
          <w:szCs w:val="24"/>
          <w:vertAlign w:val="superscript"/>
          <w:rtl w:val="0"/>
        </w:rPr>
        <w:t xml:space="preserve">3,4</w:t>
      </w:r>
      <w:r w:rsidDel="00000000" w:rsidR="00000000" w:rsidRPr="00000000">
        <w:rPr>
          <w:sz w:val="24"/>
          <w:szCs w:val="24"/>
          <w:rtl w:val="0"/>
        </w:rPr>
        <w:t xml:space="preserve">.</w:t>
      </w:r>
    </w:p>
    <w:p w:rsidR="00000000" w:rsidDel="00000000" w:rsidP="00000000" w:rsidRDefault="00000000" w:rsidRPr="00000000" w14:paraId="000000DA">
      <w:pPr>
        <w:pStyle w:val="Heading3"/>
        <w:jc w:val="both"/>
        <w:rPr>
          <w:sz w:val="30"/>
          <w:szCs w:val="30"/>
        </w:rPr>
      </w:pPr>
      <w:bookmarkStart w:colFirst="0" w:colLast="0" w:name="_sjdajzmnf2q8" w:id="30"/>
      <w:bookmarkEnd w:id="30"/>
      <w:r w:rsidDel="00000000" w:rsidR="00000000" w:rsidRPr="00000000">
        <w:rPr>
          <w:b w:val="1"/>
          <w:color w:val="1c4587"/>
          <w:sz w:val="30"/>
          <w:szCs w:val="30"/>
          <w:rtl w:val="0"/>
        </w:rPr>
        <w:t xml:space="preserve">NO CLASIFICADO EN OTRA PARTE: </w:t>
      </w:r>
      <w:r w:rsidDel="00000000" w:rsidR="00000000" w:rsidRPr="00000000">
        <w:rPr>
          <w:rtl w:val="0"/>
        </w:rPr>
      </w:r>
    </w:p>
    <w:p w:rsidR="00000000" w:rsidDel="00000000" w:rsidP="00000000" w:rsidRDefault="00000000" w:rsidRPr="00000000" w14:paraId="000000DB">
      <w:pPr>
        <w:spacing w:after="240" w:before="240" w:lineRule="auto"/>
        <w:jc w:val="both"/>
        <w:rPr>
          <w:sz w:val="24"/>
          <w:szCs w:val="24"/>
          <w:vertAlign w:val="superscript"/>
        </w:rPr>
      </w:pPr>
      <w:r w:rsidDel="00000000" w:rsidR="00000000" w:rsidRPr="00000000">
        <w:rPr>
          <w:sz w:val="24"/>
          <w:szCs w:val="24"/>
          <w:rtl w:val="0"/>
        </w:rPr>
        <w:t xml:space="preserve">Este grupo de entidades que causan sangrado uterino anormal está mal definido, no se ha estudiado adecuadamente y, por lo general, es poco frecuente. Incluye malformaciones arteriovenosas, hipertrofia miometrial e istmocele uterino secundario a un defecto en la cicatriz de la cesárea. </w:t>
      </w:r>
      <w:r w:rsidDel="00000000" w:rsidR="00000000" w:rsidRPr="00000000">
        <w:rPr>
          <w:sz w:val="24"/>
          <w:szCs w:val="24"/>
          <w:vertAlign w:val="superscript"/>
          <w:rtl w:val="0"/>
        </w:rPr>
        <w:t xml:space="preserve">3,4,7</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C">
      <w:pPr>
        <w:pStyle w:val="Heading2"/>
        <w:jc w:val="both"/>
        <w:rPr>
          <w:rFonts w:ascii="Lilita One" w:cs="Lilita One" w:eastAsia="Lilita One" w:hAnsi="Lilita One"/>
        </w:rPr>
      </w:pPr>
      <w:bookmarkStart w:colFirst="0" w:colLast="0" w:name="_lz158ljmvv0t" w:id="31"/>
      <w:bookmarkEnd w:id="31"/>
      <w:r w:rsidDel="00000000" w:rsidR="00000000" w:rsidRPr="00000000">
        <w:rPr>
          <w:rFonts w:ascii="Lilita One" w:cs="Lilita One" w:eastAsia="Lilita One" w:hAnsi="Lilita One"/>
          <w:rtl w:val="0"/>
        </w:rPr>
        <w:t xml:space="preserve">MANIFESTACIONES CLÍNICAS </w:t>
      </w:r>
    </w:p>
    <w:p w:rsidR="00000000" w:rsidDel="00000000" w:rsidP="00000000" w:rsidRDefault="00000000" w:rsidRPr="00000000" w14:paraId="000000DD">
      <w:pPr>
        <w:ind w:left="0" w:firstLine="0"/>
        <w:jc w:val="both"/>
        <w:rPr>
          <w:sz w:val="24"/>
          <w:szCs w:val="24"/>
          <w:vertAlign w:val="superscript"/>
        </w:rPr>
      </w:pPr>
      <w:r w:rsidDel="00000000" w:rsidR="00000000" w:rsidRPr="00000000">
        <w:rPr>
          <w:rFonts w:ascii="Arial Unicode MS" w:cs="Arial Unicode MS" w:eastAsia="Arial Unicode MS" w:hAnsi="Arial Unicode MS"/>
          <w:sz w:val="24"/>
          <w:szCs w:val="24"/>
          <w:rtl w:val="0"/>
        </w:rPr>
        <w:t xml:space="preserve">La paciente con HUA puede ser asintomática, y en caso de presentar síntomas puede referir sangrado vaginal abundante, prolongado, doloroso, que requiere cambio continuo de toallas higiénicas o tampones, traspasa la ropa e incluso las sábanas; acompañado o no de coágulos que usualmente son ≥ 2.5 cm; dispareunia, dolor pélvico crónico, infertilidad </w:t>
      </w:r>
      <w:r w:rsidDel="00000000" w:rsidR="00000000" w:rsidRPr="00000000">
        <w:rPr>
          <w:sz w:val="24"/>
          <w:szCs w:val="24"/>
          <w:vertAlign w:val="superscript"/>
          <w:rtl w:val="0"/>
        </w:rPr>
        <w:t xml:space="preserve">1,3,4</w:t>
      </w:r>
      <w:r w:rsidDel="00000000" w:rsidR="00000000" w:rsidRPr="00000000">
        <w:rPr>
          <w:sz w:val="24"/>
          <w:szCs w:val="24"/>
          <w:rtl w:val="0"/>
        </w:rPr>
        <w:t xml:space="preserve">.Puede o no presentar síntomas  relacionados  con  anemia  como  fatiga,  palidez,  cefalea, mareo, síncope, disnea y pérdida de la conciencia </w:t>
      </w:r>
      <w:r w:rsidDel="00000000" w:rsidR="00000000" w:rsidRPr="00000000">
        <w:rPr>
          <w:sz w:val="24"/>
          <w:szCs w:val="24"/>
          <w:vertAlign w:val="superscript"/>
          <w:rtl w:val="0"/>
        </w:rPr>
        <w:t xml:space="preserve">1</w:t>
      </w:r>
    </w:p>
    <w:p w:rsidR="00000000" w:rsidDel="00000000" w:rsidP="00000000" w:rsidRDefault="00000000" w:rsidRPr="00000000" w14:paraId="000000DE">
      <w:pPr>
        <w:ind w:left="0" w:firstLine="0"/>
        <w:jc w:val="both"/>
        <w:rPr>
          <w:sz w:val="24"/>
          <w:szCs w:val="24"/>
          <w:vertAlign w:val="superscript"/>
        </w:rPr>
      </w:pPr>
      <w:r w:rsidDel="00000000" w:rsidR="00000000" w:rsidRPr="00000000">
        <w:rPr>
          <w:rtl w:val="0"/>
        </w:rPr>
      </w:r>
    </w:p>
    <w:p w:rsidR="00000000" w:rsidDel="00000000" w:rsidP="00000000" w:rsidRDefault="00000000" w:rsidRPr="00000000" w14:paraId="000000DF">
      <w:pPr>
        <w:pStyle w:val="Heading2"/>
        <w:jc w:val="both"/>
        <w:rPr>
          <w:rFonts w:ascii="Lilita One" w:cs="Lilita One" w:eastAsia="Lilita One" w:hAnsi="Lilita One"/>
        </w:rPr>
      </w:pPr>
      <w:bookmarkStart w:colFirst="0" w:colLast="0" w:name="_mws9jb194tca" w:id="32"/>
      <w:bookmarkEnd w:id="32"/>
      <w:r w:rsidDel="00000000" w:rsidR="00000000" w:rsidRPr="00000000">
        <w:rPr>
          <w:rFonts w:ascii="Lilita One" w:cs="Lilita One" w:eastAsia="Lilita One" w:hAnsi="Lilita One"/>
          <w:rtl w:val="0"/>
        </w:rPr>
        <w:t xml:space="preserve">ABORDAJE DIAGNÓSTICO </w:t>
      </w:r>
    </w:p>
    <w:p w:rsidR="00000000" w:rsidDel="00000000" w:rsidP="00000000" w:rsidRDefault="00000000" w:rsidRPr="00000000" w14:paraId="000000E0">
      <w:pPr>
        <w:pStyle w:val="Heading3"/>
        <w:jc w:val="both"/>
        <w:rPr>
          <w:rFonts w:ascii="Lilita One" w:cs="Lilita One" w:eastAsia="Lilita One" w:hAnsi="Lilita One"/>
          <w:color w:val="4a86e8"/>
        </w:rPr>
      </w:pPr>
      <w:bookmarkStart w:colFirst="0" w:colLast="0" w:name="_36im0zne92c1" w:id="33"/>
      <w:bookmarkEnd w:id="33"/>
      <w:r w:rsidDel="00000000" w:rsidR="00000000" w:rsidRPr="00000000">
        <w:rPr>
          <w:rFonts w:ascii="Lilita One" w:cs="Lilita One" w:eastAsia="Lilita One" w:hAnsi="Lilita One"/>
          <w:color w:val="4a86e8"/>
          <w:rtl w:val="0"/>
        </w:rPr>
        <w:t xml:space="preserve">Historia clínica </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El enfoque diagnóstico de la hemorragia uterina anormal debe estructurarse a partir de la resolución de</w:t>
      </w:r>
      <w:r w:rsidDel="00000000" w:rsidR="00000000" w:rsidRPr="00000000">
        <w:rPr>
          <w:b w:val="1"/>
          <w:sz w:val="24"/>
          <w:szCs w:val="24"/>
          <w:rtl w:val="0"/>
        </w:rPr>
        <w:t xml:space="preserve"> </w:t>
      </w:r>
      <w:r w:rsidDel="00000000" w:rsidR="00000000" w:rsidRPr="00000000">
        <w:rPr>
          <w:sz w:val="24"/>
          <w:szCs w:val="24"/>
          <w:rtl w:val="0"/>
        </w:rPr>
        <w:t xml:space="preserve">cuatro preguntas clínicas esenciales, que permiten guiar las decisiones diagnósticas y terapéuticas inmediatas:</w:t>
      </w:r>
    </w:p>
    <w:p w:rsidR="00000000" w:rsidDel="00000000" w:rsidP="00000000" w:rsidRDefault="00000000" w:rsidRPr="00000000" w14:paraId="000000E2">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¿La paciente se encuentra hemodinámicamente estable?</w:t>
      </w:r>
    </w:p>
    <w:p w:rsidR="00000000" w:rsidDel="00000000" w:rsidP="00000000" w:rsidRDefault="00000000" w:rsidRPr="00000000" w14:paraId="000000E3">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¿Tiene anemia?, ¿Qué grado?</w:t>
      </w:r>
    </w:p>
    <w:p w:rsidR="00000000" w:rsidDel="00000000" w:rsidP="00000000" w:rsidRDefault="00000000" w:rsidRPr="00000000" w14:paraId="000000E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¿Está en embarazo?</w:t>
      </w:r>
    </w:p>
    <w:p w:rsidR="00000000" w:rsidDel="00000000" w:rsidP="00000000" w:rsidRDefault="00000000" w:rsidRPr="00000000" w14:paraId="000000E5">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¿Cuál es el diagnóstico más probable según su edad?</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La respuesta a estos interrogantes se obtiene a través de una historia clínica exhaustiva y dirigida, que permite identificar patrones, sospechar etiologías y priorizar riesgos. El proceso debe iniciar con una anamnesis detallada, enfocada en caracterizar el patrón del sangrado actual y los ciclos menstruales previos. Es esencial documentar la </w:t>
      </w:r>
      <w:r w:rsidDel="00000000" w:rsidR="00000000" w:rsidRPr="00000000">
        <w:rPr>
          <w:b w:val="1"/>
          <w:sz w:val="24"/>
          <w:szCs w:val="24"/>
          <w:rtl w:val="0"/>
        </w:rPr>
        <w:t xml:space="preserve">frecuencia, regularidad, duración y volumen</w:t>
      </w:r>
      <w:r w:rsidDel="00000000" w:rsidR="00000000" w:rsidRPr="00000000">
        <w:rPr>
          <w:sz w:val="24"/>
          <w:szCs w:val="24"/>
          <w:rtl w:val="0"/>
        </w:rPr>
        <w:t xml:space="preserve"> de las menstruaciones habituales, así como la </w:t>
      </w:r>
      <w:r w:rsidDel="00000000" w:rsidR="00000000" w:rsidRPr="00000000">
        <w:rPr>
          <w:b w:val="1"/>
          <w:sz w:val="24"/>
          <w:szCs w:val="24"/>
          <w:rtl w:val="0"/>
        </w:rPr>
        <w:t xml:space="preserve">cronología del episodio actual</w:t>
      </w:r>
      <w:r w:rsidDel="00000000" w:rsidR="00000000" w:rsidRPr="00000000">
        <w:rPr>
          <w:sz w:val="24"/>
          <w:szCs w:val="24"/>
          <w:rtl w:val="0"/>
        </w:rPr>
        <w:t xml:space="preserve">: si el sangrado ocurrió en la fecha esperada de la menstruación, si fue prematuro o se presentó con retraso. Además, debe indagarse por </w:t>
      </w:r>
      <w:r w:rsidDel="00000000" w:rsidR="00000000" w:rsidRPr="00000000">
        <w:rPr>
          <w:b w:val="1"/>
          <w:sz w:val="24"/>
          <w:szCs w:val="24"/>
          <w:rtl w:val="0"/>
        </w:rPr>
        <w:t xml:space="preserve">episodios similares anteriores</w:t>
      </w:r>
      <w:r w:rsidDel="00000000" w:rsidR="00000000" w:rsidRPr="00000000">
        <w:rPr>
          <w:sz w:val="24"/>
          <w:szCs w:val="24"/>
          <w:rtl w:val="0"/>
        </w:rPr>
        <w:t xml:space="preserve">, lo que podría indicar recurrencia o una condición subyacente de larga evolución </w:t>
      </w:r>
      <w:r w:rsidDel="00000000" w:rsidR="00000000" w:rsidRPr="00000000">
        <w:rPr>
          <w:sz w:val="24"/>
          <w:szCs w:val="24"/>
          <w:vertAlign w:val="superscript"/>
          <w:rtl w:val="0"/>
        </w:rPr>
        <w:t xml:space="preserve">1,3,8,9</w:t>
      </w:r>
      <w:r w:rsidDel="00000000" w:rsidR="00000000" w:rsidRPr="00000000">
        <w:rPr>
          <w:rtl w:val="0"/>
        </w:rPr>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La objetivación del sangrado puede realizarse mediante herramientas breves que permitan una estimación práctica del volumen percibido, así como su interferencia en las actividades cotidianas y el bienestar general. En este contexto, se ha propuesto el uso del cuestionario SAMANTA como instrumento de cribado validado para la identificación de HUA en mujeres adultas</w:t>
      </w:r>
      <w:r w:rsidDel="00000000" w:rsidR="00000000" w:rsidRPr="00000000">
        <w:rPr>
          <w:sz w:val="24"/>
          <w:szCs w:val="24"/>
          <w:vertAlign w:val="superscript"/>
          <w:rtl w:val="0"/>
        </w:rPr>
        <w:t xml:space="preserve">5</w:t>
      </w:r>
      <w:r w:rsidDel="00000000" w:rsidR="00000000" w:rsidRPr="00000000">
        <w:rPr>
          <w:sz w:val="24"/>
          <w:szCs w:val="24"/>
          <w:rtl w:val="0"/>
        </w:rPr>
        <w:t xml:space="preserve">. Este cuestionario fue desarrollado en España y publicado en 2020 como una alternativa sencilla y efectiva para detectar HUA con impacto clínicamente significativo. Está compuesto por seis ítems que abordan tanto la intensidad y duración del sangrado como su interferencia en la calidad de vida y las actividades diarias. La puntuación total varía entre 0 y 10 puntos, y una puntuación igual o superior a 3 se considera indicativa de HUA clínicamente relevante que afecta la calidad de vida de la paciente </w:t>
      </w:r>
      <w:r w:rsidDel="00000000" w:rsidR="00000000" w:rsidRPr="00000000">
        <w:rPr>
          <w:sz w:val="24"/>
          <w:szCs w:val="24"/>
          <w:vertAlign w:val="superscript"/>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Una característica destacable del cuestionario SAMANTA es su enfoque centrado en la paciente. En su desarrollo, se incorporó activamente la participación de mujeres con experiencia directa de HUA en la redacción y validación de los ítems. El proceso inició con una revisión sistemática de la literatura para identificar instrumentos previamente existentes relacionados con hemorragia uterina anormal y su impacto sobre la calidad de vida relacionada con la salud (CVRS). De este análisis surgieron 46 preguntas iniciales, de las cuales un comité de ginecólogos expertos seleccionó 27 ítems pertinentes y culturalmente adaptados al contexto español </w:t>
      </w:r>
      <w:r w:rsidDel="00000000" w:rsidR="00000000" w:rsidRPr="00000000">
        <w:rPr>
          <w:sz w:val="24"/>
          <w:szCs w:val="24"/>
          <w:vertAlign w:val="superscript"/>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Estos ítems fueron evaluados mediante entrevistas cognitivas en una muestra diversa de diez mujeres con HUA, con variabilidad en edad, nivel educativo y origen sociocultural, lo que permitió analizar la comprensibilidad y aplicabilidad del cuestionario. Tras este proceso, se eliminaron 9 preguntas, se reformularon 8 y se añadieron 3 nuevas. Finalmente, un comité científico realizó una nueva revisión, consolidando un instrumento preliminar de 21 ítems, que fue sometido a análisis psicométrico</w:t>
      </w:r>
      <w:r w:rsidDel="00000000" w:rsidR="00000000" w:rsidRPr="00000000">
        <w:rPr>
          <w:sz w:val="24"/>
          <w:szCs w:val="24"/>
          <w:vertAlign w:val="superscript"/>
          <w:rtl w:val="0"/>
        </w:rPr>
        <w:t xml:space="preserve">5</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El proceso de validación permitió identificar las preguntas con mayor sensibilidad, especificidad y valor discriminativo, dando origen al instrumento final de 6 ítems. Utilizando como estándar de referencia un PBAC (Pictorial Blood Assessment Chart) ≥ 100, el cuestionario SAMANTA demostró una sensibilidad del 86,7% y una especificidad del 89,5%, con un valor predictivo positivo de 92%, valor predictivo negativo de 83% y capacidad discriminatoria global del 87,9%. Además, mostró buena consistencia interna y una correlación significativa entre la puntuación total y la percepción subjetiva del volumen menstrual, así como con el grado de afectación en las actividades diarias </w:t>
      </w:r>
      <w:r w:rsidDel="00000000" w:rsidR="00000000" w:rsidRPr="00000000">
        <w:rPr>
          <w:sz w:val="24"/>
          <w:szCs w:val="24"/>
          <w:vertAlign w:val="superscript"/>
          <w:rtl w:val="0"/>
        </w:rPr>
        <w:t xml:space="preserve">5</w:t>
      </w:r>
      <w:r w:rsidDel="00000000" w:rsidR="00000000" w:rsidRPr="00000000">
        <w:rPr>
          <w:rtl w:val="0"/>
        </w:rPr>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Este instrumento constituye, por tanto, una herramienta de utilidad clínica en contextos ambulatorios y hospitalarios, especialmente cuando no se dispone de métodos objetivos inmediatos para cuantificar el sangrado. Su sencillez, validez diagnóstica y enfoque centrado en la paciente lo convierten en una opción práctica para la identificación y seguimiento de la HUA </w:t>
      </w:r>
      <w:r w:rsidDel="00000000" w:rsidR="00000000" w:rsidRPr="00000000">
        <w:rPr>
          <w:sz w:val="24"/>
          <w:szCs w:val="24"/>
          <w:vertAlign w:val="superscript"/>
          <w:rtl w:val="0"/>
        </w:rPr>
        <w:t xml:space="preserve">5</w:t>
      </w:r>
      <w:r w:rsidDel="00000000" w:rsidR="00000000" w:rsidRPr="00000000">
        <w:rPr>
          <w:rtl w:val="0"/>
        </w:rPr>
      </w:r>
    </w:p>
    <w:p w:rsidR="00000000" w:rsidDel="00000000" w:rsidP="00000000" w:rsidRDefault="00000000" w:rsidRPr="00000000" w14:paraId="000000E9">
      <w:pPr>
        <w:spacing w:after="240" w:before="240" w:lineRule="auto"/>
        <w:jc w:val="center"/>
        <w:rPr>
          <w:sz w:val="24"/>
          <w:szCs w:val="24"/>
        </w:rPr>
      </w:pPr>
      <w:r w:rsidDel="00000000" w:rsidR="00000000" w:rsidRPr="00000000">
        <w:rPr>
          <w:sz w:val="24"/>
          <w:szCs w:val="24"/>
        </w:rPr>
        <w:drawing>
          <wp:inline distB="114300" distT="114300" distL="114300" distR="114300">
            <wp:extent cx="5329238" cy="308207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29238" cy="308207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jc w:val="both"/>
        <w:rPr>
          <w:i w:val="1"/>
          <w:sz w:val="24"/>
          <w:szCs w:val="24"/>
        </w:rPr>
      </w:pPr>
      <w:r w:rsidDel="00000000" w:rsidR="00000000" w:rsidRPr="00000000">
        <w:rPr>
          <w:i w:val="1"/>
          <w:sz w:val="24"/>
          <w:szCs w:val="24"/>
          <w:rtl w:val="0"/>
        </w:rPr>
        <w:t xml:space="preserve">Figura 3: Tomado de:  J. Perelló, J. Rius Tarruella and J. Calaf, Sangrado menstrual abundante y su detección en la práctica clínica, Med Clin (Barc)., https://doi.org/10.1016/j.medcli.2021.02.006</w:t>
      </w:r>
      <w:r w:rsidDel="00000000" w:rsidR="00000000" w:rsidRPr="00000000">
        <w:rPr>
          <w:rtl w:val="0"/>
        </w:rPr>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Los antecedentes gineco-obstétricos deben incluir la fecha de la última menstruación (FUM), el número y características de embarazos previos, antecedentes de hemorragia posparto u otras complicaciones relevantes. La posibilidad de embarazo actual debe descartarse activamente en toda mujer en edad reproductiva, independientemente del método anticonceptivo utilizado. Entre las causas obstétricas diferenciales de HUA en esta población deben considerarse el embarazo ectópico, la enfermedad trofoblástica gestacional y las diferentes formas de aborto</w:t>
      </w:r>
      <w:r w:rsidDel="00000000" w:rsidR="00000000" w:rsidRPr="00000000">
        <w:rPr>
          <w:sz w:val="24"/>
          <w:szCs w:val="24"/>
          <w:vertAlign w:val="superscript"/>
          <w:rtl w:val="0"/>
        </w:rPr>
        <w:t xml:space="preserve">1,9-12</w:t>
      </w:r>
      <w:r w:rsidDel="00000000" w:rsidR="00000000" w:rsidRPr="00000000">
        <w:rPr>
          <w:rtl w:val="0"/>
        </w:rPr>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Asimismo, debe obtenerse información sobre la última citología cervical, comorbilidades médicas (incluyendo enfermedades hematológicas o endocrinas), y el uso de medicamentos que pueden alterar la hemostasia, como los anticonceptivos hormonales, la terapia de reemplazo hormonal, anticoagulantes o antiagregantes. La historia de hemorragias anormales asociadas a procedimientos quirúrgicos, así como la presencia de sangrados por otras vías (gingivorragia, epistaxis, hematuria, rectorragia), lesiones en piel o mucosas, o antecedentes familiares de trastornos hemorrágicos, son claves para sospechar coagulopatías </w:t>
      </w:r>
      <w:r w:rsidDel="00000000" w:rsidR="00000000" w:rsidRPr="00000000">
        <w:rPr>
          <w:sz w:val="24"/>
          <w:szCs w:val="24"/>
          <w:vertAlign w:val="superscript"/>
          <w:rtl w:val="0"/>
        </w:rPr>
        <w:t xml:space="preserve">1-9,11</w:t>
      </w:r>
      <w:r w:rsidDel="00000000" w:rsidR="00000000" w:rsidRPr="00000000">
        <w:rPr>
          <w:rtl w:val="0"/>
        </w:rPr>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Desde el punto de vista físico, el examen debe iniciar con la evaluación de la estabilidad hemodinámica. Aunque pacientes jóvenes pueden presentar signos vitales normales a pesar de pérdidas significativas, se recomienda una vigilancia seriada de la presión arterial, frecuencia cardíaca y otros parámetros clínicos, para detectar signos de hipovolemia. La evaluación del sangrado debe ser tanto subjetiva (coágulos, saturación de toallas higiénicas) como objetiva, mediante la solicitud de hemoglobina y hematocrito. El hallazgo de palidez en piel y conjuntivas es indicativo de anemia, y la presencia de petequias, púrpura o sangrado en mucosas debe hacer sospechar una alteración hematológica </w:t>
      </w:r>
      <w:r w:rsidDel="00000000" w:rsidR="00000000" w:rsidRPr="00000000">
        <w:rPr>
          <w:sz w:val="24"/>
          <w:szCs w:val="24"/>
          <w:vertAlign w:val="superscript"/>
          <w:rtl w:val="0"/>
        </w:rPr>
        <w:t xml:space="preserve">1,9-12</w:t>
      </w:r>
      <w:r w:rsidDel="00000000" w:rsidR="00000000" w:rsidRPr="00000000">
        <w:rPr>
          <w:rtl w:val="0"/>
        </w:rPr>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El examen abdominal permite identificar masas, dolor a la palpación o signos de irritación peritoneal, que pueden ser compatibles con enfermedad inflamatoria pélvica, quistes hemorrágicos o embarazo ectópico roto. El examen ginecológico, que incluye la inspección con espéculo y el tacto bimanual, es indispensable para identificar la fuente y características del sangrado, evaluar la presencia de traumas, restos ovulares, cuerpos extraños, lesiones cervicales o uterinas, y valorar la forma y tamaño del útero, así como la presencia de masas anexiales o dolor a la movilización. En los casos en que la fuente del sangrado no sea evidente, debe completarse el abordaje con la inspección de la uretra y la realización de un tacto rectal, para descartar otras causas extragenitales </w:t>
      </w:r>
      <w:r w:rsidDel="00000000" w:rsidR="00000000" w:rsidRPr="00000000">
        <w:rPr>
          <w:sz w:val="24"/>
          <w:szCs w:val="24"/>
          <w:vertAlign w:val="superscript"/>
          <w:rtl w:val="0"/>
        </w:rPr>
        <w:t xml:space="preserve">1,2,11</w:t>
      </w:r>
      <w:r w:rsidDel="00000000" w:rsidR="00000000" w:rsidRPr="00000000">
        <w:rPr>
          <w:rtl w:val="0"/>
        </w:rPr>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Se debe realizar un </w:t>
      </w:r>
      <w:r w:rsidDel="00000000" w:rsidR="00000000" w:rsidRPr="00000000">
        <w:rPr>
          <w:b w:val="1"/>
          <w:sz w:val="24"/>
          <w:szCs w:val="24"/>
          <w:rtl w:val="0"/>
        </w:rPr>
        <w:t xml:space="preserve">cribado inicial para trastornos de la hemostasia,</w:t>
      </w:r>
      <w:r w:rsidDel="00000000" w:rsidR="00000000" w:rsidRPr="00000000">
        <w:rPr>
          <w:sz w:val="24"/>
          <w:szCs w:val="24"/>
          <w:rtl w:val="0"/>
        </w:rPr>
        <w:t xml:space="preserve"> con las siguientes </w:t>
      </w:r>
      <w:r w:rsidDel="00000000" w:rsidR="00000000" w:rsidRPr="00000000">
        <w:rPr>
          <w:sz w:val="24"/>
          <w:szCs w:val="24"/>
          <w:vertAlign w:val="superscript"/>
          <w:rtl w:val="0"/>
        </w:rPr>
        <w:t xml:space="preserve">1</w:t>
      </w:r>
      <w:r w:rsidDel="00000000" w:rsidR="00000000" w:rsidRPr="00000000">
        <w:rPr>
          <w:sz w:val="24"/>
          <w:szCs w:val="24"/>
          <w:rtl w:val="0"/>
        </w:rPr>
        <w:t xml:space="preserve">:  </w:t>
      </w:r>
    </w:p>
    <w:tbl>
      <w:tblPr>
        <w:tblStyle w:val="Table3"/>
        <w:tblW w:w="7425.0" w:type="dxa"/>
        <w:jc w:val="left"/>
        <w:tblInd w:w="12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425"/>
        <w:tblGridChange w:id="0">
          <w:tblGrid>
            <w:gridCol w:w="742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0">
            <w:pPr>
              <w:numPr>
                <w:ilvl w:val="0"/>
                <w:numId w:val="25"/>
              </w:numPr>
              <w:spacing w:after="0" w:afterAutospacing="0" w:before="24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Sangrado menstrual abundante desde la menarquia </w:t>
            </w:r>
          </w:p>
          <w:p w:rsidR="00000000" w:rsidDel="00000000" w:rsidP="00000000" w:rsidRDefault="00000000" w:rsidRPr="00000000" w14:paraId="000000F1">
            <w:pPr>
              <w:numPr>
                <w:ilvl w:val="0"/>
                <w:numId w:val="25"/>
              </w:numPr>
              <w:spacing w:after="0" w:afterAutospacing="0" w:before="0" w:beforeAutospacing="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Una de las siguientes condiciones </w:t>
            </w:r>
          </w:p>
          <w:p w:rsidR="00000000" w:rsidDel="00000000" w:rsidP="00000000" w:rsidRDefault="00000000" w:rsidRPr="00000000" w14:paraId="000000F2">
            <w:pPr>
              <w:numPr>
                <w:ilvl w:val="1"/>
                <w:numId w:val="25"/>
              </w:numPr>
              <w:spacing w:after="0" w:afterAutospacing="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Hemorragia posparto </w:t>
            </w:r>
          </w:p>
          <w:p w:rsidR="00000000" w:rsidDel="00000000" w:rsidP="00000000" w:rsidRDefault="00000000" w:rsidRPr="00000000" w14:paraId="000000F3">
            <w:pPr>
              <w:numPr>
                <w:ilvl w:val="1"/>
                <w:numId w:val="25"/>
              </w:numPr>
              <w:spacing w:after="0" w:afterAutospacing="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Sangrado relacionado con cirugía </w:t>
            </w:r>
          </w:p>
          <w:p w:rsidR="00000000" w:rsidDel="00000000" w:rsidP="00000000" w:rsidRDefault="00000000" w:rsidRPr="00000000" w14:paraId="000000F4">
            <w:pPr>
              <w:numPr>
                <w:ilvl w:val="1"/>
                <w:numId w:val="25"/>
              </w:numPr>
              <w:spacing w:after="0" w:afterAutospacing="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Sangrado ocasionado por procedimientos dentales </w:t>
            </w:r>
          </w:p>
          <w:p w:rsidR="00000000" w:rsidDel="00000000" w:rsidP="00000000" w:rsidRDefault="00000000" w:rsidRPr="00000000" w14:paraId="000000F5">
            <w:pPr>
              <w:numPr>
                <w:ilvl w:val="0"/>
                <w:numId w:val="25"/>
              </w:numPr>
              <w:spacing w:after="0" w:afterAutospacing="0" w:before="0" w:beforeAutospacing="0" w:lineRule="auto"/>
              <w:ind w:left="72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Dos o más de las siguientes</w:t>
            </w:r>
          </w:p>
          <w:p w:rsidR="00000000" w:rsidDel="00000000" w:rsidP="00000000" w:rsidRDefault="00000000" w:rsidRPr="00000000" w14:paraId="000000F6">
            <w:pPr>
              <w:numPr>
                <w:ilvl w:val="1"/>
                <w:numId w:val="25"/>
              </w:numPr>
              <w:spacing w:after="0" w:afterAutospacing="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Moretones una o dos veces al mes </w:t>
            </w:r>
          </w:p>
          <w:p w:rsidR="00000000" w:rsidDel="00000000" w:rsidP="00000000" w:rsidRDefault="00000000" w:rsidRPr="00000000" w14:paraId="000000F7">
            <w:pPr>
              <w:numPr>
                <w:ilvl w:val="1"/>
                <w:numId w:val="25"/>
              </w:numPr>
              <w:spacing w:after="0" w:afterAutospacing="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Epistaxis, una o dos veces al mes </w:t>
            </w:r>
          </w:p>
          <w:p w:rsidR="00000000" w:rsidDel="00000000" w:rsidP="00000000" w:rsidRDefault="00000000" w:rsidRPr="00000000" w14:paraId="000000F8">
            <w:pPr>
              <w:numPr>
                <w:ilvl w:val="1"/>
                <w:numId w:val="25"/>
              </w:numPr>
              <w:spacing w:after="0" w:afterAutospacing="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Sangrado frecuente de encías </w:t>
            </w:r>
          </w:p>
          <w:p w:rsidR="00000000" w:rsidDel="00000000" w:rsidP="00000000" w:rsidRDefault="00000000" w:rsidRPr="00000000" w14:paraId="000000F9">
            <w:pPr>
              <w:numPr>
                <w:ilvl w:val="1"/>
                <w:numId w:val="25"/>
              </w:numPr>
              <w:spacing w:after="240" w:before="0" w:beforeAutospacing="0" w:lineRule="auto"/>
              <w:ind w:left="1440" w:hanging="360"/>
              <w:jc w:val="both"/>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Antecedentes familiares de síntomas de sangrado.</w:t>
            </w:r>
          </w:p>
        </w:tc>
      </w:tr>
    </w:tbl>
    <w:p w:rsidR="00000000" w:rsidDel="00000000" w:rsidP="00000000" w:rsidRDefault="00000000" w:rsidRPr="00000000" w14:paraId="000000FA">
      <w:pPr>
        <w:spacing w:after="240" w:before="240" w:lineRule="auto"/>
        <w:jc w:val="both"/>
        <w:rPr>
          <w:i w:val="1"/>
          <w:sz w:val="24"/>
          <w:szCs w:val="24"/>
        </w:rPr>
      </w:pPr>
      <w:r w:rsidDel="00000000" w:rsidR="00000000" w:rsidRPr="00000000">
        <w:rPr>
          <w:i w:val="1"/>
          <w:sz w:val="24"/>
          <w:szCs w:val="24"/>
          <w:rtl w:val="0"/>
        </w:rPr>
        <w:t xml:space="preserve">Figura 4. Cribado para trastornos de la hemostasia.Adaptado de: ACOG, Management of acute abnormal uterine bleeding in nonpregnant reproductive-aged woman. Obstet Gynecol 2013; 557:1-6</w:t>
      </w:r>
    </w:p>
    <w:p w:rsidR="00000000" w:rsidDel="00000000" w:rsidP="00000000" w:rsidRDefault="00000000" w:rsidRPr="00000000" w14:paraId="000000FB">
      <w:pPr>
        <w:pStyle w:val="Heading3"/>
        <w:jc w:val="both"/>
        <w:rPr>
          <w:rFonts w:ascii="Lilita One" w:cs="Lilita One" w:eastAsia="Lilita One" w:hAnsi="Lilita One"/>
          <w:color w:val="4a86e8"/>
        </w:rPr>
      </w:pPr>
      <w:bookmarkStart w:colFirst="0" w:colLast="0" w:name="_3oi2mcd6zd6a" w:id="34"/>
      <w:bookmarkEnd w:id="34"/>
      <w:r w:rsidDel="00000000" w:rsidR="00000000" w:rsidRPr="00000000">
        <w:rPr>
          <w:rFonts w:ascii="Lilita One" w:cs="Lilita One" w:eastAsia="Lilita One" w:hAnsi="Lilita One"/>
          <w:color w:val="4a86e8"/>
          <w:rtl w:val="0"/>
        </w:rPr>
        <w:t xml:space="preserve">Descartar diagnósticos diferenciales </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I</w:t>
      </w:r>
      <w:r w:rsidDel="00000000" w:rsidR="00000000" w:rsidRPr="00000000">
        <w:rPr>
          <w:sz w:val="24"/>
          <w:szCs w:val="24"/>
          <w:rtl w:val="0"/>
        </w:rPr>
        <w:t xml:space="preserve">mplica una evaluación integral que descarte otras localizaciones anatómicas y condiciones sistémicas que pueden simular o contribuir al sangrado genital  </w:t>
      </w:r>
      <w:r w:rsidDel="00000000" w:rsidR="00000000" w:rsidRPr="00000000">
        <w:rPr>
          <w:sz w:val="24"/>
          <w:szCs w:val="24"/>
          <w:vertAlign w:val="superscript"/>
          <w:rtl w:val="0"/>
        </w:rPr>
        <w:t xml:space="preserve">3,9</w:t>
      </w:r>
      <w:r w:rsidDel="00000000" w:rsidR="00000000" w:rsidRPr="00000000">
        <w:rPr>
          <w:rtl w:val="0"/>
        </w:rPr>
      </w:r>
    </w:p>
    <w:tbl>
      <w:tblPr>
        <w:tblStyle w:val="Table4"/>
        <w:tblW w:w="11820.0" w:type="dxa"/>
        <w:jc w:val="left"/>
        <w:tblInd w:w="-1241.57480314960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3090"/>
        <w:gridCol w:w="5205"/>
        <w:tblGridChange w:id="0">
          <w:tblGrid>
            <w:gridCol w:w="3525"/>
            <w:gridCol w:w="3090"/>
            <w:gridCol w:w="5205"/>
          </w:tblGrid>
        </w:tblGridChange>
      </w:tblGrid>
      <w:tr>
        <w:trPr>
          <w:cantSplit w:val="0"/>
          <w:trHeight w:val="2683.828125" w:hRule="atLeast"/>
          <w:tblHeader w:val="0"/>
        </w:trPr>
        <w:tc>
          <w:tcPr>
            <w:shd w:fill="fff2cc"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0FD">
            <w:pPr>
              <w:widowControl w:val="0"/>
              <w:spacing w:after="240" w:before="240" w:line="240" w:lineRule="auto"/>
              <w:ind w:left="0" w:firstLine="0"/>
              <w:jc w:val="center"/>
              <w:rPr>
                <w:b w:val="1"/>
                <w:u w:val="single"/>
              </w:rPr>
            </w:pPr>
            <w:r w:rsidDel="00000000" w:rsidR="00000000" w:rsidRPr="00000000">
              <w:rPr>
                <w:b w:val="1"/>
                <w:u w:val="single"/>
                <w:rtl w:val="0"/>
              </w:rPr>
              <w:t xml:space="preserve">Vulva</w:t>
            </w:r>
          </w:p>
          <w:p w:rsidR="00000000" w:rsidDel="00000000" w:rsidP="00000000" w:rsidRDefault="00000000" w:rsidRPr="00000000" w14:paraId="000000FE">
            <w:pPr>
              <w:widowControl w:val="0"/>
              <w:numPr>
                <w:ilvl w:val="0"/>
                <w:numId w:val="6"/>
              </w:numPr>
              <w:spacing w:after="0" w:afterAutospacing="0" w:before="240" w:line="240" w:lineRule="auto"/>
              <w:ind w:left="720" w:hanging="360"/>
              <w:jc w:val="both"/>
              <w:rPr/>
            </w:pPr>
            <w:r w:rsidDel="00000000" w:rsidR="00000000" w:rsidRPr="00000000">
              <w:rPr>
                <w:rtl w:val="0"/>
              </w:rPr>
              <w:t xml:space="preserve">Crecimientos benignos</w:t>
            </w:r>
          </w:p>
          <w:p w:rsidR="00000000" w:rsidDel="00000000" w:rsidP="00000000" w:rsidRDefault="00000000" w:rsidRPr="00000000" w14:paraId="000000FF">
            <w:pPr>
              <w:widowControl w:val="0"/>
              <w:numPr>
                <w:ilvl w:val="0"/>
                <w:numId w:val="6"/>
              </w:numPr>
              <w:spacing w:after="0" w:afterAutospacing="0" w:before="0" w:beforeAutospacing="0" w:line="240" w:lineRule="auto"/>
              <w:ind w:left="720" w:hanging="360"/>
              <w:jc w:val="both"/>
              <w:rPr/>
            </w:pPr>
            <w:r w:rsidDel="00000000" w:rsidR="00000000" w:rsidRPr="00000000">
              <w:rPr>
                <w:rtl w:val="0"/>
              </w:rPr>
              <w:t xml:space="preserve">Enfermedades ampollosas</w:t>
            </w:r>
          </w:p>
          <w:p w:rsidR="00000000" w:rsidDel="00000000" w:rsidP="00000000" w:rsidRDefault="00000000" w:rsidRPr="00000000" w14:paraId="00000100">
            <w:pPr>
              <w:widowControl w:val="0"/>
              <w:numPr>
                <w:ilvl w:val="0"/>
                <w:numId w:val="6"/>
              </w:numPr>
              <w:spacing w:after="240" w:before="0" w:beforeAutospacing="0" w:line="240" w:lineRule="auto"/>
              <w:ind w:left="720" w:hanging="360"/>
              <w:jc w:val="both"/>
              <w:rPr/>
            </w:pPr>
            <w:r w:rsidDel="00000000" w:rsidR="00000000" w:rsidRPr="00000000">
              <w:rPr>
                <w:rtl w:val="0"/>
              </w:rPr>
              <w:t xml:space="preserve">Malignidad</w:t>
            </w:r>
          </w:p>
          <w:p w:rsidR="00000000" w:rsidDel="00000000" w:rsidP="00000000" w:rsidRDefault="00000000" w:rsidRPr="00000000" w14:paraId="00000101">
            <w:pPr>
              <w:widowControl w:val="0"/>
              <w:spacing w:after="240" w:before="240" w:line="240" w:lineRule="auto"/>
              <w:jc w:val="center"/>
              <w:rPr>
                <w:b w:val="1"/>
                <w:u w:val="single"/>
              </w:rPr>
            </w:pPr>
            <w:r w:rsidDel="00000000" w:rsidR="00000000" w:rsidRPr="00000000">
              <w:rPr>
                <w:b w:val="1"/>
                <w:u w:val="single"/>
                <w:rtl w:val="0"/>
              </w:rPr>
              <w:t xml:space="preserve">Anexos</w:t>
            </w:r>
          </w:p>
          <w:p w:rsidR="00000000" w:rsidDel="00000000" w:rsidP="00000000" w:rsidRDefault="00000000" w:rsidRPr="00000000" w14:paraId="00000102">
            <w:pPr>
              <w:widowControl w:val="0"/>
              <w:numPr>
                <w:ilvl w:val="0"/>
                <w:numId w:val="33"/>
              </w:numPr>
              <w:spacing w:after="0" w:afterAutospacing="0" w:before="240" w:line="240" w:lineRule="auto"/>
              <w:ind w:left="720" w:hanging="360"/>
              <w:jc w:val="both"/>
              <w:rPr/>
            </w:pPr>
            <w:r w:rsidDel="00000000" w:rsidR="00000000" w:rsidRPr="00000000">
              <w:rPr>
                <w:rtl w:val="0"/>
              </w:rPr>
              <w:t xml:space="preserve">Malignidad</w:t>
            </w:r>
          </w:p>
          <w:p w:rsidR="00000000" w:rsidDel="00000000" w:rsidP="00000000" w:rsidRDefault="00000000" w:rsidRPr="00000000" w14:paraId="00000103">
            <w:pPr>
              <w:widowControl w:val="0"/>
              <w:numPr>
                <w:ilvl w:val="0"/>
                <w:numId w:val="33"/>
              </w:numPr>
              <w:spacing w:after="240" w:before="0" w:beforeAutospacing="0" w:line="240" w:lineRule="auto"/>
              <w:ind w:left="720" w:hanging="360"/>
              <w:jc w:val="both"/>
              <w:rPr/>
            </w:pPr>
            <w:r w:rsidDel="00000000" w:rsidR="00000000" w:rsidRPr="00000000">
              <w:rPr>
                <w:rtl w:val="0"/>
              </w:rPr>
              <w:t xml:space="preserve">Enfermedad inflamatoria pélvica</w:t>
            </w:r>
          </w:p>
        </w:tc>
        <w:tc>
          <w:tcPr>
            <w:shd w:fill="fff2cc"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04">
            <w:pPr>
              <w:widowControl w:val="0"/>
              <w:spacing w:after="240" w:before="240" w:line="240" w:lineRule="auto"/>
              <w:jc w:val="center"/>
              <w:rPr>
                <w:b w:val="1"/>
                <w:u w:val="single"/>
              </w:rPr>
            </w:pPr>
            <w:r w:rsidDel="00000000" w:rsidR="00000000" w:rsidRPr="00000000">
              <w:rPr>
                <w:b w:val="1"/>
                <w:u w:val="single"/>
                <w:rtl w:val="0"/>
              </w:rPr>
              <w:t xml:space="preserve">Vagina</w:t>
            </w:r>
          </w:p>
          <w:p w:rsidR="00000000" w:rsidDel="00000000" w:rsidP="00000000" w:rsidRDefault="00000000" w:rsidRPr="00000000" w14:paraId="00000105">
            <w:pPr>
              <w:widowControl w:val="0"/>
              <w:numPr>
                <w:ilvl w:val="0"/>
                <w:numId w:val="24"/>
              </w:numPr>
              <w:spacing w:after="0" w:afterAutospacing="0" w:before="240" w:line="240" w:lineRule="auto"/>
              <w:ind w:left="720" w:hanging="360"/>
              <w:jc w:val="both"/>
              <w:rPr/>
            </w:pPr>
            <w:r w:rsidDel="00000000" w:rsidR="00000000" w:rsidRPr="00000000">
              <w:rPr>
                <w:rtl w:val="0"/>
              </w:rPr>
              <w:t xml:space="preserve">Atrofia</w:t>
            </w:r>
          </w:p>
          <w:p w:rsidR="00000000" w:rsidDel="00000000" w:rsidP="00000000" w:rsidRDefault="00000000" w:rsidRPr="00000000" w14:paraId="00000106">
            <w:pPr>
              <w:widowControl w:val="0"/>
              <w:numPr>
                <w:ilvl w:val="0"/>
                <w:numId w:val="24"/>
              </w:numPr>
              <w:spacing w:after="0" w:afterAutospacing="0" w:before="0" w:beforeAutospacing="0" w:line="240" w:lineRule="auto"/>
              <w:ind w:left="720" w:hanging="360"/>
              <w:jc w:val="both"/>
              <w:rPr/>
            </w:pPr>
            <w:r w:rsidDel="00000000" w:rsidR="00000000" w:rsidRPr="00000000">
              <w:rPr>
                <w:rtl w:val="0"/>
              </w:rPr>
              <w:t xml:space="preserve">Crecimientos benignos</w:t>
            </w:r>
          </w:p>
          <w:p w:rsidR="00000000" w:rsidDel="00000000" w:rsidP="00000000" w:rsidRDefault="00000000" w:rsidRPr="00000000" w14:paraId="00000107">
            <w:pPr>
              <w:widowControl w:val="0"/>
              <w:numPr>
                <w:ilvl w:val="0"/>
                <w:numId w:val="24"/>
              </w:numPr>
              <w:spacing w:after="0" w:afterAutospacing="0" w:before="0" w:beforeAutospacing="0" w:line="240" w:lineRule="auto"/>
              <w:ind w:left="720" w:hanging="360"/>
              <w:jc w:val="both"/>
              <w:rPr/>
            </w:pPr>
            <w:r w:rsidDel="00000000" w:rsidR="00000000" w:rsidRPr="00000000">
              <w:rPr>
                <w:rtl w:val="0"/>
              </w:rPr>
              <w:t xml:space="preserve">Infección</w:t>
            </w:r>
          </w:p>
          <w:p w:rsidR="00000000" w:rsidDel="00000000" w:rsidP="00000000" w:rsidRDefault="00000000" w:rsidRPr="00000000" w14:paraId="00000108">
            <w:pPr>
              <w:widowControl w:val="0"/>
              <w:numPr>
                <w:ilvl w:val="0"/>
                <w:numId w:val="24"/>
              </w:numPr>
              <w:spacing w:after="0" w:afterAutospacing="0" w:before="0" w:beforeAutospacing="0" w:line="240" w:lineRule="auto"/>
              <w:ind w:left="720" w:hanging="360"/>
              <w:jc w:val="both"/>
              <w:rPr/>
            </w:pPr>
            <w:r w:rsidDel="00000000" w:rsidR="00000000" w:rsidRPr="00000000">
              <w:rPr>
                <w:rtl w:val="0"/>
              </w:rPr>
              <w:t xml:space="preserve">Malignidad</w:t>
            </w:r>
          </w:p>
          <w:p w:rsidR="00000000" w:rsidDel="00000000" w:rsidP="00000000" w:rsidRDefault="00000000" w:rsidRPr="00000000" w14:paraId="00000109">
            <w:pPr>
              <w:widowControl w:val="0"/>
              <w:numPr>
                <w:ilvl w:val="0"/>
                <w:numId w:val="24"/>
              </w:numPr>
              <w:spacing w:after="0" w:afterAutospacing="0" w:before="0" w:beforeAutospacing="0" w:line="240" w:lineRule="auto"/>
              <w:ind w:left="720" w:hanging="360"/>
              <w:jc w:val="both"/>
              <w:rPr/>
            </w:pPr>
            <w:r w:rsidDel="00000000" w:rsidR="00000000" w:rsidRPr="00000000">
              <w:rPr>
                <w:rtl w:val="0"/>
              </w:rPr>
              <w:t xml:space="preserve">Cuerpo extraño retenido</w:t>
            </w:r>
          </w:p>
          <w:p w:rsidR="00000000" w:rsidDel="00000000" w:rsidP="00000000" w:rsidRDefault="00000000" w:rsidRPr="00000000" w14:paraId="0000010A">
            <w:pPr>
              <w:widowControl w:val="0"/>
              <w:numPr>
                <w:ilvl w:val="0"/>
                <w:numId w:val="24"/>
              </w:numPr>
              <w:spacing w:after="0" w:afterAutospacing="0" w:before="0" w:beforeAutospacing="0" w:line="240" w:lineRule="auto"/>
              <w:ind w:left="720" w:hanging="360"/>
              <w:jc w:val="both"/>
              <w:rPr/>
            </w:pPr>
            <w:r w:rsidDel="00000000" w:rsidR="00000000" w:rsidRPr="00000000">
              <w:rPr>
                <w:rtl w:val="0"/>
              </w:rPr>
              <w:t xml:space="preserve">Trauma</w:t>
            </w:r>
          </w:p>
          <w:p w:rsidR="00000000" w:rsidDel="00000000" w:rsidP="00000000" w:rsidRDefault="00000000" w:rsidRPr="00000000" w14:paraId="0000010B">
            <w:pPr>
              <w:widowControl w:val="0"/>
              <w:numPr>
                <w:ilvl w:val="0"/>
                <w:numId w:val="24"/>
              </w:numPr>
              <w:spacing w:after="240" w:before="0" w:beforeAutospacing="0" w:line="240" w:lineRule="auto"/>
              <w:ind w:left="720" w:hanging="360"/>
              <w:jc w:val="both"/>
              <w:rPr/>
            </w:pPr>
            <w:r w:rsidDel="00000000" w:rsidR="00000000" w:rsidRPr="00000000">
              <w:rPr>
                <w:rtl w:val="0"/>
              </w:rPr>
              <w:t xml:space="preserve">Condiciones ulcerativas</w:t>
            </w:r>
          </w:p>
        </w:tc>
        <w:tc>
          <w:tcPr>
            <w:shd w:fill="fff2cc"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0C">
            <w:pPr>
              <w:widowControl w:val="0"/>
              <w:spacing w:after="240" w:before="240" w:line="240" w:lineRule="auto"/>
              <w:jc w:val="center"/>
              <w:rPr>
                <w:b w:val="1"/>
                <w:u w:val="single"/>
              </w:rPr>
            </w:pPr>
            <w:r w:rsidDel="00000000" w:rsidR="00000000" w:rsidRPr="00000000">
              <w:rPr>
                <w:b w:val="1"/>
                <w:u w:val="single"/>
                <w:rtl w:val="0"/>
              </w:rPr>
              <w:t xml:space="preserve">Uretra</w:t>
            </w:r>
          </w:p>
          <w:p w:rsidR="00000000" w:rsidDel="00000000" w:rsidP="00000000" w:rsidRDefault="00000000" w:rsidRPr="00000000" w14:paraId="0000010D">
            <w:pPr>
              <w:widowControl w:val="0"/>
              <w:numPr>
                <w:ilvl w:val="0"/>
                <w:numId w:val="11"/>
              </w:numPr>
              <w:spacing w:after="0" w:afterAutospacing="0" w:before="240" w:line="240" w:lineRule="auto"/>
              <w:ind w:left="720" w:hanging="360"/>
              <w:jc w:val="both"/>
              <w:rPr/>
            </w:pPr>
            <w:r w:rsidDel="00000000" w:rsidR="00000000" w:rsidRPr="00000000">
              <w:rPr>
                <w:rtl w:val="0"/>
              </w:rPr>
              <w:t xml:space="preserve">Divertículo uretral</w:t>
            </w:r>
          </w:p>
          <w:p w:rsidR="00000000" w:rsidDel="00000000" w:rsidP="00000000" w:rsidRDefault="00000000" w:rsidRPr="00000000" w14:paraId="0000010E">
            <w:pPr>
              <w:widowControl w:val="0"/>
              <w:numPr>
                <w:ilvl w:val="0"/>
                <w:numId w:val="11"/>
              </w:numPr>
              <w:spacing w:after="0" w:afterAutospacing="0" w:before="0" w:beforeAutospacing="0" w:line="240" w:lineRule="auto"/>
              <w:ind w:left="720" w:hanging="360"/>
              <w:jc w:val="both"/>
              <w:rPr/>
            </w:pPr>
            <w:r w:rsidDel="00000000" w:rsidR="00000000" w:rsidRPr="00000000">
              <w:rPr>
                <w:rtl w:val="0"/>
              </w:rPr>
              <w:t xml:space="preserve">Prolapso uretral</w:t>
            </w:r>
          </w:p>
          <w:p w:rsidR="00000000" w:rsidDel="00000000" w:rsidP="00000000" w:rsidRDefault="00000000" w:rsidRPr="00000000" w14:paraId="0000010F">
            <w:pPr>
              <w:widowControl w:val="0"/>
              <w:numPr>
                <w:ilvl w:val="0"/>
                <w:numId w:val="11"/>
              </w:numPr>
              <w:spacing w:after="240" w:before="0" w:beforeAutospacing="0" w:line="240" w:lineRule="auto"/>
              <w:ind w:left="720" w:hanging="360"/>
              <w:jc w:val="both"/>
              <w:rPr/>
            </w:pPr>
            <w:r w:rsidDel="00000000" w:rsidR="00000000" w:rsidRPr="00000000">
              <w:rPr>
                <w:rtl w:val="0"/>
              </w:rPr>
              <w:t xml:space="preserve">Uretritis</w:t>
            </w:r>
          </w:p>
          <w:p w:rsidR="00000000" w:rsidDel="00000000" w:rsidP="00000000" w:rsidRDefault="00000000" w:rsidRPr="00000000" w14:paraId="00000110">
            <w:pPr>
              <w:widowControl w:val="0"/>
              <w:spacing w:after="240" w:before="240" w:line="240" w:lineRule="auto"/>
              <w:jc w:val="center"/>
              <w:rPr>
                <w:b w:val="1"/>
                <w:u w:val="single"/>
              </w:rPr>
            </w:pPr>
            <w:r w:rsidDel="00000000" w:rsidR="00000000" w:rsidRPr="00000000">
              <w:rPr>
                <w:b w:val="1"/>
                <w:u w:val="single"/>
                <w:rtl w:val="0"/>
              </w:rPr>
              <w:t xml:space="preserve">Ano</w:t>
            </w:r>
          </w:p>
          <w:p w:rsidR="00000000" w:rsidDel="00000000" w:rsidP="00000000" w:rsidRDefault="00000000" w:rsidRPr="00000000" w14:paraId="00000111">
            <w:pPr>
              <w:widowControl w:val="0"/>
              <w:numPr>
                <w:ilvl w:val="0"/>
                <w:numId w:val="4"/>
              </w:numPr>
              <w:spacing w:after="0" w:afterAutospacing="0" w:before="240" w:line="240" w:lineRule="auto"/>
              <w:ind w:left="720" w:hanging="360"/>
              <w:jc w:val="both"/>
              <w:rPr/>
            </w:pPr>
            <w:r w:rsidDel="00000000" w:rsidR="00000000" w:rsidRPr="00000000">
              <w:rPr>
                <w:rtl w:val="0"/>
              </w:rPr>
              <w:t xml:space="preserve">Fisura anal, Hemorroides</w:t>
            </w:r>
          </w:p>
          <w:p w:rsidR="00000000" w:rsidDel="00000000" w:rsidP="00000000" w:rsidRDefault="00000000" w:rsidRPr="00000000" w14:paraId="00000112">
            <w:pPr>
              <w:widowControl w:val="0"/>
              <w:numPr>
                <w:ilvl w:val="0"/>
                <w:numId w:val="4"/>
              </w:numPr>
              <w:spacing w:after="0" w:afterAutospacing="0" w:before="0" w:beforeAutospacing="0" w:line="240" w:lineRule="auto"/>
              <w:ind w:left="720" w:hanging="360"/>
              <w:jc w:val="both"/>
              <w:rPr/>
            </w:pPr>
            <w:r w:rsidDel="00000000" w:rsidR="00000000" w:rsidRPr="00000000">
              <w:rPr>
                <w:rtl w:val="0"/>
              </w:rPr>
              <w:t xml:space="preserve">Enfermedad inflamatoria intestinal</w:t>
            </w:r>
          </w:p>
          <w:p w:rsidR="00000000" w:rsidDel="00000000" w:rsidP="00000000" w:rsidRDefault="00000000" w:rsidRPr="00000000" w14:paraId="00000113">
            <w:pPr>
              <w:widowControl w:val="0"/>
              <w:numPr>
                <w:ilvl w:val="0"/>
                <w:numId w:val="4"/>
              </w:numPr>
              <w:spacing w:after="240" w:before="0" w:beforeAutospacing="0" w:line="240" w:lineRule="auto"/>
              <w:ind w:left="720" w:hanging="360"/>
              <w:jc w:val="both"/>
              <w:rPr/>
            </w:pPr>
            <w:r w:rsidDel="00000000" w:rsidR="00000000" w:rsidRPr="00000000">
              <w:rPr>
                <w:rtl w:val="0"/>
              </w:rPr>
              <w:t xml:space="preserve">Sangrado gastrointestinal alto o bajo</w:t>
            </w:r>
          </w:p>
        </w:tc>
      </w:tr>
      <w:tr>
        <w:trPr>
          <w:cantSplit w:val="0"/>
          <w:trHeight w:val="1770.849609375" w:hRule="atLeast"/>
          <w:tblHeader w:val="0"/>
        </w:trPr>
        <w:tc>
          <w:tcPr>
            <w:gridSpan w:val="2"/>
            <w:shd w:fill="fff2cc"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14">
            <w:pPr>
              <w:widowControl w:val="0"/>
              <w:spacing w:after="240" w:before="240" w:line="240" w:lineRule="auto"/>
              <w:jc w:val="center"/>
              <w:rPr>
                <w:b w:val="1"/>
                <w:u w:val="single"/>
              </w:rPr>
            </w:pPr>
            <w:r w:rsidDel="00000000" w:rsidR="00000000" w:rsidRPr="00000000">
              <w:rPr>
                <w:b w:val="1"/>
                <w:u w:val="single"/>
                <w:rtl w:val="0"/>
              </w:rPr>
              <w:t xml:space="preserve">Otros</w:t>
            </w:r>
          </w:p>
          <w:p w:rsidR="00000000" w:rsidDel="00000000" w:rsidP="00000000" w:rsidRDefault="00000000" w:rsidRPr="00000000" w14:paraId="00000115">
            <w:pPr>
              <w:widowControl w:val="0"/>
              <w:numPr>
                <w:ilvl w:val="0"/>
                <w:numId w:val="8"/>
              </w:numPr>
              <w:spacing w:after="0" w:afterAutospacing="0" w:before="240" w:line="240" w:lineRule="auto"/>
              <w:ind w:left="720" w:hanging="360"/>
              <w:jc w:val="both"/>
              <w:rPr/>
            </w:pPr>
            <w:r w:rsidDel="00000000" w:rsidR="00000000" w:rsidRPr="00000000">
              <w:rPr>
                <w:rtl w:val="0"/>
              </w:rPr>
              <w:t xml:space="preserve">Enfermedad renal crónica, Enfermedad hepática crónica</w:t>
            </w:r>
          </w:p>
          <w:p w:rsidR="00000000" w:rsidDel="00000000" w:rsidP="00000000" w:rsidRDefault="00000000" w:rsidRPr="00000000" w14:paraId="00000116">
            <w:pPr>
              <w:widowControl w:val="0"/>
              <w:numPr>
                <w:ilvl w:val="0"/>
                <w:numId w:val="8"/>
              </w:numPr>
              <w:spacing w:after="0" w:afterAutospacing="0" w:before="0" w:beforeAutospacing="0" w:line="240" w:lineRule="auto"/>
              <w:ind w:left="720" w:hanging="360"/>
              <w:jc w:val="both"/>
              <w:rPr/>
            </w:pPr>
            <w:r w:rsidDel="00000000" w:rsidR="00000000" w:rsidRPr="00000000">
              <w:rPr>
                <w:rtl w:val="0"/>
              </w:rPr>
              <w:t xml:space="preserve">Diabetes mellitus, Leucemia</w:t>
            </w:r>
          </w:p>
          <w:p w:rsidR="00000000" w:rsidDel="00000000" w:rsidP="00000000" w:rsidRDefault="00000000" w:rsidRPr="00000000" w14:paraId="00000117">
            <w:pPr>
              <w:widowControl w:val="0"/>
              <w:numPr>
                <w:ilvl w:val="0"/>
                <w:numId w:val="8"/>
              </w:numPr>
              <w:spacing w:after="0" w:afterAutospacing="0" w:before="0" w:beforeAutospacing="0" w:line="240" w:lineRule="auto"/>
              <w:ind w:left="720" w:hanging="360"/>
              <w:jc w:val="both"/>
              <w:rPr/>
            </w:pPr>
            <w:r w:rsidDel="00000000" w:rsidR="00000000" w:rsidRPr="00000000">
              <w:rPr>
                <w:rtl w:val="0"/>
              </w:rPr>
              <w:t xml:space="preserve">Sarcoidosis del tracto reproductivo</w:t>
            </w:r>
          </w:p>
          <w:p w:rsidR="00000000" w:rsidDel="00000000" w:rsidP="00000000" w:rsidRDefault="00000000" w:rsidRPr="00000000" w14:paraId="00000118">
            <w:pPr>
              <w:widowControl w:val="0"/>
              <w:numPr>
                <w:ilvl w:val="0"/>
                <w:numId w:val="8"/>
              </w:numPr>
              <w:spacing w:after="0" w:afterAutospacing="0" w:before="0" w:beforeAutospacing="0" w:line="240" w:lineRule="auto"/>
              <w:ind w:left="720" w:hanging="360"/>
              <w:jc w:val="both"/>
              <w:rPr/>
            </w:pPr>
            <w:r w:rsidDel="00000000" w:rsidR="00000000" w:rsidRPr="00000000">
              <w:rPr>
                <w:rtl w:val="0"/>
              </w:rPr>
              <w:t xml:space="preserve">Tuberculosis del tracto reproductivo</w:t>
            </w:r>
          </w:p>
          <w:p w:rsidR="00000000" w:rsidDel="00000000" w:rsidP="00000000" w:rsidRDefault="00000000" w:rsidRPr="00000000" w14:paraId="00000119">
            <w:pPr>
              <w:widowControl w:val="0"/>
              <w:numPr>
                <w:ilvl w:val="0"/>
                <w:numId w:val="8"/>
              </w:numPr>
              <w:spacing w:after="240" w:before="0" w:beforeAutospacing="0" w:line="240" w:lineRule="auto"/>
              <w:ind w:left="720" w:hanging="360"/>
              <w:jc w:val="both"/>
              <w:rPr/>
            </w:pPr>
            <w:r w:rsidDel="00000000" w:rsidR="00000000" w:rsidRPr="00000000">
              <w:rPr>
                <w:rtl w:val="0"/>
              </w:rPr>
              <w:t xml:space="preserve">Síndrome de Turner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fff2cc" w:val="clear"/>
            <w:tcMar>
              <w:top w:w="-126.99212598425198" w:type="dxa"/>
              <w:left w:w="-126.99212598425198" w:type="dxa"/>
              <w:bottom w:w="-126.99212598425198" w:type="dxa"/>
              <w:right w:w="-126.99212598425198" w:type="dxa"/>
            </w:tcMar>
            <w:vAlign w:val="top"/>
          </w:tcPr>
          <w:p w:rsidR="00000000" w:rsidDel="00000000" w:rsidP="00000000" w:rsidRDefault="00000000" w:rsidRPr="00000000" w14:paraId="0000011C">
            <w:pPr>
              <w:widowControl w:val="0"/>
              <w:spacing w:after="240" w:before="240" w:line="240" w:lineRule="auto"/>
              <w:jc w:val="center"/>
              <w:rPr>
                <w:b w:val="1"/>
                <w:u w:val="single"/>
              </w:rPr>
            </w:pPr>
            <w:r w:rsidDel="00000000" w:rsidR="00000000" w:rsidRPr="00000000">
              <w:rPr>
                <w:b w:val="1"/>
                <w:u w:val="single"/>
                <w:rtl w:val="0"/>
              </w:rPr>
              <w:t xml:space="preserve">Embarazo</w:t>
            </w:r>
          </w:p>
          <w:p w:rsidR="00000000" w:rsidDel="00000000" w:rsidP="00000000" w:rsidRDefault="00000000" w:rsidRPr="00000000" w14:paraId="0000011D">
            <w:pPr>
              <w:widowControl w:val="0"/>
              <w:numPr>
                <w:ilvl w:val="0"/>
                <w:numId w:val="22"/>
              </w:numPr>
              <w:spacing w:after="0" w:afterAutospacing="0" w:before="240" w:line="240" w:lineRule="auto"/>
              <w:ind w:left="720" w:hanging="360"/>
              <w:jc w:val="both"/>
              <w:rPr/>
            </w:pPr>
            <w:r w:rsidDel="00000000" w:rsidR="00000000" w:rsidRPr="00000000">
              <w:rPr>
                <w:rtl w:val="0"/>
              </w:rPr>
              <w:t xml:space="preserve">Aborto</w:t>
            </w:r>
          </w:p>
          <w:p w:rsidR="00000000" w:rsidDel="00000000" w:rsidP="00000000" w:rsidRDefault="00000000" w:rsidRPr="00000000" w14:paraId="0000011E">
            <w:pPr>
              <w:widowControl w:val="0"/>
              <w:numPr>
                <w:ilvl w:val="0"/>
                <w:numId w:val="22"/>
              </w:numPr>
              <w:spacing w:after="0" w:afterAutospacing="0" w:before="0" w:beforeAutospacing="0" w:line="240" w:lineRule="auto"/>
              <w:ind w:left="720" w:hanging="360"/>
              <w:jc w:val="both"/>
              <w:rPr/>
            </w:pPr>
            <w:r w:rsidDel="00000000" w:rsidR="00000000" w:rsidRPr="00000000">
              <w:rPr>
                <w:rtl w:val="0"/>
              </w:rPr>
              <w:t xml:space="preserve">Desprendimiento</w:t>
            </w:r>
          </w:p>
          <w:p w:rsidR="00000000" w:rsidDel="00000000" w:rsidP="00000000" w:rsidRDefault="00000000" w:rsidRPr="00000000" w14:paraId="0000011F">
            <w:pPr>
              <w:widowControl w:val="0"/>
              <w:numPr>
                <w:ilvl w:val="0"/>
                <w:numId w:val="22"/>
              </w:numPr>
              <w:spacing w:after="0" w:afterAutospacing="0" w:before="0" w:beforeAutospacing="0" w:line="240" w:lineRule="auto"/>
              <w:ind w:left="720" w:hanging="360"/>
              <w:jc w:val="both"/>
              <w:rPr/>
            </w:pPr>
            <w:r w:rsidDel="00000000" w:rsidR="00000000" w:rsidRPr="00000000">
              <w:rPr>
                <w:rtl w:val="0"/>
              </w:rPr>
              <w:t xml:space="preserve">Embarazo ectópico</w:t>
            </w:r>
          </w:p>
          <w:p w:rsidR="00000000" w:rsidDel="00000000" w:rsidP="00000000" w:rsidRDefault="00000000" w:rsidRPr="00000000" w14:paraId="00000120">
            <w:pPr>
              <w:widowControl w:val="0"/>
              <w:numPr>
                <w:ilvl w:val="0"/>
                <w:numId w:val="22"/>
              </w:numPr>
              <w:spacing w:after="0" w:afterAutospacing="0" w:before="0" w:beforeAutospacing="0" w:line="240" w:lineRule="auto"/>
              <w:ind w:left="720" w:hanging="360"/>
              <w:jc w:val="both"/>
              <w:rPr/>
            </w:pPr>
            <w:r w:rsidDel="00000000" w:rsidR="00000000" w:rsidRPr="00000000">
              <w:rPr>
                <w:rtl w:val="0"/>
              </w:rPr>
              <w:t xml:space="preserve">Enfermedad trofoblástica gestacional</w:t>
            </w:r>
          </w:p>
          <w:p w:rsidR="00000000" w:rsidDel="00000000" w:rsidP="00000000" w:rsidRDefault="00000000" w:rsidRPr="00000000" w14:paraId="00000121">
            <w:pPr>
              <w:widowControl w:val="0"/>
              <w:numPr>
                <w:ilvl w:val="0"/>
                <w:numId w:val="22"/>
              </w:numPr>
              <w:spacing w:after="240" w:before="0" w:beforeAutospacing="0" w:line="240" w:lineRule="auto"/>
              <w:ind w:left="720" w:hanging="360"/>
              <w:jc w:val="both"/>
              <w:rPr/>
            </w:pPr>
            <w:r w:rsidDel="00000000" w:rsidR="00000000" w:rsidRPr="00000000">
              <w:rPr>
                <w:rtl w:val="0"/>
              </w:rPr>
              <w:t xml:space="preserve">Hematoma subcorionico</w:t>
            </w:r>
          </w:p>
        </w:tc>
      </w:tr>
    </w:tbl>
    <w:p w:rsidR="00000000" w:rsidDel="00000000" w:rsidP="00000000" w:rsidRDefault="00000000" w:rsidRPr="00000000" w14:paraId="00000122">
      <w:pPr>
        <w:spacing w:after="240" w:before="240" w:lineRule="auto"/>
        <w:jc w:val="both"/>
        <w:rPr>
          <w:i w:val="1"/>
          <w:sz w:val="24"/>
          <w:szCs w:val="24"/>
        </w:rPr>
      </w:pPr>
      <w:r w:rsidDel="00000000" w:rsidR="00000000" w:rsidRPr="00000000">
        <w:rPr>
          <w:i w:val="1"/>
          <w:sz w:val="24"/>
          <w:szCs w:val="24"/>
          <w:rtl w:val="0"/>
        </w:rPr>
        <w:t xml:space="preserve">Tabla 1 Diagnósticos diferenciales de HUA. Adaptado de: Wouk. N., Helton. M. 2019. Abnormal Uterine Bleeding in Premenopausal Women. American Academy of Family Physicians 99(7): 435 – 443</w:t>
      </w:r>
    </w:p>
    <w:p w:rsidR="00000000" w:rsidDel="00000000" w:rsidP="00000000" w:rsidRDefault="00000000" w:rsidRPr="00000000" w14:paraId="00000123">
      <w:pPr>
        <w:pStyle w:val="Heading3"/>
        <w:jc w:val="both"/>
        <w:rPr>
          <w:rFonts w:ascii="Lilita One" w:cs="Lilita One" w:eastAsia="Lilita One" w:hAnsi="Lilita One"/>
          <w:color w:val="4a86e8"/>
        </w:rPr>
      </w:pPr>
      <w:bookmarkStart w:colFirst="0" w:colLast="0" w:name="_l5r05rycs4vq" w:id="35"/>
      <w:bookmarkEnd w:id="35"/>
      <w:r w:rsidDel="00000000" w:rsidR="00000000" w:rsidRPr="00000000">
        <w:rPr>
          <w:rFonts w:ascii="Lilita One" w:cs="Lilita One" w:eastAsia="Lilita One" w:hAnsi="Lilita One"/>
          <w:color w:val="4a86e8"/>
          <w:rtl w:val="0"/>
        </w:rPr>
        <w:t xml:space="preserve">Ayudas diagnósticas</w:t>
      </w:r>
    </w:p>
    <w:p w:rsidR="00000000" w:rsidDel="00000000" w:rsidP="00000000" w:rsidRDefault="00000000" w:rsidRPr="00000000" w14:paraId="00000124">
      <w:pPr>
        <w:spacing w:after="240" w:before="240" w:lineRule="auto"/>
        <w:jc w:val="both"/>
        <w:rPr>
          <w:sz w:val="24"/>
          <w:szCs w:val="24"/>
        </w:rPr>
      </w:pPr>
      <w:r w:rsidDel="00000000" w:rsidR="00000000" w:rsidRPr="00000000">
        <w:rPr>
          <w:b w:val="1"/>
          <w:sz w:val="24"/>
          <w:szCs w:val="24"/>
          <w:u w:val="single"/>
          <w:rtl w:val="0"/>
        </w:rPr>
        <w:t xml:space="preserve">Laboratorios</w:t>
      </w:r>
      <w:r w:rsidDel="00000000" w:rsidR="00000000" w:rsidRPr="00000000">
        <w:rPr>
          <w:rtl w:val="0"/>
        </w:rPr>
      </w:r>
    </w:p>
    <w:tbl>
      <w:tblPr>
        <w:tblStyle w:val="Table5"/>
        <w:tblW w:w="9510.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2460"/>
        <w:gridCol w:w="7050"/>
        <w:tblGridChange w:id="0">
          <w:tblGrid>
            <w:gridCol w:w="2460"/>
            <w:gridCol w:w="70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Estudios iniciales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 tomar a todas**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Hemograma completo </w:t>
            </w:r>
          </w:p>
          <w:p w:rsidR="00000000" w:rsidDel="00000000" w:rsidP="00000000" w:rsidRDefault="00000000" w:rsidRPr="00000000" w14:paraId="0000012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Prueba de embarazo en mujeres en edad fértil</w:t>
            </w:r>
          </w:p>
          <w:p w:rsidR="00000000" w:rsidDel="00000000" w:rsidP="00000000" w:rsidRDefault="00000000" w:rsidRPr="00000000" w14:paraId="0000012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Tiempos de coagulación (descartar desorden de hemostasia)</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Según sospecha por cribado o estudios iniciales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B">
            <w:pPr>
              <w:widowControl w:val="0"/>
              <w:numPr>
                <w:ilvl w:val="0"/>
                <w:numId w:val="27"/>
              </w:numPr>
              <w:spacing w:line="240" w:lineRule="auto"/>
              <w:ind w:left="720" w:hanging="360"/>
              <w:jc w:val="both"/>
              <w:rPr/>
            </w:pPr>
            <w:r w:rsidDel="00000000" w:rsidR="00000000" w:rsidRPr="00000000">
              <w:rPr>
                <w:rtl w:val="0"/>
              </w:rPr>
              <w:t xml:space="preserve">Fibrinógeno</w:t>
            </w:r>
          </w:p>
          <w:p w:rsidR="00000000" w:rsidDel="00000000" w:rsidP="00000000" w:rsidRDefault="00000000" w:rsidRPr="00000000" w14:paraId="0000012C">
            <w:pPr>
              <w:widowControl w:val="0"/>
              <w:numPr>
                <w:ilvl w:val="0"/>
                <w:numId w:val="27"/>
              </w:numPr>
              <w:spacing w:line="240" w:lineRule="auto"/>
              <w:ind w:left="720" w:hanging="360"/>
              <w:jc w:val="both"/>
              <w:rPr/>
            </w:pPr>
            <w:r w:rsidDel="00000000" w:rsidR="00000000" w:rsidRPr="00000000">
              <w:rPr>
                <w:rtl w:val="0"/>
              </w:rPr>
              <w:t xml:space="preserve">Antígeno factor Von Willebrand </w:t>
            </w:r>
          </w:p>
          <w:p w:rsidR="00000000" w:rsidDel="00000000" w:rsidP="00000000" w:rsidRDefault="00000000" w:rsidRPr="00000000" w14:paraId="0000012D">
            <w:pPr>
              <w:widowControl w:val="0"/>
              <w:numPr>
                <w:ilvl w:val="0"/>
                <w:numId w:val="27"/>
              </w:numPr>
              <w:spacing w:line="240" w:lineRule="auto"/>
              <w:ind w:left="720" w:hanging="360"/>
              <w:jc w:val="both"/>
              <w:rPr/>
            </w:pPr>
            <w:r w:rsidDel="00000000" w:rsidR="00000000" w:rsidRPr="00000000">
              <w:rPr>
                <w:rtl w:val="0"/>
              </w:rPr>
              <w:t xml:space="preserve">Factor VII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Otros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Función hepática, TSH.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Estudio de anemia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1">
            <w:pPr>
              <w:numPr>
                <w:ilvl w:val="0"/>
                <w:numId w:val="15"/>
              </w:numPr>
              <w:spacing w:after="240" w:before="240" w:lineRule="auto"/>
              <w:ind w:left="720" w:hanging="360"/>
              <w:jc w:val="both"/>
              <w:rPr/>
            </w:pPr>
            <w:r w:rsidDel="00000000" w:rsidR="00000000" w:rsidRPr="00000000">
              <w:rPr>
                <w:rtl w:val="0"/>
              </w:rPr>
              <w:t xml:space="preserve">Ferritina, hierro sérico, saturación de transferrina</w:t>
            </w:r>
          </w:p>
        </w:tc>
      </w:tr>
      <w:tr>
        <w:trPr>
          <w:cantSplit w:val="0"/>
          <w:trHeight w:val="596.85058593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ind w:left="0" w:firstLine="0"/>
              <w:jc w:val="both"/>
              <w:rPr>
                <w:b w:val="1"/>
              </w:rPr>
            </w:pPr>
            <w:r w:rsidDel="00000000" w:rsidR="00000000" w:rsidRPr="00000000">
              <w:rPr>
                <w:b w:val="1"/>
                <w:rtl w:val="0"/>
              </w:rPr>
              <w:t xml:space="preserve">Origen incierto de sangrado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3">
            <w:pPr>
              <w:numPr>
                <w:ilvl w:val="0"/>
                <w:numId w:val="34"/>
              </w:numPr>
              <w:spacing w:after="0" w:afterAutospacing="0" w:before="240" w:lineRule="auto"/>
              <w:ind w:left="720" w:hanging="360"/>
              <w:jc w:val="both"/>
              <w:rPr/>
            </w:pPr>
            <w:r w:rsidDel="00000000" w:rsidR="00000000" w:rsidRPr="00000000">
              <w:rPr>
                <w:rtl w:val="0"/>
              </w:rPr>
              <w:t xml:space="preserve">Uroanálisis </w:t>
            </w:r>
          </w:p>
          <w:p w:rsidR="00000000" w:rsidDel="00000000" w:rsidP="00000000" w:rsidRDefault="00000000" w:rsidRPr="00000000" w14:paraId="00000134">
            <w:pPr>
              <w:numPr>
                <w:ilvl w:val="0"/>
                <w:numId w:val="34"/>
              </w:numPr>
              <w:spacing w:after="240" w:before="0" w:beforeAutospacing="0" w:lineRule="auto"/>
              <w:ind w:left="720" w:hanging="360"/>
              <w:jc w:val="both"/>
              <w:rPr/>
            </w:pPr>
            <w:r w:rsidDel="00000000" w:rsidR="00000000" w:rsidRPr="00000000">
              <w:rPr>
                <w:rtl w:val="0"/>
              </w:rPr>
              <w:t xml:space="preserve">Sangre oculta en heces </w:t>
            </w:r>
          </w:p>
        </w:tc>
      </w:tr>
    </w:tbl>
    <w:p w:rsidR="00000000" w:rsidDel="00000000" w:rsidP="00000000" w:rsidRDefault="00000000" w:rsidRPr="00000000" w14:paraId="00000135">
      <w:pPr>
        <w:spacing w:after="240" w:before="240" w:lineRule="auto"/>
        <w:ind w:left="0" w:firstLine="0"/>
        <w:jc w:val="both"/>
        <w:rPr>
          <w:i w:val="1"/>
          <w:sz w:val="24"/>
          <w:szCs w:val="24"/>
        </w:rPr>
      </w:pPr>
      <w:r w:rsidDel="00000000" w:rsidR="00000000" w:rsidRPr="00000000">
        <w:rPr>
          <w:i w:val="1"/>
          <w:sz w:val="24"/>
          <w:szCs w:val="24"/>
          <w:rtl w:val="0"/>
        </w:rPr>
        <w:t xml:space="preserve">Tabla 2. Laboratorios  para  la  evaluación  de  pacientes  con  HUA. Adaptado de ACOG,  Management  of  acute  abnormal  uterine bleeding in nonpregnant reproductive-aged woman. Obstet Gynecol, 2013, vol. 557, 1-6</w:t>
      </w:r>
    </w:p>
    <w:p w:rsidR="00000000" w:rsidDel="00000000" w:rsidP="00000000" w:rsidRDefault="00000000" w:rsidRPr="00000000" w14:paraId="00000136">
      <w:pPr>
        <w:spacing w:after="240" w:before="240" w:lineRule="auto"/>
        <w:ind w:left="0" w:firstLine="0"/>
        <w:jc w:val="both"/>
        <w:rPr>
          <w:b w:val="1"/>
          <w:sz w:val="24"/>
          <w:szCs w:val="24"/>
          <w:u w:val="single"/>
        </w:rPr>
      </w:pPr>
      <w:r w:rsidDel="00000000" w:rsidR="00000000" w:rsidRPr="00000000">
        <w:rPr>
          <w:b w:val="1"/>
          <w:sz w:val="24"/>
          <w:szCs w:val="24"/>
          <w:u w:val="single"/>
          <w:rtl w:val="0"/>
        </w:rPr>
        <w:t xml:space="preserve">Imágenes </w:t>
      </w:r>
    </w:p>
    <w:p w:rsidR="00000000" w:rsidDel="00000000" w:rsidP="00000000" w:rsidRDefault="00000000" w:rsidRPr="00000000" w14:paraId="00000137">
      <w:pPr>
        <w:spacing w:after="240" w:before="240" w:lineRule="auto"/>
        <w:jc w:val="both"/>
        <w:rPr>
          <w:sz w:val="24"/>
          <w:szCs w:val="24"/>
        </w:rPr>
      </w:pPr>
      <w:r w:rsidDel="00000000" w:rsidR="00000000" w:rsidRPr="00000000">
        <w:rPr>
          <w:b w:val="1"/>
          <w:sz w:val="24"/>
          <w:szCs w:val="24"/>
          <w:rtl w:val="0"/>
        </w:rPr>
        <w:t xml:space="preserve">Ecografía pélvica transvaginal</w:t>
      </w:r>
      <w:r w:rsidDel="00000000" w:rsidR="00000000" w:rsidRPr="00000000">
        <w:rPr>
          <w:sz w:val="24"/>
          <w:szCs w:val="24"/>
          <w:rtl w:val="0"/>
        </w:rPr>
        <w:t xml:space="preserve">: Debe realizarse una vez que la paciente ha sido estabilizada. Es el método imagenológico de elección, dado que es seguro, costo-efectivo y permite evaluar causas estructurales </w:t>
      </w:r>
      <w:r w:rsidDel="00000000" w:rsidR="00000000" w:rsidRPr="00000000">
        <w:rPr>
          <w:sz w:val="24"/>
          <w:szCs w:val="24"/>
          <w:vertAlign w:val="superscript"/>
          <w:rtl w:val="0"/>
        </w:rPr>
        <w:t xml:space="preserve">1</w:t>
      </w:r>
      <w:r w:rsidDel="00000000" w:rsidR="00000000" w:rsidRPr="00000000">
        <w:rPr>
          <w:sz w:val="24"/>
          <w:szCs w:val="24"/>
          <w:rtl w:val="0"/>
        </w:rPr>
        <w:t xml:space="preserve">. Su realización no es obligatoria para definir el manejo inicial; en realidad, las indicaciones para obtener imágenes pélvicas incluyen anomalías palpables en la exploración bimanual o síntomas que persisten a pesar del tratamiento inicial </w:t>
      </w:r>
      <w:r w:rsidDel="00000000" w:rsidR="00000000" w:rsidRPr="00000000">
        <w:rPr>
          <w:sz w:val="24"/>
          <w:szCs w:val="24"/>
          <w:vertAlign w:val="superscript"/>
          <w:rtl w:val="0"/>
        </w:rPr>
        <w:t xml:space="preserve">3</w:t>
      </w:r>
      <w:r w:rsidDel="00000000" w:rsidR="00000000" w:rsidRPr="00000000">
        <w:rPr>
          <w:sz w:val="24"/>
          <w:szCs w:val="24"/>
          <w:rtl w:val="0"/>
        </w:rPr>
        <w:t xml:space="preserve">. No debe solicitarse si ya se cuenta con una previa en los últimos 6 meses.</w:t>
      </w:r>
      <w:r w:rsidDel="00000000" w:rsidR="00000000" w:rsidRPr="00000000">
        <w:rPr>
          <w:sz w:val="24"/>
          <w:szCs w:val="24"/>
          <w:rtl w:val="0"/>
        </w:rPr>
        <w:t xml:space="preserve"> Aunque se considera el método de elección, la histerosonografía con infusión salina (infusión de solución salina estéril en la cavidad endometrial durante la ecografía transvaginal) resulta más eficaz para la detección de lesiones intracavitarias </w:t>
      </w:r>
      <w:r w:rsidDel="00000000" w:rsidR="00000000" w:rsidRPr="00000000">
        <w:rPr>
          <w:sz w:val="24"/>
          <w:szCs w:val="24"/>
          <w:vertAlign w:val="superscript"/>
          <w:rtl w:val="0"/>
        </w:rPr>
        <w:t xml:space="preserve">1,3</w:t>
      </w:r>
      <w:r w:rsidDel="00000000" w:rsidR="00000000" w:rsidRPr="00000000">
        <w:rPr>
          <w:sz w:val="24"/>
          <w:szCs w:val="24"/>
          <w:rtl w:val="0"/>
        </w:rPr>
        <w:t xml:space="preserve">.</w:t>
      </w:r>
    </w:p>
    <w:p w:rsidR="00000000" w:rsidDel="00000000" w:rsidP="00000000" w:rsidRDefault="00000000" w:rsidRPr="00000000" w14:paraId="00000138">
      <w:pPr>
        <w:spacing w:after="240" w:before="240" w:lineRule="auto"/>
        <w:jc w:val="both"/>
        <w:rPr>
          <w:sz w:val="24"/>
          <w:szCs w:val="24"/>
        </w:rPr>
      </w:pPr>
      <w:r w:rsidDel="00000000" w:rsidR="00000000" w:rsidRPr="00000000">
        <w:rPr>
          <w:b w:val="1"/>
          <w:sz w:val="24"/>
          <w:szCs w:val="24"/>
          <w:rtl w:val="0"/>
        </w:rPr>
        <w:t xml:space="preserve">Biopsia de endometrio</w:t>
      </w:r>
      <w:r w:rsidDel="00000000" w:rsidR="00000000" w:rsidRPr="00000000">
        <w:rPr>
          <w:sz w:val="24"/>
          <w:szCs w:val="24"/>
          <w:rtl w:val="0"/>
        </w:rPr>
        <w:t xml:space="preserve">: En mujeres con HUA aguda, puede realizarse mediante legrado uterino, procedimiento que cumple una función tanto diagnóstica como terapéutica. Es preferible recolectar la muestra antes del inicio de la terapia hormonal, ya que esta puede modificar la morfología endometrial </w:t>
      </w:r>
      <w:r w:rsidDel="00000000" w:rsidR="00000000" w:rsidRPr="00000000">
        <w:rPr>
          <w:sz w:val="24"/>
          <w:szCs w:val="24"/>
          <w:vertAlign w:val="superscript"/>
          <w:rtl w:val="0"/>
        </w:rPr>
        <w:t xml:space="preserve">10,11</w:t>
      </w:r>
      <w:r w:rsidDel="00000000" w:rsidR="00000000" w:rsidRPr="00000000">
        <w:rPr>
          <w:sz w:val="24"/>
          <w:szCs w:val="24"/>
          <w:rtl w:val="0"/>
        </w:rPr>
        <w:t xml:space="preserve">. Las indicaciones para realizar biopsia endometrial incluyen </w:t>
      </w:r>
      <w:r w:rsidDel="00000000" w:rsidR="00000000" w:rsidRPr="00000000">
        <w:rPr>
          <w:sz w:val="24"/>
          <w:szCs w:val="24"/>
          <w:vertAlign w:val="superscript"/>
          <w:rtl w:val="0"/>
        </w:rPr>
        <w:t xml:space="preserve">3,4</w:t>
      </w:r>
      <w:r w:rsidDel="00000000" w:rsidR="00000000" w:rsidRPr="00000000">
        <w:rPr>
          <w:sz w:val="24"/>
          <w:szCs w:val="24"/>
          <w:rtl w:val="0"/>
        </w:rPr>
        <w:t xml:space="preserve">:</w:t>
      </w:r>
    </w:p>
    <w:p w:rsidR="00000000" w:rsidDel="00000000" w:rsidP="00000000" w:rsidRDefault="00000000" w:rsidRPr="00000000" w14:paraId="00000139">
      <w:pPr>
        <w:numPr>
          <w:ilvl w:val="0"/>
          <w:numId w:val="19"/>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 45 años</w:t>
      </w:r>
      <w:r w:rsidDel="00000000" w:rsidR="00000000" w:rsidRPr="00000000">
        <w:rPr>
          <w:sz w:val="24"/>
          <w:szCs w:val="24"/>
          <w:rtl w:val="0"/>
        </w:rPr>
        <w:t xml:space="preserve">: Realizar biopsia endometrial a todas las pacientes con HUA.</w:t>
      </w:r>
    </w:p>
    <w:p w:rsidR="00000000" w:rsidDel="00000000" w:rsidP="00000000" w:rsidRDefault="00000000" w:rsidRPr="00000000" w14:paraId="0000013A">
      <w:pPr>
        <w:numPr>
          <w:ilvl w:val="0"/>
          <w:numId w:val="19"/>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&lt; 45 años</w:t>
      </w:r>
      <w:r w:rsidDel="00000000" w:rsidR="00000000" w:rsidRPr="00000000">
        <w:rPr>
          <w:sz w:val="24"/>
          <w:szCs w:val="24"/>
          <w:rtl w:val="0"/>
        </w:rPr>
        <w:t xml:space="preserve">: Pacientes con HUA y factores de riesgo para cáncer de endometrio:</w:t>
      </w:r>
    </w:p>
    <w:p w:rsidR="00000000" w:rsidDel="00000000" w:rsidP="00000000" w:rsidRDefault="00000000" w:rsidRPr="00000000" w14:paraId="0000013B">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IMC &gt;30</w:t>
      </w:r>
    </w:p>
    <w:p w:rsidR="00000000" w:rsidDel="00000000" w:rsidP="00000000" w:rsidRDefault="00000000" w:rsidRPr="00000000" w14:paraId="0000013C">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Disfunción ovulatoria crónica</w:t>
      </w:r>
    </w:p>
    <w:p w:rsidR="00000000" w:rsidDel="00000000" w:rsidP="00000000" w:rsidRDefault="00000000" w:rsidRPr="00000000" w14:paraId="0000013D">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Exposición a estrógenos sin oposición (obesidad, síndrome de ovario poliquístico [SOP])</w:t>
      </w:r>
    </w:p>
    <w:p w:rsidR="00000000" w:rsidDel="00000000" w:rsidP="00000000" w:rsidRDefault="00000000" w:rsidRPr="00000000" w14:paraId="0000013E">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Uso de tamoxifeno</w:t>
      </w:r>
    </w:p>
    <w:p w:rsidR="00000000" w:rsidDel="00000000" w:rsidP="00000000" w:rsidRDefault="00000000" w:rsidRPr="00000000" w14:paraId="0000013F">
      <w:pPr>
        <w:numPr>
          <w:ilvl w:val="1"/>
          <w:numId w:val="1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Falla de tratamiento médico para HUA o HUA persistente</w:t>
      </w:r>
    </w:p>
    <w:p w:rsidR="00000000" w:rsidDel="00000000" w:rsidP="00000000" w:rsidRDefault="00000000" w:rsidRPr="00000000" w14:paraId="00000140">
      <w:pPr>
        <w:numPr>
          <w:ilvl w:val="1"/>
          <w:numId w:val="19"/>
        </w:numPr>
        <w:spacing w:after="240" w:before="0" w:beforeAutospacing="0" w:lineRule="auto"/>
        <w:ind w:left="1440" w:hanging="360"/>
        <w:jc w:val="both"/>
        <w:rPr>
          <w:sz w:val="24"/>
          <w:szCs w:val="24"/>
        </w:rPr>
      </w:pPr>
      <w:r w:rsidDel="00000000" w:rsidR="00000000" w:rsidRPr="00000000">
        <w:rPr>
          <w:sz w:val="24"/>
          <w:szCs w:val="24"/>
          <w:rtl w:val="0"/>
        </w:rPr>
        <w:t xml:space="preserve">Síndrome de Lynch </w:t>
      </w:r>
    </w:p>
    <w:p w:rsidR="00000000" w:rsidDel="00000000" w:rsidP="00000000" w:rsidRDefault="00000000" w:rsidRPr="00000000" w14:paraId="00000141">
      <w:pPr>
        <w:spacing w:after="240" w:before="240" w:lineRule="auto"/>
        <w:jc w:val="both"/>
        <w:rPr/>
      </w:pPr>
      <w:r w:rsidDel="00000000" w:rsidR="00000000" w:rsidRPr="00000000">
        <w:rPr>
          <w:sz w:val="24"/>
          <w:szCs w:val="24"/>
          <w:rtl w:val="0"/>
        </w:rPr>
        <w:t xml:space="preserve">Los métodos diagnósticos recomendados según la patología sospechada incluyen los previamente mencionados, así como otros adicionales que se detallan en la Tabla 3 </w:t>
      </w:r>
      <w:r w:rsidDel="00000000" w:rsidR="00000000" w:rsidRPr="00000000">
        <w:rPr>
          <w:sz w:val="24"/>
          <w:szCs w:val="24"/>
          <w:vertAlign w:val="superscript"/>
          <w:rtl w:val="0"/>
        </w:rPr>
        <w:t xml:space="preserve">2-4,10-12</w:t>
      </w:r>
      <w:r w:rsidDel="00000000" w:rsidR="00000000" w:rsidRPr="00000000">
        <w:rPr>
          <w:rtl w:val="0"/>
        </w:rPr>
      </w:r>
    </w:p>
    <w:tbl>
      <w:tblPr>
        <w:tblStyle w:val="Table6"/>
        <w:tblW w:w="1180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2700"/>
        <w:gridCol w:w="2970"/>
        <w:gridCol w:w="2115"/>
        <w:tblGridChange w:id="0">
          <w:tblGrid>
            <w:gridCol w:w="4020"/>
            <w:gridCol w:w="2700"/>
            <w:gridCol w:w="2970"/>
            <w:gridCol w:w="2115"/>
          </w:tblGrid>
        </w:tblGridChange>
      </w:tblGrid>
      <w:tr>
        <w:trPr>
          <w:cantSplit w:val="0"/>
          <w:tblHeader w:val="0"/>
        </w:trPr>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Pólipo </w:t>
            </w:r>
          </w:p>
          <w:p w:rsidR="00000000" w:rsidDel="00000000" w:rsidP="00000000" w:rsidRDefault="00000000" w:rsidRPr="00000000" w14:paraId="000001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rFonts w:ascii="Comfortaa" w:cs="Comfortaa" w:eastAsia="Comfortaa" w:hAnsi="Comfortaa"/>
              </w:rPr>
            </w:pPr>
            <w:r w:rsidDel="00000000" w:rsidR="00000000" w:rsidRPr="00000000">
              <w:rPr>
                <w:b w:val="1"/>
                <w:rtl w:val="0"/>
              </w:rPr>
              <w:t xml:space="preserve">Ecografia TV: </w:t>
            </w:r>
            <w:r w:rsidDel="00000000" w:rsidR="00000000" w:rsidRPr="00000000">
              <w:rPr>
                <w:rtl w:val="0"/>
              </w:rPr>
              <w:t xml:space="preserve">sensibilidad del 91%, especificidad del 90%; es el método de elección para la evaluación inicial por su accesibilidad y bajo costo. </w:t>
            </w:r>
          </w:p>
          <w:p w:rsidR="00000000" w:rsidDel="00000000" w:rsidP="00000000" w:rsidRDefault="00000000" w:rsidRPr="00000000" w14:paraId="0000014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rFonts w:ascii="Comfortaa" w:cs="Comfortaa" w:eastAsia="Comfortaa" w:hAnsi="Comfortaa"/>
              </w:rPr>
            </w:pPr>
            <w:r w:rsidDel="00000000" w:rsidR="00000000" w:rsidRPr="00000000">
              <w:rPr>
                <w:b w:val="1"/>
                <w:rtl w:val="0"/>
              </w:rPr>
              <w:t xml:space="preserve">Sonohisterografía</w:t>
            </w:r>
            <w:r w:rsidDel="00000000" w:rsidR="00000000" w:rsidRPr="00000000">
              <w:rPr>
                <w:rtl w:val="0"/>
              </w:rPr>
              <w:t xml:space="preserve">: sensibilidad del 95%, especificidad del 92%. </w:t>
            </w:r>
          </w:p>
          <w:p w:rsidR="00000000" w:rsidDel="00000000" w:rsidP="00000000" w:rsidRDefault="00000000" w:rsidRPr="00000000" w14:paraId="000001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rFonts w:ascii="Comfortaa" w:cs="Comfortaa" w:eastAsia="Comfortaa" w:hAnsi="Comfortaa"/>
              </w:rPr>
            </w:pPr>
            <w:r w:rsidDel="00000000" w:rsidR="00000000" w:rsidRPr="00000000">
              <w:rPr>
                <w:b w:val="1"/>
                <w:rtl w:val="0"/>
              </w:rPr>
              <w:t xml:space="preserve">Histeroscopia </w:t>
            </w:r>
            <w:r w:rsidDel="00000000" w:rsidR="00000000" w:rsidRPr="00000000">
              <w:rPr>
                <w:rtl w:val="0"/>
              </w:rPr>
              <w:t xml:space="preserve">(Gold Standard): sensibilidad del 90%, especificidad del 93%. Permite diagnóstico, toma de biopsia, conocer localización y morfología y, si es posible, realizar polipectomía </w:t>
            </w:r>
          </w:p>
        </w:tc>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Adenomiosis </w:t>
            </w:r>
          </w:p>
          <w:p w:rsidR="00000000" w:rsidDel="00000000" w:rsidP="00000000" w:rsidRDefault="00000000" w:rsidRPr="00000000" w14:paraId="000001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Ecografia TV- Doppler color: Mala definición de la interfase endometrio–miometrio (sensibilidad: 89%, especificidad: 89%)</w:t>
            </w:r>
          </w:p>
          <w:p w:rsidR="00000000" w:rsidDel="00000000" w:rsidP="00000000" w:rsidRDefault="00000000" w:rsidRPr="00000000" w14:paraId="000001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RNM: no es de elección. sensibilidad: 86%, especificidad: 86%  </w:t>
            </w:r>
          </w:p>
        </w:tc>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Leiomioma </w:t>
            </w:r>
          </w:p>
          <w:p w:rsidR="00000000" w:rsidDel="00000000" w:rsidP="00000000" w:rsidRDefault="00000000" w:rsidRPr="00000000" w14:paraId="000001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Ecografía TV </w:t>
            </w:r>
          </w:p>
          <w:p w:rsidR="00000000" w:rsidDel="00000000" w:rsidP="00000000" w:rsidRDefault="00000000" w:rsidRPr="00000000" w14:paraId="000001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Histeroscopia: gold Standard para evaluar localización, número, tamaño, vascularización y grado de compromiso intramural. Selección de estrategia terapéutica adecuada </w:t>
            </w:r>
          </w:p>
          <w:p w:rsidR="00000000" w:rsidDel="00000000" w:rsidP="00000000" w:rsidRDefault="00000000" w:rsidRPr="00000000" w14:paraId="000001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RNM: relación de miomas con endometrio y peritoneo. </w:t>
            </w:r>
          </w:p>
        </w:tc>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Malignidad </w:t>
            </w:r>
          </w:p>
          <w:p w:rsidR="00000000" w:rsidDel="00000000" w:rsidP="00000000" w:rsidRDefault="00000000" w:rsidRPr="00000000" w14:paraId="000001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Biopsia endometrial según criterios descritos (de acuerdo a edad y factores de riesgo) </w:t>
            </w:r>
          </w:p>
        </w:tc>
      </w:tr>
      <w:tr>
        <w:trPr>
          <w:cantSplit w:val="0"/>
          <w:tblHeader w:val="0"/>
        </w:trPr>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Coagulopatía. </w:t>
            </w:r>
          </w:p>
          <w:p w:rsidR="00000000" w:rsidDel="00000000" w:rsidP="00000000" w:rsidRDefault="00000000" w:rsidRPr="00000000" w14:paraId="000001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Cribado, hemograma, tiempos de coagulación </w:t>
            </w:r>
          </w:p>
          <w:p w:rsidR="00000000" w:rsidDel="00000000" w:rsidP="00000000" w:rsidRDefault="00000000" w:rsidRPr="00000000" w14:paraId="000001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antígeno von Willebrand plasmático, actividad von Willebrand plasmática (actividad del cofactor de ristocetina, vWF:RCo y unión al colágeno vWF), factor VIII y otras pruebas de factores.</w:t>
            </w:r>
          </w:p>
        </w:tc>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Disfunción ovulatoria</w:t>
            </w:r>
          </w:p>
          <w:p w:rsidR="00000000" w:rsidDel="00000000" w:rsidP="00000000" w:rsidRDefault="00000000" w:rsidRPr="00000000" w14:paraId="000001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Función tiroidea</w:t>
            </w:r>
          </w:p>
          <w:p w:rsidR="00000000" w:rsidDel="00000000" w:rsidP="00000000" w:rsidRDefault="00000000" w:rsidRPr="00000000" w14:paraId="000001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B HCG, FSH, LH, prolactina </w:t>
            </w:r>
          </w:p>
          <w:p w:rsidR="00000000" w:rsidDel="00000000" w:rsidP="00000000" w:rsidRDefault="00000000" w:rsidRPr="00000000" w14:paraId="000001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Descartar toda etiología hormonal </w:t>
            </w:r>
          </w:p>
        </w:tc>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Trastorno del endometrio </w:t>
            </w:r>
          </w:p>
          <w:p w:rsidR="00000000" w:rsidDel="00000000" w:rsidP="00000000" w:rsidRDefault="00000000" w:rsidRPr="00000000" w14:paraId="0000015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Descartar infección con FFV / cultivos si requiere </w:t>
            </w:r>
          </w:p>
          <w:p w:rsidR="00000000" w:rsidDel="00000000" w:rsidP="00000000" w:rsidRDefault="00000000" w:rsidRPr="00000000" w14:paraId="0000015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Ecografia TV </w:t>
            </w:r>
          </w:p>
        </w:tc>
        <w:tc>
          <w:tcPr>
            <w:shd w:fill="fce5cd" w:val="clear"/>
            <w:tcMar>
              <w:top w:w="-70.29921259842521" w:type="dxa"/>
              <w:left w:w="-70.29921259842521" w:type="dxa"/>
              <w:bottom w:w="-70.29921259842521" w:type="dxa"/>
              <w:right w:w="-70.29921259842521"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pPr>
            <w:r w:rsidDel="00000000" w:rsidR="00000000" w:rsidRPr="00000000">
              <w:rPr>
                <w:b w:val="1"/>
                <w:u w:val="single"/>
                <w:rtl w:val="0"/>
              </w:rPr>
              <w:t xml:space="preserve">Iatrogenia</w:t>
            </w:r>
            <w:r w:rsidDel="00000000" w:rsidR="00000000" w:rsidRPr="00000000">
              <w:rPr>
                <w:rtl w:val="0"/>
              </w:rPr>
              <w:t xml:space="preserve">: HC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6377952755911" w:firstLine="0"/>
              <w:jc w:val="both"/>
              <w:rPr>
                <w:b w:val="1"/>
                <w:u w:val="single"/>
              </w:rPr>
            </w:pPr>
            <w:r w:rsidDel="00000000" w:rsidR="00000000" w:rsidRPr="00000000">
              <w:rPr>
                <w:b w:val="1"/>
                <w:u w:val="single"/>
                <w:rtl w:val="0"/>
              </w:rPr>
              <w:t xml:space="preserve">No clasificado </w:t>
            </w:r>
          </w:p>
          <w:p w:rsidR="00000000" w:rsidDel="00000000" w:rsidP="00000000" w:rsidRDefault="00000000" w:rsidRPr="00000000" w14:paraId="0000015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119.76377952755911" w:hanging="360"/>
              <w:jc w:val="both"/>
              <w:rPr/>
            </w:pPr>
            <w:r w:rsidDel="00000000" w:rsidR="00000000" w:rsidRPr="00000000">
              <w:rPr>
                <w:rtl w:val="0"/>
              </w:rPr>
              <w:t xml:space="preserve">Exclusión con Ecografía TV / RNM </w:t>
            </w:r>
          </w:p>
        </w:tc>
      </w:tr>
    </w:tbl>
    <w:p w:rsidR="00000000" w:rsidDel="00000000" w:rsidP="00000000" w:rsidRDefault="00000000" w:rsidRPr="00000000" w14:paraId="0000015C">
      <w:pPr>
        <w:spacing w:after="240" w:before="240" w:lineRule="auto"/>
        <w:jc w:val="both"/>
        <w:rPr>
          <w:i w:val="1"/>
          <w:sz w:val="24"/>
          <w:szCs w:val="24"/>
        </w:rPr>
      </w:pPr>
      <w:r w:rsidDel="00000000" w:rsidR="00000000" w:rsidRPr="00000000">
        <w:rPr>
          <w:i w:val="1"/>
          <w:sz w:val="24"/>
          <w:szCs w:val="24"/>
          <w:rtl w:val="0"/>
        </w:rPr>
        <w:t xml:space="preserve">Tabla 3. Métodos diagnósticos recomendados según etiología PALM-COEIN. Fuente: adaptado de (2-4, 10-12)</w:t>
      </w:r>
    </w:p>
    <w:p w:rsidR="00000000" w:rsidDel="00000000" w:rsidP="00000000" w:rsidRDefault="00000000" w:rsidRPr="00000000" w14:paraId="0000015D">
      <w:pPr>
        <w:pStyle w:val="Heading2"/>
        <w:jc w:val="both"/>
        <w:rPr>
          <w:rFonts w:ascii="Lilita One" w:cs="Lilita One" w:eastAsia="Lilita One" w:hAnsi="Lilita One"/>
        </w:rPr>
      </w:pPr>
      <w:bookmarkStart w:colFirst="0" w:colLast="0" w:name="_6pcufe4xis5" w:id="36"/>
      <w:bookmarkEnd w:id="36"/>
      <w:r w:rsidDel="00000000" w:rsidR="00000000" w:rsidRPr="00000000">
        <w:rPr>
          <w:rFonts w:ascii="Lilita One" w:cs="Lilita One" w:eastAsia="Lilita One" w:hAnsi="Lilita One"/>
          <w:rtl w:val="0"/>
        </w:rPr>
        <w:t xml:space="preserve">ABORDAJE TERAPEUTICO </w:t>
      </w:r>
    </w:p>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El enfoque del manejo de la hemorragia uterina anormal se basa en si esta es de tipo agudo o crónico, ya que el primero suele cursar con inestabilidad hemodinámica. Además, depende de los niveles de hemoglobina y puede variar levemente según la etiología, la cual se orienta a través del sistema de clasificación PALM-COEIN. El manejo abarca desde opciones farmacológicas hasta intervenciones quirúrgicas. El tratamiento médico suele ser la primera opción en la mayoría de las mujeres y generalmente incluye anticonceptivos orales combinados (ACOs), el dispositivo intrauterino con liberación de levonorgestrel (DIU-LNG) o los progestágenos solos. Este tratamiento puede complementarse, según los requerimientos de la paciente, con opciones de manejo no hormonales como los antiinflamatorios no esteroideos (AINES) y los antifibrinolíticos. Cuando no existen contraindicaciones, la elección del tratamiento debe basarse en la preferencia de la paciente  </w:t>
      </w:r>
      <w:r w:rsidDel="00000000" w:rsidR="00000000" w:rsidRPr="00000000">
        <w:rPr>
          <w:sz w:val="24"/>
          <w:szCs w:val="24"/>
          <w:vertAlign w:val="superscript"/>
          <w:rtl w:val="0"/>
        </w:rPr>
        <w:t xml:space="preserve">3,4</w:t>
      </w:r>
      <w:r w:rsidDel="00000000" w:rsidR="00000000" w:rsidRPr="00000000">
        <w:rPr>
          <w:sz w:val="24"/>
          <w:szCs w:val="24"/>
          <w:rtl w:val="0"/>
        </w:rPr>
        <w:t xml:space="preserve">. </w:t>
      </w:r>
    </w:p>
    <w:p w:rsidR="00000000" w:rsidDel="00000000" w:rsidP="00000000" w:rsidRDefault="00000000" w:rsidRPr="00000000" w14:paraId="0000015F">
      <w:pPr>
        <w:spacing w:after="240" w:before="240" w:lineRule="auto"/>
        <w:jc w:val="both"/>
        <w:rPr>
          <w:sz w:val="24"/>
          <w:szCs w:val="24"/>
        </w:rPr>
      </w:pPr>
      <w:r w:rsidDel="00000000" w:rsidR="00000000" w:rsidRPr="00000000">
        <w:rPr>
          <w:b w:val="1"/>
          <w:sz w:val="24"/>
          <w:szCs w:val="24"/>
          <w:rtl w:val="0"/>
        </w:rPr>
        <w:t xml:space="preserve">Los objetivos básicos son</w:t>
      </w:r>
      <w:r w:rsidDel="00000000" w:rsidR="00000000" w:rsidRPr="00000000">
        <w:rPr>
          <w:sz w:val="24"/>
          <w:szCs w:val="24"/>
          <w:rtl w:val="0"/>
        </w:rPr>
        <w:t xml:space="preserve"> estabilizar a la paciente, controlar la Hemorragia y prevenir la recurrencia </w:t>
      </w:r>
    </w:p>
    <w:p w:rsidR="00000000" w:rsidDel="00000000" w:rsidP="00000000" w:rsidRDefault="00000000" w:rsidRPr="00000000" w14:paraId="00000160">
      <w:pPr>
        <w:pStyle w:val="Heading3"/>
        <w:jc w:val="both"/>
        <w:rPr>
          <w:sz w:val="30"/>
          <w:szCs w:val="30"/>
        </w:rPr>
      </w:pPr>
      <w:bookmarkStart w:colFirst="0" w:colLast="0" w:name="_v1i80gd9xwwr" w:id="37"/>
      <w:bookmarkEnd w:id="37"/>
      <w:r w:rsidDel="00000000" w:rsidR="00000000" w:rsidRPr="00000000">
        <w:rPr>
          <w:b w:val="1"/>
          <w:color w:val="1c4587"/>
          <w:sz w:val="30"/>
          <w:szCs w:val="30"/>
          <w:rtl w:val="0"/>
        </w:rPr>
        <w:t xml:space="preserve">OPCIONES DE TRATAMIENTO NO HORMONAL</w:t>
      </w:r>
      <w:r w:rsidDel="00000000" w:rsidR="00000000" w:rsidRPr="00000000">
        <w:rPr>
          <w:rtl w:val="0"/>
        </w:rPr>
      </w:r>
    </w:p>
    <w:p w:rsidR="00000000" w:rsidDel="00000000" w:rsidP="00000000" w:rsidRDefault="00000000" w:rsidRPr="00000000" w14:paraId="00000161">
      <w:pPr>
        <w:spacing w:after="240" w:before="240" w:lineRule="auto"/>
        <w:jc w:val="both"/>
        <w:rPr>
          <w:i w:val="1"/>
          <w:sz w:val="24"/>
          <w:szCs w:val="24"/>
        </w:rPr>
      </w:pPr>
      <w:r w:rsidDel="00000000" w:rsidR="00000000" w:rsidRPr="00000000">
        <w:rPr>
          <w:i w:val="1"/>
          <w:sz w:val="24"/>
          <w:szCs w:val="24"/>
          <w:rtl w:val="0"/>
        </w:rPr>
        <w:t xml:space="preserve">Aplicable en HUA aguda y en casos de HUA crónica donde sea necesario</w:t>
      </w:r>
    </w:p>
    <w:p w:rsidR="00000000" w:rsidDel="00000000" w:rsidP="00000000" w:rsidRDefault="00000000" w:rsidRPr="00000000" w14:paraId="00000162">
      <w:pPr>
        <w:spacing w:after="240" w:before="240" w:lineRule="auto"/>
        <w:jc w:val="both"/>
        <w:rPr>
          <w:sz w:val="24"/>
          <w:szCs w:val="24"/>
        </w:rPr>
      </w:pPr>
      <w:r w:rsidDel="00000000" w:rsidR="00000000" w:rsidRPr="00000000">
        <w:rPr>
          <w:b w:val="1"/>
          <w:sz w:val="24"/>
          <w:szCs w:val="24"/>
          <w:rtl w:val="0"/>
        </w:rPr>
        <w:t xml:space="preserve">Antiinflamatorios no esteroideos (AINEs)</w:t>
        <w:br w:type="textWrapping"/>
      </w:r>
      <w:r w:rsidDel="00000000" w:rsidR="00000000" w:rsidRPr="00000000">
        <w:rPr>
          <w:sz w:val="24"/>
          <w:szCs w:val="24"/>
          <w:rtl w:val="0"/>
        </w:rPr>
        <w:t xml:space="preserve">Actúan inhibiendo la ciclooxigenasa (COX-1 y COX-2), reduciendo la síntesis de prostaglandinas y tromboxanos. Han demostrado disminuir la pérdida sanguínea menstrual hasta en un 40%. Entre los más utilizados se encuentran </w:t>
      </w:r>
      <w:r w:rsidDel="00000000" w:rsidR="00000000" w:rsidRPr="00000000">
        <w:rPr>
          <w:sz w:val="24"/>
          <w:szCs w:val="24"/>
          <w:vertAlign w:val="superscript"/>
          <w:rtl w:val="0"/>
        </w:rPr>
        <w:t xml:space="preserve">1,3,4</w:t>
      </w:r>
      <w:r w:rsidDel="00000000" w:rsidR="00000000" w:rsidRPr="00000000">
        <w:rPr>
          <w:sz w:val="24"/>
          <w:szCs w:val="24"/>
          <w:rtl w:val="0"/>
        </w:rPr>
        <w:t xml:space="preserve">:</w:t>
      </w:r>
    </w:p>
    <w:p w:rsidR="00000000" w:rsidDel="00000000" w:rsidP="00000000" w:rsidRDefault="00000000" w:rsidRPr="00000000" w14:paraId="0000016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Ibuprofeno 400 mg cada 8 h</w:t>
      </w:r>
    </w:p>
    <w:p w:rsidR="00000000" w:rsidDel="00000000" w:rsidP="00000000" w:rsidRDefault="00000000" w:rsidRPr="00000000" w14:paraId="0000016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Ácido mefenámico 500 mg/día</w:t>
      </w:r>
    </w:p>
    <w:p w:rsidR="00000000" w:rsidDel="00000000" w:rsidP="00000000" w:rsidRDefault="00000000" w:rsidRPr="00000000" w14:paraId="0000016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Naproxeno 500 mg cada 12 h</w:t>
      </w:r>
    </w:p>
    <w:p w:rsidR="00000000" w:rsidDel="00000000" w:rsidP="00000000" w:rsidRDefault="00000000" w:rsidRPr="00000000" w14:paraId="00000166">
      <w:pPr>
        <w:spacing w:after="240" w:before="240" w:lineRule="auto"/>
        <w:jc w:val="both"/>
        <w:rPr>
          <w:sz w:val="24"/>
          <w:szCs w:val="24"/>
        </w:rPr>
      </w:pPr>
      <w:r w:rsidDel="00000000" w:rsidR="00000000" w:rsidRPr="00000000">
        <w:rPr>
          <w:sz w:val="24"/>
          <w:szCs w:val="24"/>
          <w:rtl w:val="0"/>
        </w:rPr>
        <w:t xml:space="preserve">Su mayor eficacia se observa cuando se administran antes del inicio del sangrado.</w:t>
      </w:r>
    </w:p>
    <w:p w:rsidR="00000000" w:rsidDel="00000000" w:rsidP="00000000" w:rsidRDefault="00000000" w:rsidRPr="00000000" w14:paraId="00000167">
      <w:pPr>
        <w:spacing w:after="240" w:before="240" w:lineRule="auto"/>
        <w:jc w:val="both"/>
        <w:rPr>
          <w:sz w:val="24"/>
          <w:szCs w:val="24"/>
        </w:rPr>
      </w:pPr>
      <w:r w:rsidDel="00000000" w:rsidR="00000000" w:rsidRPr="00000000">
        <w:rPr>
          <w:b w:val="1"/>
          <w:sz w:val="24"/>
          <w:szCs w:val="24"/>
          <w:rtl w:val="0"/>
        </w:rPr>
        <w:t xml:space="preserve">Ácido tranexámico (antifibrinolítico)</w:t>
        <w:br w:type="textWrapping"/>
      </w:r>
      <w:r w:rsidDel="00000000" w:rsidR="00000000" w:rsidRPr="00000000">
        <w:rPr>
          <w:sz w:val="24"/>
          <w:szCs w:val="24"/>
          <w:rtl w:val="0"/>
        </w:rPr>
        <w:t xml:space="preserve">Inhibe la activación del plasminógeno, disminuyendo la fibrinólisis. Está aprobado por la FDA para el tratamiento del SUA ovulatorio. El régimen más común es de 1 g a 1,3 g cada 6–8 h durante la menstruación  </w:t>
      </w:r>
      <w:r w:rsidDel="00000000" w:rsidR="00000000" w:rsidRPr="00000000">
        <w:rPr>
          <w:sz w:val="24"/>
          <w:szCs w:val="24"/>
          <w:vertAlign w:val="superscript"/>
          <w:rtl w:val="0"/>
        </w:rPr>
        <w:t xml:space="preserve">1,3,4</w:t>
      </w:r>
      <w:r w:rsidDel="00000000" w:rsidR="00000000" w:rsidRPr="00000000">
        <w:rPr>
          <w:sz w:val="24"/>
          <w:szCs w:val="24"/>
          <w:rtl w:val="0"/>
        </w:rPr>
        <w:t xml:space="preserve">.</w:t>
        <w:br w:type="textWrapping"/>
        <w:t xml:space="preserve">Está contraindicado en  </w:t>
      </w:r>
      <w:r w:rsidDel="00000000" w:rsidR="00000000" w:rsidRPr="00000000">
        <w:rPr>
          <w:sz w:val="24"/>
          <w:szCs w:val="24"/>
          <w:vertAlign w:val="superscript"/>
          <w:rtl w:val="0"/>
        </w:rPr>
        <w:t xml:space="preserve">4</w:t>
      </w:r>
      <w:r w:rsidDel="00000000" w:rsidR="00000000" w:rsidRPr="00000000">
        <w:rPr>
          <w:sz w:val="24"/>
          <w:szCs w:val="24"/>
          <w:rtl w:val="0"/>
        </w:rPr>
        <w:t xml:space="preserve">:</w:t>
      </w:r>
    </w:p>
    <w:p w:rsidR="00000000" w:rsidDel="00000000" w:rsidP="00000000" w:rsidRDefault="00000000" w:rsidRPr="00000000" w14:paraId="00000168">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Insuficiencia renal severa (creatinina &gt;500 μmol/L)</w:t>
      </w:r>
    </w:p>
    <w:p w:rsidR="00000000" w:rsidDel="00000000" w:rsidP="00000000" w:rsidRDefault="00000000" w:rsidRPr="00000000" w14:paraId="00000169">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Enfermedad tromboembólica activa</w:t>
      </w:r>
    </w:p>
    <w:p w:rsidR="00000000" w:rsidDel="00000000" w:rsidP="00000000" w:rsidRDefault="00000000" w:rsidRPr="00000000" w14:paraId="0000016A">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Historia de trombosis arterial o venosa</w:t>
      </w:r>
    </w:p>
    <w:p w:rsidR="00000000" w:rsidDel="00000000" w:rsidP="00000000" w:rsidRDefault="00000000" w:rsidRPr="00000000" w14:paraId="0000016B">
      <w:pPr>
        <w:spacing w:after="240" w:before="240" w:lineRule="auto"/>
        <w:jc w:val="both"/>
        <w:rPr>
          <w:sz w:val="24"/>
          <w:szCs w:val="24"/>
        </w:rPr>
      </w:pPr>
      <w:r w:rsidDel="00000000" w:rsidR="00000000" w:rsidRPr="00000000">
        <w:rPr>
          <w:b w:val="1"/>
          <w:sz w:val="24"/>
          <w:szCs w:val="24"/>
          <w:rtl w:val="0"/>
        </w:rPr>
        <w:t xml:space="preserve">Sales de hierro</w:t>
        <w:br w:type="textWrapping"/>
      </w:r>
      <w:r w:rsidDel="00000000" w:rsidR="00000000" w:rsidRPr="00000000">
        <w:rPr>
          <w:sz w:val="24"/>
          <w:szCs w:val="24"/>
          <w:rtl w:val="0"/>
        </w:rPr>
        <w:t xml:space="preserve">Indicadas para reponer el hierro perdido en hemorragias agudas o crónicas, cuando no está indicada la transfusión  </w:t>
      </w:r>
      <w:r w:rsidDel="00000000" w:rsidR="00000000" w:rsidRPr="00000000">
        <w:rPr>
          <w:sz w:val="24"/>
          <w:szCs w:val="24"/>
          <w:vertAlign w:val="superscript"/>
          <w:rtl w:val="0"/>
        </w:rPr>
        <w:t xml:space="preserve">4</w:t>
      </w:r>
      <w:r w:rsidDel="00000000" w:rsidR="00000000" w:rsidRPr="00000000">
        <w:rPr>
          <w:sz w:val="24"/>
          <w:szCs w:val="24"/>
          <w:rtl w:val="0"/>
        </w:rPr>
        <w:t xml:space="preserve">. </w:t>
      </w:r>
    </w:p>
    <w:p w:rsidR="00000000" w:rsidDel="00000000" w:rsidP="00000000" w:rsidRDefault="00000000" w:rsidRPr="00000000" w14:paraId="0000016C">
      <w:pPr>
        <w:pStyle w:val="Heading3"/>
        <w:jc w:val="both"/>
        <w:rPr>
          <w:sz w:val="30"/>
          <w:szCs w:val="30"/>
        </w:rPr>
      </w:pPr>
      <w:bookmarkStart w:colFirst="0" w:colLast="0" w:name="_8rhg0c3xeqpa" w:id="38"/>
      <w:bookmarkEnd w:id="38"/>
      <w:r w:rsidDel="00000000" w:rsidR="00000000" w:rsidRPr="00000000">
        <w:rPr>
          <w:b w:val="1"/>
          <w:color w:val="1c4587"/>
          <w:sz w:val="30"/>
          <w:szCs w:val="30"/>
          <w:rtl w:val="0"/>
        </w:rPr>
        <w:t xml:space="preserve">OPCIONES DE TRATAMIENTO HORMONAL, EN FUNCIÓN DE ESTABILIDAD HEMODINÁMICA Y TIEMPO DE EVOLUCIÓN </w:t>
      </w:r>
      <w:r w:rsidDel="00000000" w:rsidR="00000000" w:rsidRPr="00000000">
        <w:rPr>
          <w:rtl w:val="0"/>
        </w:rPr>
      </w:r>
    </w:p>
    <w:p w:rsidR="00000000" w:rsidDel="00000000" w:rsidP="00000000" w:rsidRDefault="00000000" w:rsidRPr="00000000" w14:paraId="0000016D">
      <w:pPr>
        <w:pStyle w:val="Heading4"/>
        <w:jc w:val="both"/>
        <w:rPr>
          <w:rFonts w:ascii="Lilita One" w:cs="Lilita One" w:eastAsia="Lilita One" w:hAnsi="Lilita One"/>
          <w:color w:val="4a86e8"/>
        </w:rPr>
      </w:pPr>
      <w:bookmarkStart w:colFirst="0" w:colLast="0" w:name="_iw84uhqpp1cx" w:id="39"/>
      <w:bookmarkEnd w:id="39"/>
      <w:r w:rsidDel="00000000" w:rsidR="00000000" w:rsidRPr="00000000">
        <w:rPr>
          <w:rFonts w:ascii="Lilita One" w:cs="Lilita One" w:eastAsia="Lilita One" w:hAnsi="Lilita One"/>
          <w:color w:val="4a86e8"/>
          <w:rtl w:val="0"/>
        </w:rPr>
        <w:t xml:space="preserve">Paciente inestable - HUA aguda </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Requieren intervenciones inmediatas para lograr la estabilidad hemodinámica </w:t>
      </w:r>
      <w:r w:rsidDel="00000000" w:rsidR="00000000" w:rsidRPr="00000000">
        <w:rPr>
          <w:sz w:val="24"/>
          <w:szCs w:val="24"/>
          <w:vertAlign w:val="superscript"/>
          <w:rtl w:val="0"/>
        </w:rPr>
        <w:t xml:space="preserve">8,11,</w:t>
      </w:r>
      <w:r w:rsidDel="00000000" w:rsidR="00000000" w:rsidRPr="00000000">
        <w:rPr>
          <w:sz w:val="24"/>
          <w:szCs w:val="24"/>
          <w:rtl w:val="0"/>
        </w:rPr>
        <w:t xml:space="preserve">. </w:t>
      </w:r>
    </w:p>
    <w:p w:rsidR="00000000" w:rsidDel="00000000" w:rsidP="00000000" w:rsidRDefault="00000000" w:rsidRPr="00000000" w14:paraId="0000016F">
      <w:pPr>
        <w:numPr>
          <w:ilvl w:val="0"/>
          <w:numId w:val="35"/>
        </w:numPr>
        <w:spacing w:after="0" w:afterAutospacing="0" w:before="240" w:lineRule="auto"/>
        <w:ind w:left="720" w:hanging="360"/>
        <w:jc w:val="both"/>
        <w:rPr>
          <w:sz w:val="24"/>
          <w:szCs w:val="24"/>
        </w:rPr>
      </w:pPr>
      <w:r w:rsidDel="00000000" w:rsidR="00000000" w:rsidRPr="00000000">
        <w:rPr>
          <w:sz w:val="24"/>
          <w:szCs w:val="24"/>
          <w:rtl w:val="0"/>
        </w:rPr>
        <w:t xml:space="preserve">Evaluar y asegurar vía aérea garantizando Saturación de oxígeno &gt; 92%</w:t>
      </w:r>
    </w:p>
    <w:p w:rsidR="00000000" w:rsidDel="00000000" w:rsidP="00000000" w:rsidRDefault="00000000" w:rsidRPr="00000000" w14:paraId="00000170">
      <w:pPr>
        <w:numPr>
          <w:ilvl w:val="0"/>
          <w:numId w:val="3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Canalizar 2 vías con catéter 16 </w:t>
      </w:r>
    </w:p>
    <w:p w:rsidR="00000000" w:rsidDel="00000000" w:rsidP="00000000" w:rsidRDefault="00000000" w:rsidRPr="00000000" w14:paraId="00000171">
      <w:pPr>
        <w:numPr>
          <w:ilvl w:val="0"/>
          <w:numId w:val="3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Reanimación hídrica con cristaloides - bolos de 500 cc y repetir según requerimiento, al lograr metas mantener 1-2 ml/kg/h </w:t>
      </w:r>
    </w:p>
    <w:p w:rsidR="00000000" w:rsidDel="00000000" w:rsidP="00000000" w:rsidRDefault="00000000" w:rsidRPr="00000000" w14:paraId="00000172">
      <w:pPr>
        <w:numPr>
          <w:ilvl w:val="0"/>
          <w:numId w:val="35"/>
        </w:numPr>
        <w:spacing w:after="240" w:before="0" w:beforeAutospacing="0" w:lineRule="auto"/>
        <w:ind w:left="720" w:hanging="360"/>
        <w:jc w:val="both"/>
        <w:rPr>
          <w:sz w:val="24"/>
          <w:szCs w:val="24"/>
        </w:rPr>
      </w:pPr>
      <w:r w:rsidDel="00000000" w:rsidR="00000000" w:rsidRPr="00000000">
        <w:rPr>
          <w:sz w:val="24"/>
          <w:szCs w:val="24"/>
          <w:rtl w:val="0"/>
        </w:rPr>
        <w:t xml:space="preserve">Evaluación de respuesta cada 5 minutos con meta PAM &gt; 65, PAS &gt; 90, GU &gt;0.5ml/kg/h, Hemoglobina &gt;7 g/dl en población general o &gt; 8 g/dl en coronariopatías.</w:t>
      </w:r>
    </w:p>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Además de lo anterior, el ácido tranexámico representa una opción terapéutica útil. Las mujeres con HUA aguda presentan niveles elevados de activadores del plasminógeno endometrial, lo que incrementa la fibrinólisis. Este fármaco actúa como antifibrinolítico al formar un complejo reversible que desplaza el plasminógeno de la fibrina, inhibiendo la fibrinólisis y bloqueando la actividad proteolítica de la plasmina. El control del sangrado se logra en un periodo de dos a tres horas, con una eficacia reportada entre el 26% y el 60% </w:t>
      </w:r>
      <w:r w:rsidDel="00000000" w:rsidR="00000000" w:rsidRPr="00000000">
        <w:rPr>
          <w:sz w:val="24"/>
          <w:szCs w:val="24"/>
          <w:vertAlign w:val="superscript"/>
          <w:rtl w:val="0"/>
        </w:rPr>
        <w:t xml:space="preserve">8,11,</w:t>
      </w:r>
      <w:r w:rsidDel="00000000" w:rsidR="00000000" w:rsidRPr="00000000">
        <w:rPr>
          <w:sz w:val="24"/>
          <w:szCs w:val="24"/>
          <w:rtl w:val="0"/>
        </w:rPr>
        <w:t xml:space="preserve">.Por su parte, los antiinflamatorios no esteroideos (AINEs) también pueden utilizarse, ya que reducen los niveles de prostaglandinas endometriales y promueven la vasoconstricción uterina, lo que permite una disminución del sangrado entre un 20% y un 50% </w:t>
      </w:r>
      <w:r w:rsidDel="00000000" w:rsidR="00000000" w:rsidRPr="00000000">
        <w:rPr>
          <w:sz w:val="24"/>
          <w:szCs w:val="24"/>
          <w:vertAlign w:val="superscript"/>
          <w:rtl w:val="0"/>
        </w:rPr>
        <w:t xml:space="preserve">1,8 ,11,</w:t>
      </w:r>
      <w:r w:rsidDel="00000000" w:rsidR="00000000" w:rsidRPr="00000000">
        <w:rPr>
          <w:sz w:val="24"/>
          <w:szCs w:val="24"/>
          <w:rtl w:val="0"/>
        </w:rPr>
        <w:t xml:space="preserve">.</w:t>
      </w:r>
    </w:p>
    <w:p w:rsidR="00000000" w:rsidDel="00000000" w:rsidP="00000000" w:rsidRDefault="00000000" w:rsidRPr="00000000" w14:paraId="00000174">
      <w:pPr>
        <w:spacing w:after="240" w:before="240" w:lineRule="auto"/>
        <w:jc w:val="both"/>
        <w:rPr>
          <w:sz w:val="24"/>
          <w:szCs w:val="24"/>
        </w:rPr>
      </w:pPr>
      <w:r w:rsidDel="00000000" w:rsidR="00000000" w:rsidRPr="00000000">
        <w:rPr>
          <w:sz w:val="24"/>
          <w:szCs w:val="24"/>
          <w:rtl w:val="0"/>
        </w:rPr>
        <w:t xml:space="preserve">En caso de falla de las medidas iniciales o persistencia del sangrado, se puede recurrir a intervenciones de segunda línea como la embolización de arterias uterinas, ablación endometrial, histerectomía o legrado ginecológico </w:t>
      </w:r>
      <w:r w:rsidDel="00000000" w:rsidR="00000000" w:rsidRPr="00000000">
        <w:rPr>
          <w:sz w:val="24"/>
          <w:szCs w:val="24"/>
          <w:vertAlign w:val="superscript"/>
          <w:rtl w:val="0"/>
        </w:rPr>
        <w:t xml:space="preserve">1,8 ,11</w:t>
      </w:r>
      <w:r w:rsidDel="00000000" w:rsidR="00000000" w:rsidRPr="00000000">
        <w:rPr>
          <w:sz w:val="24"/>
          <w:szCs w:val="24"/>
          <w:rtl w:val="0"/>
        </w:rPr>
        <w:t xml:space="preserve">.Decisión que se tomará en conjunto con la paciente, en función de si tiene o no una paridad satisfecha.</w:t>
      </w:r>
    </w:p>
    <w:p w:rsidR="00000000" w:rsidDel="00000000" w:rsidP="00000000" w:rsidRDefault="00000000" w:rsidRPr="00000000" w14:paraId="00000175">
      <w:pPr>
        <w:spacing w:after="240" w:before="240" w:lineRule="auto"/>
        <w:jc w:val="both"/>
        <w:rPr>
          <w:sz w:val="24"/>
          <w:szCs w:val="24"/>
        </w:rPr>
      </w:pPr>
      <w:r w:rsidDel="00000000" w:rsidR="00000000" w:rsidRPr="00000000">
        <w:rPr>
          <w:sz w:val="24"/>
          <w:szCs w:val="24"/>
          <w:rtl w:val="0"/>
        </w:rPr>
        <w:t xml:space="preserve">Por otro lado, el tratamiento hormonal se considera la primera línea médica en pacientes sin trastornos hemorrágicos conocidos o sospechados. Las opciones incluyen estrógenos conjugados equinos por vía endovenosa, anticonceptivos orales combinados o progestágenos orales. Estos últimos, administrados en regímenes de multidosis, son ampliamente utilizados </w:t>
      </w:r>
      <w:r w:rsidDel="00000000" w:rsidR="00000000" w:rsidRPr="00000000">
        <w:rPr>
          <w:sz w:val="24"/>
          <w:szCs w:val="24"/>
          <w:vertAlign w:val="superscript"/>
          <w:rtl w:val="0"/>
        </w:rPr>
        <w:t xml:space="preserve">1,8 ,11 </w:t>
      </w:r>
      <w:r w:rsidDel="00000000" w:rsidR="00000000" w:rsidRPr="00000000">
        <w:rPr>
          <w:sz w:val="24"/>
          <w:szCs w:val="24"/>
          <w:rtl w:val="0"/>
        </w:rPr>
        <w:t xml:space="preserve">Los ACOs logran controlar el sangrado en un 88% de los casos y el acetato de medroxiprogesterona (AMP) en un 76%, dentro de los primeros tres días. Una vez controlado el episodio agudo, se puede continuar con tratamientos dirigidos al manejo del sangrado uterino anormal (SUA) crónico, como el dispositivo intrauterino liberador de levonorgestrel (DIU-LNG), ACOs, progestágenos solos, ácido tranexámico o AINEs </w:t>
      </w:r>
      <w:r w:rsidDel="00000000" w:rsidR="00000000" w:rsidRPr="00000000">
        <w:rPr>
          <w:sz w:val="24"/>
          <w:szCs w:val="24"/>
          <w:vertAlign w:val="superscript"/>
          <w:rtl w:val="0"/>
        </w:rPr>
        <w:t xml:space="preserve">4</w:t>
      </w:r>
      <w:r w:rsidDel="00000000" w:rsidR="00000000" w:rsidRPr="00000000">
        <w:rPr>
          <w:rtl w:val="0"/>
        </w:rPr>
      </w:r>
    </w:p>
    <w:p w:rsidR="00000000" w:rsidDel="00000000" w:rsidP="00000000" w:rsidRDefault="00000000" w:rsidRPr="00000000" w14:paraId="00000176">
      <w:pPr>
        <w:spacing w:after="240" w:before="240" w:lineRule="auto"/>
        <w:jc w:val="both"/>
        <w:rPr>
          <w:sz w:val="24"/>
          <w:szCs w:val="24"/>
        </w:rPr>
      </w:pPr>
      <w:r w:rsidDel="00000000" w:rsidR="00000000" w:rsidRPr="00000000">
        <w:rPr>
          <w:sz w:val="24"/>
          <w:szCs w:val="24"/>
          <w:rtl w:val="0"/>
        </w:rPr>
        <w:t xml:space="preserve">Los estrógenos equinos conjugados endovenosos están indicados en pacientes inestables que pueden tolerar más de tres horas sin complicaciones adicionales. Este medicamento promueve el rápido crecimiento del endometrio denudado y estabiliza la membrana lisosomal, logrando mejoría del sangrado a las cinco horas de la primera dosis, con una tasa de éxito del 72%.Es fundamental la administración conjunta de un antiemético, debido a que los principales efectos adversos son náuseas y vómito, reportados hasta en el 39% de los casos. Pese a su recomendación en la literatura, en Colombia, actualmente no se dispone de este medicamento para administración intravenosa </w:t>
      </w:r>
      <w:r w:rsidDel="00000000" w:rsidR="00000000" w:rsidRPr="00000000">
        <w:rPr>
          <w:sz w:val="24"/>
          <w:szCs w:val="24"/>
          <w:vertAlign w:val="superscript"/>
          <w:rtl w:val="0"/>
        </w:rPr>
        <w:t xml:space="preserve">1,3</w:t>
      </w:r>
      <w:r w:rsidDel="00000000" w:rsidR="00000000" w:rsidRPr="00000000">
        <w:rPr>
          <w:sz w:val="24"/>
          <w:szCs w:val="24"/>
          <w:rtl w:val="0"/>
        </w:rPr>
        <w:t xml:space="preserve">.</w:t>
      </w:r>
    </w:p>
    <w:p w:rsidR="00000000" w:rsidDel="00000000" w:rsidP="00000000" w:rsidRDefault="00000000" w:rsidRPr="00000000" w14:paraId="00000177">
      <w:pPr>
        <w:spacing w:after="240" w:before="240" w:lineRule="auto"/>
        <w:jc w:val="both"/>
        <w:rPr>
          <w:sz w:val="24"/>
          <w:szCs w:val="24"/>
        </w:rPr>
      </w:pPr>
      <w:r w:rsidDel="00000000" w:rsidR="00000000" w:rsidRPr="00000000">
        <w:rPr>
          <w:sz w:val="24"/>
          <w:szCs w:val="24"/>
          <w:rtl w:val="0"/>
        </w:rPr>
        <w:t xml:space="preserve">De acuerdo a la disponibilidad de medicamentos en Colombia, se proponen 3 opciones </w:t>
      </w:r>
      <w:r w:rsidDel="00000000" w:rsidR="00000000" w:rsidRPr="00000000">
        <w:rPr>
          <w:sz w:val="24"/>
          <w:szCs w:val="24"/>
          <w:vertAlign w:val="superscript"/>
          <w:rtl w:val="0"/>
        </w:rPr>
        <w:t xml:space="preserve">4</w:t>
      </w:r>
      <w:r w:rsidDel="00000000" w:rsidR="00000000" w:rsidRPr="00000000">
        <w:rPr>
          <w:sz w:val="24"/>
          <w:szCs w:val="24"/>
          <w:rtl w:val="0"/>
        </w:rPr>
        <w:t xml:space="preserve"> descritas en la siguiente tabla: </w:t>
      </w:r>
    </w:p>
    <w:tbl>
      <w:tblPr>
        <w:tblStyle w:val="Table7"/>
        <w:tblW w:w="9360.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2745"/>
        <w:gridCol w:w="4515"/>
        <w:gridCol w:w="2100"/>
        <w:tblGridChange w:id="0">
          <w:tblGrid>
            <w:gridCol w:w="2745"/>
            <w:gridCol w:w="4515"/>
            <w:gridCol w:w="2100"/>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MEDICAMENTO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POSOLOGÍA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EFICACIA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Anticonceptivos orales combinados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Monofásico con 30-35 mcg etinilestradiol cada 8 horas por 7 días, luego 1 día por 3 semanas. 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88%</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Progestágenos orales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Acetato de medroxiprogesterona 20 mg o acetato de noretisterona cada 8 horas por 7 días, luego 1 dia por 3 semanas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 </w:t>
            </w:r>
          </w:p>
        </w:tc>
      </w:tr>
    </w:tbl>
    <w:p w:rsidR="00000000" w:rsidDel="00000000" w:rsidP="00000000" w:rsidRDefault="00000000" w:rsidRPr="00000000" w14:paraId="00000181">
      <w:pPr>
        <w:spacing w:after="240" w:before="240" w:lineRule="auto"/>
        <w:jc w:val="both"/>
        <w:rPr>
          <w:sz w:val="24"/>
          <w:szCs w:val="24"/>
        </w:rPr>
      </w:pPr>
      <w:r w:rsidDel="00000000" w:rsidR="00000000" w:rsidRPr="00000000">
        <w:rPr>
          <w:i w:val="1"/>
          <w:sz w:val="24"/>
          <w:szCs w:val="24"/>
          <w:rtl w:val="0"/>
        </w:rPr>
        <w:t xml:space="preserve">Tabla 4. Tratamiento hormonal para HUA aguda. Adaptado de Molina. R., Pérez. M. 2022. Consenso en ginecología: Sangrado uterino anormal. Federación Argentina de sociedades de ginecología y obstetricia</w:t>
      </w:r>
      <w:r w:rsidDel="00000000" w:rsidR="00000000" w:rsidRPr="00000000">
        <w:rPr>
          <w:rtl w:val="0"/>
        </w:rPr>
      </w:r>
    </w:p>
    <w:p w:rsidR="00000000" w:rsidDel="00000000" w:rsidP="00000000" w:rsidRDefault="00000000" w:rsidRPr="00000000" w14:paraId="00000182">
      <w:pPr>
        <w:spacing w:after="240" w:before="240" w:lineRule="auto"/>
        <w:jc w:val="both"/>
        <w:rPr>
          <w:sz w:val="24"/>
          <w:szCs w:val="24"/>
        </w:rPr>
      </w:pPr>
      <w:r w:rsidDel="00000000" w:rsidR="00000000" w:rsidRPr="00000000">
        <w:rPr>
          <w:sz w:val="24"/>
          <w:szCs w:val="24"/>
          <w:rtl w:val="0"/>
        </w:rPr>
        <w:t xml:space="preserve">La FASGO </w:t>
      </w:r>
      <w:r w:rsidDel="00000000" w:rsidR="00000000" w:rsidRPr="00000000">
        <w:rPr>
          <w:sz w:val="24"/>
          <w:szCs w:val="24"/>
          <w:vertAlign w:val="superscript"/>
          <w:rtl w:val="0"/>
        </w:rPr>
        <w:t xml:space="preserve">4</w:t>
      </w:r>
      <w:r w:rsidDel="00000000" w:rsidR="00000000" w:rsidRPr="00000000">
        <w:rPr>
          <w:sz w:val="24"/>
          <w:szCs w:val="24"/>
          <w:rtl w:val="0"/>
        </w:rPr>
        <w:t xml:space="preserve"> propone enfoque de manejo de acuerdo al nivel de hemoglobina así: </w:t>
      </w:r>
    </w:p>
    <w:p w:rsidR="00000000" w:rsidDel="00000000" w:rsidP="00000000" w:rsidRDefault="00000000" w:rsidRPr="00000000" w14:paraId="00000183">
      <w:pPr>
        <w:spacing w:after="240" w:before="240" w:lineRule="auto"/>
        <w:jc w:val="both"/>
        <w:rPr>
          <w:sz w:val="24"/>
          <w:szCs w:val="24"/>
        </w:rPr>
      </w:pPr>
      <w:r w:rsidDel="00000000" w:rsidR="00000000" w:rsidRPr="00000000">
        <w:rPr>
          <w:rtl w:val="0"/>
        </w:rPr>
      </w:r>
    </w:p>
    <w:tbl>
      <w:tblPr>
        <w:tblStyle w:val="Table8"/>
        <w:tblW w:w="11670.0" w:type="dxa"/>
        <w:jc w:val="left"/>
        <w:tblInd w:w="-1125.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1530"/>
        <w:gridCol w:w="4650"/>
        <w:gridCol w:w="5490"/>
        <w:tblGridChange w:id="0">
          <w:tblGrid>
            <w:gridCol w:w="1530"/>
            <w:gridCol w:w="4650"/>
            <w:gridCol w:w="549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GRADO DE ANEMIA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MANEJO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POSOLOGÍA </w:t>
            </w:r>
          </w:p>
        </w:tc>
      </w:tr>
      <w:tr>
        <w:trPr>
          <w:cantSplit w:val="0"/>
          <w:trHeight w:val="814.609375" w:hRule="atLeast"/>
          <w:tblHeader w:val="0"/>
        </w:trPr>
        <w:tc>
          <w:tcPr>
            <w:vMerge w:val="restart"/>
            <w:shd w:fill="c9daf8"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Severa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(Hb ≤ 7 g/dL)</w:t>
            </w:r>
          </w:p>
        </w:tc>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Transfusión de hemoderivados  →  hasta lograr un HTO mayor a 30 %.</w:t>
            </w:r>
          </w:p>
        </w:tc>
      </w:tr>
      <w:tr>
        <w:trPr>
          <w:cantSplit w:val="0"/>
          <w:trHeight w:val="814.609375" w:hRule="atLeast"/>
          <w:tblHeader w:val="0"/>
        </w:trPr>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both"/>
              <w:rPr/>
            </w:pPr>
            <w:r w:rsidDel="00000000" w:rsidR="00000000" w:rsidRPr="00000000">
              <w:rPr>
                <w:rtl w:val="0"/>
              </w:rPr>
              <w:t xml:space="preserve">Dosis alta de estrógenos (Terapia opcional)</w:t>
            </w:r>
          </w:p>
          <w:p w:rsidR="00000000" w:rsidDel="00000000" w:rsidP="00000000" w:rsidRDefault="00000000" w:rsidRPr="00000000" w14:paraId="0000018D">
            <w:pPr>
              <w:widowControl w:val="0"/>
              <w:spacing w:line="240" w:lineRule="auto"/>
              <w:jc w:val="both"/>
              <w:rPr/>
            </w:pPr>
            <w:r w:rsidDel="00000000" w:rsidR="00000000" w:rsidRPr="00000000">
              <w:rPr>
                <w:rtl w:val="0"/>
              </w:rPr>
            </w:r>
          </w:p>
          <w:p w:rsidR="00000000" w:rsidDel="00000000" w:rsidP="00000000" w:rsidRDefault="00000000" w:rsidRPr="00000000" w14:paraId="0000018E">
            <w:pPr>
              <w:widowControl w:val="0"/>
              <w:spacing w:line="240" w:lineRule="auto"/>
              <w:jc w:val="both"/>
              <w:rPr/>
            </w:pPr>
            <w:r w:rsidDel="00000000" w:rsidR="00000000" w:rsidRPr="00000000">
              <w:rPr>
                <w:rtl w:val="0"/>
              </w:rPr>
              <w:t xml:space="preserve">Anticonceptivos con 30 mcg de</w:t>
            </w:r>
          </w:p>
          <w:p w:rsidR="00000000" w:rsidDel="00000000" w:rsidP="00000000" w:rsidRDefault="00000000" w:rsidRPr="00000000" w14:paraId="0000018F">
            <w:pPr>
              <w:widowControl w:val="0"/>
              <w:spacing w:line="240" w:lineRule="auto"/>
              <w:jc w:val="both"/>
              <w:rPr/>
            </w:pPr>
            <w:r w:rsidDel="00000000" w:rsidR="00000000" w:rsidRPr="00000000">
              <w:rPr>
                <w:rtl w:val="0"/>
              </w:rPr>
              <w:t xml:space="preserve">Etinilestradiol y levonorgestrel 3 mg (o</w:t>
            </w:r>
          </w:p>
          <w:p w:rsidR="00000000" w:rsidDel="00000000" w:rsidP="00000000" w:rsidRDefault="00000000" w:rsidRPr="00000000" w14:paraId="00000190">
            <w:pPr>
              <w:widowControl w:val="0"/>
              <w:spacing w:line="240" w:lineRule="auto"/>
              <w:jc w:val="both"/>
              <w:rPr/>
            </w:pPr>
            <w:r w:rsidDel="00000000" w:rsidR="00000000" w:rsidRPr="00000000">
              <w:rPr>
                <w:rtl w:val="0"/>
              </w:rPr>
              <w:t xml:space="preserve">cualquier otro con 30 mcg)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 mg cada 6 horas hasta que cese el sangrado, seguido de 2 mg cada 6 horas durante 2 días, luego cada 8 horas por 2 días, luego se disminuye cada 12 horas por 2 días más hasta continuar una dosis al día.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debe agregar un progestágeno durante 10-14 días para estabilizar al endometrio estimulado. </w:t>
            </w:r>
          </w:p>
        </w:tc>
      </w:tr>
      <w:tr>
        <w:trPr>
          <w:cantSplit w:val="0"/>
          <w:trHeight w:val="814.609375" w:hRule="atLeast"/>
          <w:tblHeader w:val="0"/>
        </w:trPr>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pPr>
            <w:r w:rsidDel="00000000" w:rsidR="00000000" w:rsidRPr="00000000">
              <w:rPr>
                <w:rtl w:val="0"/>
              </w:rPr>
              <w:t xml:space="preserve">Acetato de noretisterona </w:t>
            </w:r>
          </w:p>
          <w:p w:rsidR="00000000" w:rsidDel="00000000" w:rsidP="00000000" w:rsidRDefault="00000000" w:rsidRPr="00000000" w14:paraId="00000195">
            <w:pPr>
              <w:widowControl w:val="0"/>
              <w:spacing w:line="240" w:lineRule="auto"/>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5 - 10 mg VO cada 6 horas durante 4 días, luego cada 8 horas durante 3 días y luego cada 12 horas durante 2 semanas, para terminar única dosis diaria ó;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10-20 mg VO cada 6 - 8 horas durante una semana seguido de 10 -20 mg cada 12 h por una semana y </w:t>
            </w:r>
            <w:r w:rsidDel="00000000" w:rsidR="00000000" w:rsidRPr="00000000">
              <w:rPr>
                <w:rtl w:val="0"/>
              </w:rPr>
              <w:t xml:space="preserve">luego única</w:t>
            </w:r>
            <w:r w:rsidDel="00000000" w:rsidR="00000000" w:rsidRPr="00000000">
              <w:rPr>
                <w:rtl w:val="0"/>
              </w:rPr>
              <w:t xml:space="preserve"> dosis diaria. </w:t>
            </w:r>
          </w:p>
        </w:tc>
      </w:tr>
      <w:tr>
        <w:trPr>
          <w:cantSplit w:val="0"/>
          <w:trHeight w:val="814.609375" w:hRule="atLeast"/>
          <w:tblHeader w:val="0"/>
        </w:trPr>
        <w:tc>
          <w:tcPr>
            <w:vMerge w:val="continue"/>
            <w:shd w:fill="c9daf8"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both"/>
              <w:rPr/>
            </w:pPr>
            <w:r w:rsidDel="00000000" w:rsidR="00000000" w:rsidRPr="00000000">
              <w:rPr>
                <w:rtl w:val="0"/>
              </w:rPr>
              <w:t xml:space="preserve">Acetato de medroxiprogesterona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 mg cada 4 hs vía oral (máx 80 mg) hasta el cese del sangrado, luego cada 6 h por 4 días, luego cada 8 hs por 3 días, luego cada 12 hs por 2 días hasta por dos semanas. Luego uno por día</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Moderado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(Hb 10 - 8 mg/dL)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Anticonceptivos orales combinados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Monofásico 30-35 mcg de etinilestradiol cada 6 horas durante 2 días, seguido de una pastilla cada 8 horas durante 48 horas.  Luego continuar una pastilla cada 12 horas durante 2 días más y se continúa con una pastilla al día.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 el sangrado se reanuda a medida que se reduce la dosis, se pueden tomar 2 veces al día hasta completar 21 días.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Leve</w:t>
            </w:r>
            <w:r w:rsidDel="00000000" w:rsidR="00000000" w:rsidRPr="00000000">
              <w:rPr>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Hb 12 – 10 mg/dL)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Anticonceptivos orales combinados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Monofásico con 30-35 mcg etinilestradiol cada 8 horas por 7 días, luego 1 día por 3 semanas</w:t>
            </w:r>
          </w:p>
        </w:tc>
      </w:tr>
    </w:tbl>
    <w:p w:rsidR="00000000" w:rsidDel="00000000" w:rsidP="00000000" w:rsidRDefault="00000000" w:rsidRPr="00000000" w14:paraId="000001A6">
      <w:pPr>
        <w:spacing w:after="240" w:before="240" w:lineRule="auto"/>
        <w:jc w:val="both"/>
        <w:rPr>
          <w:sz w:val="24"/>
          <w:szCs w:val="24"/>
        </w:rPr>
      </w:pPr>
      <w:r w:rsidDel="00000000" w:rsidR="00000000" w:rsidRPr="00000000">
        <w:rPr>
          <w:i w:val="1"/>
          <w:sz w:val="24"/>
          <w:szCs w:val="24"/>
          <w:rtl w:val="0"/>
        </w:rPr>
        <w:t xml:space="preserve">Tabla 5. Enfoque de tratamiento hormonal en la paciente con HUA aguda, de acuerdo a nivel de hemoglobina. Adaptado de Molina. R., Pérez. M. 2022. Consenso en ginecología: Sangrado uterino anormal. Federación Argentina de sociedades de ginecología y obstetricia</w:t>
      </w:r>
      <w:r w:rsidDel="00000000" w:rsidR="00000000" w:rsidRPr="00000000">
        <w:rPr>
          <w:rtl w:val="0"/>
        </w:rPr>
      </w:r>
    </w:p>
    <w:p w:rsidR="00000000" w:rsidDel="00000000" w:rsidP="00000000" w:rsidRDefault="00000000" w:rsidRPr="00000000" w14:paraId="000001A7">
      <w:pPr>
        <w:spacing w:after="240" w:before="240" w:lineRule="auto"/>
        <w:ind w:left="0" w:firstLine="0"/>
        <w:jc w:val="both"/>
        <w:rPr>
          <w:sz w:val="24"/>
          <w:szCs w:val="24"/>
        </w:rPr>
      </w:pPr>
      <w:r w:rsidDel="00000000" w:rsidR="00000000" w:rsidRPr="00000000">
        <w:rPr>
          <w:sz w:val="24"/>
          <w:szCs w:val="24"/>
          <w:rtl w:val="0"/>
        </w:rPr>
        <w:t xml:space="preserve">En caso de hemorragia aguda en pacientes con diagnóstico conocido de coagulopatía, se indica la administración de desmopresina por vía intravenosa lenta, con una dosis de 0,3 mcg/kg de peso corporal, diluida en 50-100 mL de solución salina fisiológica, administrada durante 15-30 minutos. Si la respuesta es favorable, la dosis puede repetirse 1 o 2 veces más, con intervalos de 6 a 12 horas entre cada administración </w:t>
      </w:r>
      <w:r w:rsidDel="00000000" w:rsidR="00000000" w:rsidRPr="00000000">
        <w:rPr>
          <w:sz w:val="24"/>
          <w:szCs w:val="24"/>
          <w:vertAlign w:val="superscript"/>
          <w:rtl w:val="0"/>
        </w:rPr>
        <w:t xml:space="preserve">4</w:t>
      </w:r>
      <w:r w:rsidDel="00000000" w:rsidR="00000000" w:rsidRPr="00000000">
        <w:rPr>
          <w:sz w:val="24"/>
          <w:szCs w:val="24"/>
          <w:rtl w:val="0"/>
        </w:rPr>
        <w:t xml:space="preserve">.</w:t>
      </w:r>
    </w:p>
    <w:p w:rsidR="00000000" w:rsidDel="00000000" w:rsidP="00000000" w:rsidRDefault="00000000" w:rsidRPr="00000000" w14:paraId="000001A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AB">
      <w:pPr>
        <w:pStyle w:val="Heading4"/>
        <w:jc w:val="both"/>
        <w:rPr>
          <w:rFonts w:ascii="Lilita One" w:cs="Lilita One" w:eastAsia="Lilita One" w:hAnsi="Lilita One"/>
          <w:color w:val="4a86e8"/>
        </w:rPr>
      </w:pPr>
      <w:bookmarkStart w:colFirst="0" w:colLast="0" w:name="_9r66r5t6wv3w" w:id="40"/>
      <w:bookmarkEnd w:id="40"/>
      <w:r w:rsidDel="00000000" w:rsidR="00000000" w:rsidRPr="00000000">
        <w:rPr>
          <w:rFonts w:ascii="Lilita One" w:cs="Lilita One" w:eastAsia="Lilita One" w:hAnsi="Lilita One"/>
          <w:color w:val="4a86e8"/>
          <w:sz w:val="34"/>
          <w:szCs w:val="34"/>
          <w:rtl w:val="0"/>
        </w:rPr>
        <w:t xml:space="preserve">Paciente estable - HUA Crónica</w:t>
      </w:r>
      <w:r w:rsidDel="00000000" w:rsidR="00000000" w:rsidRPr="00000000">
        <w:rPr>
          <w:rFonts w:ascii="Lilita One" w:cs="Lilita One" w:eastAsia="Lilita One" w:hAnsi="Lilita One"/>
          <w:color w:val="4a86e8"/>
          <w:rtl w:val="0"/>
        </w:rPr>
        <w:t xml:space="preserve"> </w:t>
      </w:r>
    </w:p>
    <w:tbl>
      <w:tblPr>
        <w:tblStyle w:val="Table9"/>
        <w:tblW w:w="11820.0" w:type="dxa"/>
        <w:jc w:val="left"/>
        <w:tblInd w:w="-118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1830"/>
        <w:gridCol w:w="4395"/>
        <w:gridCol w:w="4425"/>
        <w:gridCol w:w="1170"/>
        <w:tblGridChange w:id="0">
          <w:tblGrid>
            <w:gridCol w:w="1830"/>
            <w:gridCol w:w="4395"/>
            <w:gridCol w:w="4425"/>
            <w:gridCol w:w="117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b w:val="1"/>
                <w:sz w:val="20"/>
                <w:szCs w:val="20"/>
              </w:rPr>
            </w:pPr>
            <w:r w:rsidDel="00000000" w:rsidR="00000000" w:rsidRPr="00000000">
              <w:rPr>
                <w:b w:val="1"/>
                <w:sz w:val="20"/>
                <w:szCs w:val="20"/>
                <w:rtl w:val="0"/>
              </w:rPr>
              <w:t xml:space="preserve">OPCIÓN TERAPÉUTICA</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b w:val="1"/>
                <w:sz w:val="20"/>
                <w:szCs w:val="20"/>
              </w:rPr>
            </w:pPr>
            <w:r w:rsidDel="00000000" w:rsidR="00000000" w:rsidRPr="00000000">
              <w:rPr>
                <w:b w:val="1"/>
                <w:sz w:val="20"/>
                <w:szCs w:val="20"/>
                <w:rtl w:val="0"/>
              </w:rPr>
              <w:t xml:space="preserve">CARACTERÍSTICAS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b w:val="1"/>
                <w:sz w:val="20"/>
                <w:szCs w:val="20"/>
              </w:rPr>
            </w:pPr>
            <w:r w:rsidDel="00000000" w:rsidR="00000000" w:rsidRPr="00000000">
              <w:rPr>
                <w:b w:val="1"/>
                <w:sz w:val="20"/>
                <w:szCs w:val="20"/>
                <w:rtl w:val="0"/>
              </w:rPr>
              <w:t xml:space="preserve">FÁRMACO/DOSIS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b w:val="1"/>
                <w:sz w:val="20"/>
                <w:szCs w:val="20"/>
              </w:rPr>
            </w:pPr>
            <w:r w:rsidDel="00000000" w:rsidR="00000000" w:rsidRPr="00000000">
              <w:rPr>
                <w:b w:val="1"/>
                <w:sz w:val="20"/>
                <w:szCs w:val="20"/>
                <w:rtl w:val="0"/>
              </w:rPr>
              <w:t xml:space="preserve">EFICACIA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both"/>
              <w:rPr/>
            </w:pPr>
            <w:r w:rsidDel="00000000" w:rsidR="00000000" w:rsidRPr="00000000">
              <w:rPr>
                <w:rtl w:val="0"/>
              </w:rPr>
              <w:t xml:space="preserve">DIU-LNG</w:t>
            </w:r>
          </w:p>
          <w:p w:rsidR="00000000" w:rsidDel="00000000" w:rsidP="00000000" w:rsidRDefault="00000000" w:rsidRPr="00000000" w14:paraId="000001B1">
            <w:pPr>
              <w:widowControl w:val="0"/>
              <w:spacing w:line="240" w:lineRule="auto"/>
              <w:jc w:val="both"/>
              <w:rPr/>
            </w:pPr>
            <w:r w:rsidDel="00000000" w:rsidR="00000000" w:rsidRPr="00000000">
              <w:rPr>
                <w:rtl w:val="0"/>
              </w:rPr>
            </w:r>
          </w:p>
          <w:p w:rsidR="00000000" w:rsidDel="00000000" w:rsidP="00000000" w:rsidRDefault="00000000" w:rsidRPr="00000000" w14:paraId="000001B2">
            <w:pPr>
              <w:widowControl w:val="0"/>
              <w:spacing w:line="240" w:lineRule="auto"/>
              <w:jc w:val="both"/>
              <w:rPr/>
            </w:pPr>
            <w:r w:rsidDel="00000000" w:rsidR="00000000" w:rsidRPr="00000000">
              <w:rPr>
                <w:rtl w:val="0"/>
              </w:rPr>
              <w:t xml:space="preserve">Primera línea*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both"/>
              <w:rPr/>
            </w:pPr>
            <w:r w:rsidDel="00000000" w:rsidR="00000000" w:rsidRPr="00000000">
              <w:rPr>
                <w:rtl w:val="0"/>
              </w:rPr>
              <w:t xml:space="preserve">La administración de levonorgestrel da como resultado niveles elevados de este en el tejido endometrial, pero con bajos niveles en la circulación sistémica. Conduce al adelgazamiento del endometrio y atrofia glandular, con una reducción del SMA en más de un 80% en un periodo de 3 a 6 meses.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both"/>
              <w:rPr/>
            </w:pPr>
            <w:r w:rsidDel="00000000" w:rsidR="00000000" w:rsidRPr="00000000">
              <w:rPr>
                <w:rtl w:val="0"/>
              </w:rPr>
              <w:t xml:space="preserve">DIU-LNG 52 mg Inserción cada 5 años, con liberación 20 mcg/día</w:t>
            </w:r>
          </w:p>
          <w:p w:rsidR="00000000" w:rsidDel="00000000" w:rsidP="00000000" w:rsidRDefault="00000000" w:rsidRPr="00000000" w14:paraId="000001B5">
            <w:pPr>
              <w:widowControl w:val="0"/>
              <w:spacing w:line="240" w:lineRule="auto"/>
              <w:jc w:val="both"/>
              <w:rPr/>
            </w:pPr>
            <w:r w:rsidDel="00000000" w:rsidR="00000000" w:rsidRPr="00000000">
              <w:rPr>
                <w:rtl w:val="0"/>
              </w:rPr>
            </w:r>
          </w:p>
          <w:p w:rsidR="00000000" w:rsidDel="00000000" w:rsidP="00000000" w:rsidRDefault="00000000" w:rsidRPr="00000000" w14:paraId="000001B6">
            <w:pPr>
              <w:widowControl w:val="0"/>
              <w:spacing w:line="240" w:lineRule="auto"/>
              <w:jc w:val="both"/>
              <w:rPr/>
            </w:pPr>
            <w:r w:rsidDel="00000000" w:rsidR="00000000" w:rsidRPr="00000000">
              <w:rPr>
                <w:rtl w:val="0"/>
              </w:rPr>
              <w:t xml:space="preserve">El DIU-LNG es el tratamiento de primera línea para el SMA en mujeres sin patología</w:t>
            </w:r>
          </w:p>
          <w:p w:rsidR="00000000" w:rsidDel="00000000" w:rsidP="00000000" w:rsidRDefault="00000000" w:rsidRPr="00000000" w14:paraId="000001B7">
            <w:pPr>
              <w:widowControl w:val="0"/>
              <w:spacing w:line="240" w:lineRule="auto"/>
              <w:jc w:val="both"/>
              <w:rPr/>
            </w:pPr>
            <w:r w:rsidDel="00000000" w:rsidR="00000000" w:rsidRPr="00000000">
              <w:rPr>
                <w:rtl w:val="0"/>
              </w:rPr>
              <w:t xml:space="preserve">evidente, con miomas menores a 3 cm y sin distorsión de la cavidad uterina o con</w:t>
            </w:r>
          </w:p>
          <w:p w:rsidR="00000000" w:rsidDel="00000000" w:rsidP="00000000" w:rsidRDefault="00000000" w:rsidRPr="00000000" w14:paraId="000001B8">
            <w:pPr>
              <w:widowControl w:val="0"/>
              <w:spacing w:line="240" w:lineRule="auto"/>
              <w:jc w:val="both"/>
              <w:rPr/>
            </w:pPr>
            <w:r w:rsidDel="00000000" w:rsidR="00000000" w:rsidRPr="00000000">
              <w:rPr>
                <w:rtl w:val="0"/>
              </w:rPr>
              <w:t xml:space="preserve">sospecha o diagnóstico de adenomiosis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both"/>
              <w:rPr/>
            </w:pPr>
            <w:r w:rsidDel="00000000" w:rsidR="00000000" w:rsidRPr="00000000">
              <w:rPr>
                <w:b w:val="1"/>
                <w:rtl w:val="0"/>
              </w:rPr>
              <w:t xml:space="preserve">70%</w:t>
            </w:r>
            <w:r w:rsidDel="00000000" w:rsidR="00000000" w:rsidRPr="00000000">
              <w:rPr>
                <w:rtl w:val="0"/>
              </w:rPr>
              <w:t xml:space="preserve"> en primeros 3 meses y </w:t>
            </w:r>
            <w:r w:rsidDel="00000000" w:rsidR="00000000" w:rsidRPr="00000000">
              <w:rPr>
                <w:b w:val="1"/>
                <w:rtl w:val="0"/>
              </w:rPr>
              <w:t xml:space="preserve">96%</w:t>
            </w:r>
            <w:r w:rsidDel="00000000" w:rsidR="00000000" w:rsidRPr="00000000">
              <w:rPr>
                <w:rtl w:val="0"/>
              </w:rPr>
              <w:t xml:space="preserve"> al año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both"/>
              <w:rPr/>
            </w:pPr>
            <w:r w:rsidDel="00000000" w:rsidR="00000000" w:rsidRPr="00000000">
              <w:rPr>
                <w:rtl w:val="0"/>
              </w:rPr>
              <w:t xml:space="preserve">ACOS </w:t>
            </w:r>
          </w:p>
          <w:p w:rsidR="00000000" w:rsidDel="00000000" w:rsidP="00000000" w:rsidRDefault="00000000" w:rsidRPr="00000000" w14:paraId="000001BB">
            <w:pPr>
              <w:widowControl w:val="0"/>
              <w:spacing w:line="240" w:lineRule="auto"/>
              <w:jc w:val="both"/>
              <w:rPr/>
            </w:pPr>
            <w:r w:rsidDel="00000000" w:rsidR="00000000" w:rsidRPr="00000000">
              <w:rPr>
                <w:rtl w:val="0"/>
              </w:rPr>
            </w:r>
          </w:p>
          <w:p w:rsidR="00000000" w:rsidDel="00000000" w:rsidP="00000000" w:rsidRDefault="00000000" w:rsidRPr="00000000" w14:paraId="000001BC">
            <w:pPr>
              <w:widowControl w:val="0"/>
              <w:spacing w:line="240" w:lineRule="auto"/>
              <w:jc w:val="both"/>
              <w:rPr/>
            </w:pPr>
            <w:r w:rsidDel="00000000" w:rsidR="00000000" w:rsidRPr="00000000">
              <w:rPr>
                <w:rtl w:val="0"/>
              </w:rPr>
              <w:t xml:space="preserve">Segunda línea*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both"/>
              <w:rPr/>
            </w:pPr>
            <w:r w:rsidDel="00000000" w:rsidR="00000000" w:rsidRPr="00000000">
              <w:rPr>
                <w:rtl w:val="0"/>
              </w:rPr>
              <w:t xml:space="preserve">Estrógeno: inhibe la FSH, desarrollo folicular, y estabiliza el endometrio.</w:t>
            </w:r>
          </w:p>
          <w:p w:rsidR="00000000" w:rsidDel="00000000" w:rsidP="00000000" w:rsidRDefault="00000000" w:rsidRPr="00000000" w14:paraId="000001BE">
            <w:pPr>
              <w:widowControl w:val="0"/>
              <w:spacing w:line="240" w:lineRule="auto"/>
              <w:jc w:val="both"/>
              <w:rPr/>
            </w:pPr>
            <w:r w:rsidDel="00000000" w:rsidR="00000000" w:rsidRPr="00000000">
              <w:rPr>
                <w:rtl w:val="0"/>
              </w:rPr>
            </w:r>
          </w:p>
          <w:p w:rsidR="00000000" w:rsidDel="00000000" w:rsidP="00000000" w:rsidRDefault="00000000" w:rsidRPr="00000000" w14:paraId="000001BF">
            <w:pPr>
              <w:widowControl w:val="0"/>
              <w:spacing w:line="240" w:lineRule="auto"/>
              <w:jc w:val="both"/>
              <w:rPr/>
            </w:pPr>
            <w:r w:rsidDel="00000000" w:rsidR="00000000" w:rsidRPr="00000000">
              <w:rPr>
                <w:rtl w:val="0"/>
              </w:rPr>
              <w:t xml:space="preserve">Progestágeno: inhibe LH y la ovulación, crea endometrio atrófico, reduce sangrado.</w:t>
            </w:r>
          </w:p>
          <w:p w:rsidR="00000000" w:rsidDel="00000000" w:rsidP="00000000" w:rsidRDefault="00000000" w:rsidRPr="00000000" w14:paraId="000001C0">
            <w:pPr>
              <w:widowControl w:val="0"/>
              <w:spacing w:line="240" w:lineRule="auto"/>
              <w:jc w:val="both"/>
              <w:rPr/>
            </w:pPr>
            <w:r w:rsidDel="00000000" w:rsidR="00000000" w:rsidRPr="00000000">
              <w:rPr>
                <w:rtl w:val="0"/>
              </w:rPr>
            </w:r>
          </w:p>
          <w:p w:rsidR="00000000" w:rsidDel="00000000" w:rsidP="00000000" w:rsidRDefault="00000000" w:rsidRPr="00000000" w14:paraId="000001C1">
            <w:pPr>
              <w:widowControl w:val="0"/>
              <w:spacing w:line="240" w:lineRule="auto"/>
              <w:jc w:val="both"/>
              <w:rPr/>
            </w:pPr>
            <w:r w:rsidDel="00000000" w:rsidR="00000000" w:rsidRPr="00000000">
              <w:rPr>
                <w:rtl w:val="0"/>
              </w:rPr>
              <w:t xml:space="preserve">Contraindicaciones: </w:t>
            </w:r>
          </w:p>
          <w:p w:rsidR="00000000" w:rsidDel="00000000" w:rsidP="00000000" w:rsidRDefault="00000000" w:rsidRPr="00000000" w14:paraId="000001C2">
            <w:pPr>
              <w:widowControl w:val="0"/>
              <w:spacing w:line="240" w:lineRule="auto"/>
              <w:jc w:val="both"/>
              <w:rPr/>
            </w:pPr>
            <w:r w:rsidDel="00000000" w:rsidR="00000000" w:rsidRPr="00000000">
              <w:rPr>
                <w:rtl w:val="0"/>
              </w:rPr>
              <w:t xml:space="preserve">Antecedente o cáncer de mama activo, antecedente de trombosis venosa/arterial o trombosis activa, disfunción hepática, hipertensión no controlada, enfermedad cardiaca valvular complicada, fumadoras &gt; 35 años, migraña con aura, cirugía mayor o inmovilización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both"/>
              <w:rPr/>
            </w:pPr>
            <w:r w:rsidDel="00000000" w:rsidR="00000000" w:rsidRPr="00000000">
              <w:rPr>
                <w:rtl w:val="0"/>
              </w:rPr>
              <w:t xml:space="preserve">Etinilestradiol 30-35 mcg/día se puede utilizar</w:t>
            </w:r>
          </w:p>
          <w:p w:rsidR="00000000" w:rsidDel="00000000" w:rsidP="00000000" w:rsidRDefault="00000000" w:rsidRPr="00000000" w14:paraId="000001C4">
            <w:pPr>
              <w:widowControl w:val="0"/>
              <w:spacing w:line="240" w:lineRule="auto"/>
              <w:jc w:val="both"/>
              <w:rPr/>
            </w:pPr>
            <w:r w:rsidDel="00000000" w:rsidR="00000000" w:rsidRPr="00000000">
              <w:rPr>
                <w:rtl w:val="0"/>
              </w:rPr>
              <w:t xml:space="preserve">en forma cíclica, rango extendido o</w:t>
            </w:r>
          </w:p>
          <w:p w:rsidR="00000000" w:rsidDel="00000000" w:rsidP="00000000" w:rsidRDefault="00000000" w:rsidRPr="00000000" w14:paraId="000001C5">
            <w:pPr>
              <w:widowControl w:val="0"/>
              <w:spacing w:line="240" w:lineRule="auto"/>
              <w:jc w:val="both"/>
              <w:rPr/>
            </w:pPr>
            <w:r w:rsidDel="00000000" w:rsidR="00000000" w:rsidRPr="00000000">
              <w:rPr>
                <w:rtl w:val="0"/>
              </w:rPr>
              <w:t xml:space="preserve">continuo</w:t>
            </w:r>
          </w:p>
          <w:p w:rsidR="00000000" w:rsidDel="00000000" w:rsidP="00000000" w:rsidRDefault="00000000" w:rsidRPr="00000000" w14:paraId="000001C6">
            <w:pPr>
              <w:widowControl w:val="0"/>
              <w:numPr>
                <w:ilvl w:val="0"/>
                <w:numId w:val="37"/>
              </w:numPr>
              <w:spacing w:line="240" w:lineRule="auto"/>
              <w:ind w:left="720" w:hanging="360"/>
              <w:jc w:val="both"/>
            </w:pPr>
            <w:r w:rsidDel="00000000" w:rsidR="00000000" w:rsidRPr="00000000">
              <w:rPr>
                <w:rFonts w:ascii="Arial Unicode MS" w:cs="Arial Unicode MS" w:eastAsia="Arial Unicode MS" w:hAnsi="Arial Unicode MS"/>
                <w:rtl w:val="0"/>
              </w:rPr>
              <w:t xml:space="preserve">Cíclico: 21 días en tratamiento y 7 días libre →  sangrado por deprivación, esquema clásico</w:t>
            </w:r>
          </w:p>
          <w:p w:rsidR="00000000" w:rsidDel="00000000" w:rsidP="00000000" w:rsidRDefault="00000000" w:rsidRPr="00000000" w14:paraId="000001C7">
            <w:pPr>
              <w:widowControl w:val="0"/>
              <w:numPr>
                <w:ilvl w:val="0"/>
                <w:numId w:val="37"/>
              </w:numPr>
              <w:spacing w:line="240" w:lineRule="auto"/>
              <w:ind w:left="720" w:hanging="360"/>
              <w:jc w:val="both"/>
            </w:pPr>
            <w:r w:rsidDel="00000000" w:rsidR="00000000" w:rsidRPr="00000000">
              <w:rPr>
                <w:rFonts w:ascii="Arial Unicode MS" w:cs="Arial Unicode MS" w:eastAsia="Arial Unicode MS" w:hAnsi="Arial Unicode MS"/>
                <w:rtl w:val="0"/>
              </w:rPr>
              <w:t xml:space="preserve">Extendido: Ingesta de píldoras por 3 meses aproximadamente, y descanso de 7 dias → RAM spotting </w:t>
            </w:r>
          </w:p>
          <w:p w:rsidR="00000000" w:rsidDel="00000000" w:rsidP="00000000" w:rsidRDefault="00000000" w:rsidRPr="00000000" w14:paraId="000001C8">
            <w:pPr>
              <w:widowControl w:val="0"/>
              <w:numPr>
                <w:ilvl w:val="0"/>
                <w:numId w:val="37"/>
              </w:numPr>
              <w:spacing w:line="240" w:lineRule="auto"/>
              <w:ind w:left="720" w:hanging="360"/>
              <w:jc w:val="both"/>
            </w:pPr>
            <w:r w:rsidDel="00000000" w:rsidR="00000000" w:rsidRPr="00000000">
              <w:rPr>
                <w:rtl w:val="0"/>
              </w:rPr>
              <w:t xml:space="preserve">Continuo: en sangrado activo abundante, no hay interrupción de manejo  </w:t>
            </w:r>
          </w:p>
          <w:p w:rsidR="00000000" w:rsidDel="00000000" w:rsidP="00000000" w:rsidRDefault="00000000" w:rsidRPr="00000000" w14:paraId="000001C9">
            <w:pPr>
              <w:widowControl w:val="0"/>
              <w:spacing w:line="240" w:lineRule="auto"/>
              <w:jc w:val="both"/>
              <w:rPr/>
            </w:pPr>
            <w:r w:rsidDel="00000000" w:rsidR="00000000" w:rsidRPr="00000000">
              <w:rPr>
                <w:rtl w:val="0"/>
              </w:rPr>
              <w:t xml:space="preserve">Parche transdérmico, anillo</w:t>
            </w:r>
          </w:p>
          <w:p w:rsidR="00000000" w:rsidDel="00000000" w:rsidP="00000000" w:rsidRDefault="00000000" w:rsidRPr="00000000" w14:paraId="000001CA">
            <w:pPr>
              <w:widowControl w:val="0"/>
              <w:spacing w:line="240" w:lineRule="auto"/>
              <w:jc w:val="both"/>
              <w:rPr/>
            </w:pPr>
            <w:r w:rsidDel="00000000" w:rsidR="00000000" w:rsidRPr="00000000">
              <w:rPr>
                <w:rtl w:val="0"/>
              </w:rPr>
              <w:t xml:space="preserve">Vaginal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both"/>
              <w:rPr/>
            </w:pPr>
            <w:r w:rsidDel="00000000" w:rsidR="00000000" w:rsidRPr="00000000">
              <w:rPr>
                <w:rtl w:val="0"/>
              </w:rPr>
              <w:t xml:space="preserve">Uso por 6 meses: hasta un </w:t>
            </w:r>
            <w:r w:rsidDel="00000000" w:rsidR="00000000" w:rsidRPr="00000000">
              <w:rPr>
                <w:b w:val="1"/>
                <w:rtl w:val="0"/>
              </w:rPr>
              <w:t xml:space="preserve">77%</w:t>
            </w:r>
            <w:r w:rsidDel="00000000" w:rsidR="00000000" w:rsidRPr="00000000">
              <w:rPr>
                <w:rtl w:val="0"/>
              </w:rPr>
              <w:t xml:space="preserve"> </w:t>
            </w:r>
          </w:p>
          <w:p w:rsidR="00000000" w:rsidDel="00000000" w:rsidP="00000000" w:rsidRDefault="00000000" w:rsidRPr="00000000" w14:paraId="000001CC">
            <w:pPr>
              <w:widowControl w:val="0"/>
              <w:spacing w:line="240" w:lineRule="auto"/>
              <w:jc w:val="both"/>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both"/>
              <w:rPr/>
            </w:pPr>
            <w:r w:rsidDel="00000000" w:rsidR="00000000" w:rsidRPr="00000000">
              <w:rPr>
                <w:rtl w:val="0"/>
              </w:rPr>
              <w:t xml:space="preserve">Progesterona oral</w:t>
            </w:r>
          </w:p>
          <w:p w:rsidR="00000000" w:rsidDel="00000000" w:rsidP="00000000" w:rsidRDefault="00000000" w:rsidRPr="00000000" w14:paraId="000001CE">
            <w:pPr>
              <w:widowControl w:val="0"/>
              <w:spacing w:line="240" w:lineRule="auto"/>
              <w:jc w:val="both"/>
              <w:rPr/>
            </w:pPr>
            <w:r w:rsidDel="00000000" w:rsidR="00000000" w:rsidRPr="00000000">
              <w:rPr>
                <w:rtl w:val="0"/>
              </w:rPr>
            </w:r>
          </w:p>
          <w:p w:rsidR="00000000" w:rsidDel="00000000" w:rsidP="00000000" w:rsidRDefault="00000000" w:rsidRPr="00000000" w14:paraId="000001CF">
            <w:pPr>
              <w:widowControl w:val="0"/>
              <w:spacing w:line="240" w:lineRule="auto"/>
              <w:jc w:val="both"/>
              <w:rPr/>
            </w:pPr>
            <w:r w:rsidDel="00000000" w:rsidR="00000000" w:rsidRPr="00000000">
              <w:rPr>
                <w:rtl w:val="0"/>
              </w:rPr>
              <w:t xml:space="preserve">Tercera línea*</w:t>
            </w:r>
          </w:p>
          <w:p w:rsidR="00000000" w:rsidDel="00000000" w:rsidP="00000000" w:rsidRDefault="00000000" w:rsidRPr="00000000" w14:paraId="000001D0">
            <w:pPr>
              <w:widowControl w:val="0"/>
              <w:spacing w:line="240" w:lineRule="auto"/>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both"/>
              <w:rPr/>
            </w:pPr>
            <w:r w:rsidDel="00000000" w:rsidR="00000000" w:rsidRPr="00000000">
              <w:rPr>
                <w:rtl w:val="0"/>
              </w:rPr>
              <w:t xml:space="preserve">Promueven la atrofia endometrial y tienen acción antiinflamatoria endometrial. Aunque pueden estar indicados para la mayoría de las mujeres, su uso es particularmente relevante para aquellas con contraindicación a los estrógenos o quienes no los toleran.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both"/>
              <w:rPr/>
            </w:pPr>
            <w:r w:rsidDel="00000000" w:rsidR="00000000" w:rsidRPr="00000000">
              <w:rPr>
                <w:rtl w:val="0"/>
              </w:rPr>
              <w:t xml:space="preserve">Noretisterona (NETA): 5 mg 1–3 veces/día; más potente en supresión endometrial.</w:t>
            </w:r>
          </w:p>
          <w:p w:rsidR="00000000" w:rsidDel="00000000" w:rsidP="00000000" w:rsidRDefault="00000000" w:rsidRPr="00000000" w14:paraId="000001D3">
            <w:pPr>
              <w:widowControl w:val="0"/>
              <w:spacing w:line="240" w:lineRule="auto"/>
              <w:jc w:val="both"/>
              <w:rPr/>
            </w:pPr>
            <w:r w:rsidDel="00000000" w:rsidR="00000000" w:rsidRPr="00000000">
              <w:rPr>
                <w:rtl w:val="0"/>
              </w:rPr>
            </w:r>
          </w:p>
          <w:p w:rsidR="00000000" w:rsidDel="00000000" w:rsidP="00000000" w:rsidRDefault="00000000" w:rsidRPr="00000000" w14:paraId="000001D4">
            <w:pPr>
              <w:widowControl w:val="0"/>
              <w:spacing w:line="240" w:lineRule="auto"/>
              <w:jc w:val="both"/>
              <w:rPr/>
            </w:pPr>
            <w:r w:rsidDel="00000000" w:rsidR="00000000" w:rsidRPr="00000000">
              <w:rPr>
                <w:rtl w:val="0"/>
              </w:rPr>
              <w:t xml:space="preserve">Medroxiprogesterona (AMP): 5-30 mg/día.</w:t>
            </w:r>
          </w:p>
          <w:p w:rsidR="00000000" w:rsidDel="00000000" w:rsidP="00000000" w:rsidRDefault="00000000" w:rsidRPr="00000000" w14:paraId="000001D5">
            <w:pPr>
              <w:widowControl w:val="0"/>
              <w:spacing w:line="240" w:lineRule="auto"/>
              <w:jc w:val="both"/>
              <w:rPr/>
            </w:pPr>
            <w:r w:rsidDel="00000000" w:rsidR="00000000" w:rsidRPr="00000000">
              <w:rPr>
                <w:rtl w:val="0"/>
              </w:rPr>
            </w:r>
          </w:p>
          <w:p w:rsidR="00000000" w:rsidDel="00000000" w:rsidP="00000000" w:rsidRDefault="00000000" w:rsidRPr="00000000" w14:paraId="000001D6">
            <w:pPr>
              <w:widowControl w:val="0"/>
              <w:spacing w:line="240" w:lineRule="auto"/>
              <w:jc w:val="both"/>
              <w:rPr/>
            </w:pPr>
            <w:r w:rsidDel="00000000" w:rsidR="00000000" w:rsidRPr="00000000">
              <w:rPr>
                <w:rtl w:val="0"/>
              </w:rPr>
              <w:t xml:space="preserve">Con disfunción ovulatoria durante 10 días al mes. (Fase lútea).</w:t>
            </w:r>
          </w:p>
          <w:p w:rsidR="00000000" w:rsidDel="00000000" w:rsidP="00000000" w:rsidRDefault="00000000" w:rsidRPr="00000000" w14:paraId="000001D7">
            <w:pPr>
              <w:widowControl w:val="0"/>
              <w:spacing w:line="240" w:lineRule="auto"/>
              <w:jc w:val="both"/>
              <w:rPr/>
            </w:pPr>
            <w:r w:rsidDel="00000000" w:rsidR="00000000" w:rsidRPr="00000000">
              <w:rPr>
                <w:rtl w:val="0"/>
              </w:rPr>
              <w:t xml:space="preserve">Sin disfunción ovulatoria: 1 comp/ día del día 5 al 26 del ciclo o uso continuo </w:t>
            </w:r>
          </w:p>
          <w:p w:rsidR="00000000" w:rsidDel="00000000" w:rsidP="00000000" w:rsidRDefault="00000000" w:rsidRPr="00000000" w14:paraId="000001D8">
            <w:pPr>
              <w:widowControl w:val="0"/>
              <w:spacing w:line="240" w:lineRule="auto"/>
              <w:jc w:val="both"/>
              <w:rPr/>
            </w:pPr>
            <w:r w:rsidDel="00000000" w:rsidR="00000000" w:rsidRPr="00000000">
              <w:rPr>
                <w:rtl w:val="0"/>
              </w:rPr>
            </w:r>
          </w:p>
          <w:p w:rsidR="00000000" w:rsidDel="00000000" w:rsidP="00000000" w:rsidRDefault="00000000" w:rsidRPr="00000000" w14:paraId="000001D9">
            <w:pPr>
              <w:widowControl w:val="0"/>
              <w:spacing w:line="240" w:lineRule="auto"/>
              <w:jc w:val="both"/>
              <w:rPr/>
            </w:pPr>
            <w:r w:rsidDel="00000000" w:rsidR="00000000" w:rsidRPr="00000000">
              <w:rPr>
                <w:rtl w:val="0"/>
              </w:rPr>
              <w:t xml:space="preserve">Desogestrel diario  150 mcg/día, progestágeno de 3ª generación.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both"/>
              <w:rPr>
                <w:b w:val="1"/>
              </w:rPr>
            </w:pPr>
            <w:r w:rsidDel="00000000" w:rsidR="00000000" w:rsidRPr="00000000">
              <w:rPr>
                <w:b w:val="1"/>
                <w:rtl w:val="0"/>
              </w:rPr>
              <w:t xml:space="preserve"> 87%</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pPr>
            <w:r w:rsidDel="00000000" w:rsidR="00000000" w:rsidRPr="00000000">
              <w:rPr>
                <w:rtl w:val="0"/>
              </w:rPr>
              <w:t xml:space="preserve">Análogo de GnRH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both"/>
              <w:rPr/>
            </w:pPr>
            <w:r w:rsidDel="00000000" w:rsidR="00000000" w:rsidRPr="00000000">
              <w:rPr>
                <w:rFonts w:ascii="Arial Unicode MS" w:cs="Arial Unicode MS" w:eastAsia="Arial Unicode MS" w:hAnsi="Arial Unicode MS"/>
                <w:rtl w:val="0"/>
              </w:rPr>
              <w:t xml:space="preserve">Desensibilización del receptor GnRH → hipogonadismo hipogonadotrófico. Atrofia endometrial en 3–4 semanas. .</w:t>
            </w:r>
          </w:p>
          <w:p w:rsidR="00000000" w:rsidDel="00000000" w:rsidP="00000000" w:rsidRDefault="00000000" w:rsidRPr="00000000" w14:paraId="000001DD">
            <w:pPr>
              <w:widowControl w:val="0"/>
              <w:spacing w:line="240" w:lineRule="auto"/>
              <w:jc w:val="both"/>
              <w:rPr/>
            </w:pPr>
            <w:r w:rsidDel="00000000" w:rsidR="00000000" w:rsidRPr="00000000">
              <w:rPr>
                <w:rtl w:val="0"/>
              </w:rPr>
            </w:r>
          </w:p>
          <w:p w:rsidR="00000000" w:rsidDel="00000000" w:rsidP="00000000" w:rsidRDefault="00000000" w:rsidRPr="00000000" w14:paraId="000001DE">
            <w:pPr>
              <w:widowControl w:val="0"/>
              <w:spacing w:line="240" w:lineRule="auto"/>
              <w:jc w:val="both"/>
              <w:rPr>
                <w:b w:val="1"/>
              </w:rPr>
            </w:pPr>
            <w:r w:rsidDel="00000000" w:rsidR="00000000" w:rsidRPr="00000000">
              <w:rPr>
                <w:b w:val="1"/>
                <w:rtl w:val="0"/>
              </w:rPr>
              <w:t xml:space="preserve">Indicaciones:</w:t>
            </w:r>
          </w:p>
          <w:p w:rsidR="00000000" w:rsidDel="00000000" w:rsidP="00000000" w:rsidRDefault="00000000" w:rsidRPr="00000000" w14:paraId="000001DF">
            <w:pPr>
              <w:widowControl w:val="0"/>
              <w:spacing w:line="240" w:lineRule="auto"/>
              <w:jc w:val="both"/>
              <w:rPr/>
            </w:pPr>
            <w:r w:rsidDel="00000000" w:rsidR="00000000" w:rsidRPr="00000000">
              <w:rPr>
                <w:rtl w:val="0"/>
              </w:rPr>
              <w:t xml:space="preserve">Preoperatorio en miomatosis: reduce volumen, sangrado y anemia.</w:t>
            </w:r>
          </w:p>
          <w:p w:rsidR="00000000" w:rsidDel="00000000" w:rsidP="00000000" w:rsidRDefault="00000000" w:rsidRPr="00000000" w14:paraId="000001E0">
            <w:pPr>
              <w:widowControl w:val="0"/>
              <w:spacing w:line="240" w:lineRule="auto"/>
              <w:jc w:val="both"/>
              <w:rPr/>
            </w:pPr>
            <w:r w:rsidDel="00000000" w:rsidR="00000000" w:rsidRPr="00000000">
              <w:rPr>
                <w:rtl w:val="0"/>
              </w:rPr>
              <w:t xml:space="preserve">Cuando otros tratamientos están contraindicados.</w:t>
            </w:r>
          </w:p>
          <w:p w:rsidR="00000000" w:rsidDel="00000000" w:rsidP="00000000" w:rsidRDefault="00000000" w:rsidRPr="00000000" w14:paraId="000001E1">
            <w:pPr>
              <w:widowControl w:val="0"/>
              <w:spacing w:line="240" w:lineRule="auto"/>
              <w:jc w:val="both"/>
              <w:rPr/>
            </w:pPr>
            <w:r w:rsidDel="00000000" w:rsidR="00000000" w:rsidRPr="00000000">
              <w:rPr>
                <w:b w:val="1"/>
                <w:rtl w:val="0"/>
              </w:rPr>
              <w:t xml:space="preserve">Efectos Secundarios:</w:t>
            </w:r>
            <w:r w:rsidDel="00000000" w:rsidR="00000000" w:rsidRPr="00000000">
              <w:rPr>
                <w:rtl w:val="0"/>
              </w:rPr>
              <w:t xml:space="preserve"> sofocos, atrofia vaginal, Pérdida de densidad ósea de hasta 6% en 12 meses (recuperable parcial).</w:t>
            </w:r>
          </w:p>
          <w:p w:rsidR="00000000" w:rsidDel="00000000" w:rsidP="00000000" w:rsidRDefault="00000000" w:rsidRPr="00000000" w14:paraId="000001E2">
            <w:pPr>
              <w:widowControl w:val="0"/>
              <w:spacing w:line="240" w:lineRule="auto"/>
              <w:jc w:val="both"/>
              <w:rPr/>
            </w:pPr>
            <w:r w:rsidDel="00000000" w:rsidR="00000000" w:rsidRPr="00000000">
              <w:rPr>
                <w:rtl w:val="0"/>
              </w:rPr>
              <w:t xml:space="preserve">Considerar antes de cirugía si miomas grandes o útero distorsionado.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pPr>
            <w:r w:rsidDel="00000000" w:rsidR="00000000" w:rsidRPr="00000000">
              <w:rPr>
                <w:rtl w:val="0"/>
              </w:rPr>
              <w:t xml:space="preserve">Acetato de leuprolide 3.75 mg mensual o 11.25mg trimestral IM</w:t>
            </w:r>
          </w:p>
          <w:p w:rsidR="00000000" w:rsidDel="00000000" w:rsidP="00000000" w:rsidRDefault="00000000" w:rsidRPr="00000000" w14:paraId="000001E4">
            <w:pPr>
              <w:widowControl w:val="0"/>
              <w:spacing w:line="240" w:lineRule="auto"/>
              <w:jc w:val="both"/>
              <w:rPr/>
            </w:pPr>
            <w:r w:rsidDel="00000000" w:rsidR="00000000" w:rsidRPr="00000000">
              <w:rPr>
                <w:rtl w:val="0"/>
              </w:rPr>
            </w:r>
          </w:p>
          <w:p w:rsidR="00000000" w:rsidDel="00000000" w:rsidP="00000000" w:rsidRDefault="00000000" w:rsidRPr="00000000" w14:paraId="000001E5">
            <w:pPr>
              <w:widowControl w:val="0"/>
              <w:spacing w:line="240" w:lineRule="auto"/>
              <w:jc w:val="both"/>
              <w:rPr/>
            </w:pPr>
            <w:r w:rsidDel="00000000" w:rsidR="00000000" w:rsidRPr="00000000">
              <w:rPr>
                <w:rtl w:val="0"/>
              </w:rPr>
              <w:t xml:space="preserve">Terapias combinadas:</w:t>
            </w:r>
          </w:p>
          <w:p w:rsidR="00000000" w:rsidDel="00000000" w:rsidP="00000000" w:rsidRDefault="00000000" w:rsidRPr="00000000" w14:paraId="000001E6">
            <w:pPr>
              <w:widowControl w:val="0"/>
              <w:spacing w:line="240" w:lineRule="auto"/>
              <w:jc w:val="both"/>
              <w:rPr/>
            </w:pPr>
            <w:r w:rsidDel="00000000" w:rsidR="00000000" w:rsidRPr="00000000">
              <w:rPr>
                <w:rtl w:val="0"/>
              </w:rPr>
              <w:t xml:space="preserve">Agonistas + estrógenos (solo si síntomas o para evitar pérdida ósea).</w:t>
            </w:r>
          </w:p>
          <w:p w:rsidR="00000000" w:rsidDel="00000000" w:rsidP="00000000" w:rsidRDefault="00000000" w:rsidRPr="00000000" w14:paraId="000001E7">
            <w:pPr>
              <w:widowControl w:val="0"/>
              <w:spacing w:line="240" w:lineRule="auto"/>
              <w:jc w:val="both"/>
              <w:rPr/>
            </w:pPr>
            <w:r w:rsidDel="00000000" w:rsidR="00000000" w:rsidRPr="00000000">
              <w:rPr>
                <w:rtl w:val="0"/>
              </w:rPr>
            </w:r>
          </w:p>
          <w:p w:rsidR="00000000" w:rsidDel="00000000" w:rsidP="00000000" w:rsidRDefault="00000000" w:rsidRPr="00000000" w14:paraId="000001E8">
            <w:pPr>
              <w:widowControl w:val="0"/>
              <w:spacing w:line="240" w:lineRule="auto"/>
              <w:jc w:val="both"/>
              <w:rPr/>
            </w:pPr>
            <w:r w:rsidDel="00000000" w:rsidR="00000000" w:rsidRPr="00000000">
              <w:rPr>
                <w:rtl w:val="0"/>
              </w:rPr>
              <w:t xml:space="preserve">Agonistas + ACOs: reducen sangrado, aumentan hematocrito con pocos efectos secundarios.</w:t>
            </w:r>
          </w:p>
          <w:p w:rsidR="00000000" w:rsidDel="00000000" w:rsidP="00000000" w:rsidRDefault="00000000" w:rsidRPr="00000000" w14:paraId="000001E9">
            <w:pPr>
              <w:widowControl w:val="0"/>
              <w:spacing w:line="240" w:lineRule="auto"/>
              <w:jc w:val="both"/>
              <w:rPr/>
            </w:pPr>
            <w:r w:rsidDel="00000000" w:rsidR="00000000" w:rsidRPr="00000000">
              <w:rPr>
                <w:rtl w:val="0"/>
              </w:rPr>
            </w:r>
          </w:p>
          <w:p w:rsidR="00000000" w:rsidDel="00000000" w:rsidP="00000000" w:rsidRDefault="00000000" w:rsidRPr="00000000" w14:paraId="000001EA">
            <w:pPr>
              <w:widowControl w:val="0"/>
              <w:spacing w:line="240" w:lineRule="auto"/>
              <w:jc w:val="both"/>
              <w:rPr/>
            </w:pPr>
            <w:r w:rsidDel="00000000" w:rsidR="00000000" w:rsidRPr="00000000">
              <w:rPr>
                <w:rtl w:val="0"/>
              </w:rPr>
            </w:r>
          </w:p>
          <w:p w:rsidR="00000000" w:rsidDel="00000000" w:rsidP="00000000" w:rsidRDefault="00000000" w:rsidRPr="00000000" w14:paraId="000001EB">
            <w:pPr>
              <w:widowControl w:val="0"/>
              <w:spacing w:line="240" w:lineRule="auto"/>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both"/>
              <w:rPr>
                <w:b w:val="1"/>
              </w:rPr>
            </w:pPr>
            <w:r w:rsidDel="00000000" w:rsidR="00000000" w:rsidRPr="00000000">
              <w:rPr>
                <w:b w:val="1"/>
                <w:rtl w:val="0"/>
              </w:rPr>
              <w:t xml:space="preserve">90%</w:t>
            </w:r>
          </w:p>
        </w:tc>
      </w:tr>
    </w:tbl>
    <w:p w:rsidR="00000000" w:rsidDel="00000000" w:rsidP="00000000" w:rsidRDefault="00000000" w:rsidRPr="00000000" w14:paraId="000001ED">
      <w:pPr>
        <w:spacing w:after="240" w:before="240" w:lineRule="auto"/>
        <w:jc w:val="both"/>
        <w:rPr>
          <w:i w:val="1"/>
          <w:sz w:val="24"/>
          <w:szCs w:val="24"/>
        </w:rPr>
      </w:pPr>
      <w:r w:rsidDel="00000000" w:rsidR="00000000" w:rsidRPr="00000000">
        <w:rPr>
          <w:i w:val="1"/>
          <w:sz w:val="24"/>
          <w:szCs w:val="24"/>
          <w:rtl w:val="0"/>
        </w:rPr>
        <w:t xml:space="preserve">Tabla 6. Tratamiento hormonal en la paciente con HUA crónica. Adaptado de Molina. R., Pérez. M. 2022. Consenso en ginecología: Sangrado uterino anormal. Federación Argentina de sociedades de ginecología y obstetricia</w:t>
      </w:r>
    </w:p>
    <w:p w:rsidR="00000000" w:rsidDel="00000000" w:rsidP="00000000" w:rsidRDefault="00000000" w:rsidRPr="00000000" w14:paraId="000001EE">
      <w:pPr>
        <w:spacing w:after="240" w:before="240" w:lineRule="auto"/>
        <w:jc w:val="both"/>
        <w:rPr>
          <w:i w:val="1"/>
          <w:sz w:val="24"/>
          <w:szCs w:val="24"/>
        </w:rPr>
      </w:pPr>
      <w:r w:rsidDel="00000000" w:rsidR="00000000" w:rsidRPr="00000000">
        <w:rPr>
          <w:sz w:val="24"/>
          <w:szCs w:val="24"/>
          <w:rtl w:val="0"/>
        </w:rPr>
        <w:t xml:space="preserve">Paciente estable con sangrado activo se beneficia de tratamiento médico con estrógenos orales, ACOS, progestágenos orales, ácido tranexámico y dependiendo de severidad de sangrado / nivel de hemoglobina definir la necesidad de transfusión o manejo farmacológico de anemia </w:t>
      </w:r>
      <w:r w:rsidDel="00000000" w:rsidR="00000000" w:rsidRPr="00000000">
        <w:rPr>
          <w:sz w:val="24"/>
          <w:szCs w:val="24"/>
          <w:vertAlign w:val="superscript"/>
          <w:rtl w:val="0"/>
        </w:rPr>
        <w:t xml:space="preserve">8,11</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EF">
      <w:pPr>
        <w:widowControl w:val="0"/>
        <w:spacing w:line="240" w:lineRule="auto"/>
        <w:jc w:val="both"/>
        <w:rPr>
          <w:sz w:val="24"/>
          <w:szCs w:val="24"/>
        </w:rPr>
      </w:pPr>
      <w:r w:rsidDel="00000000" w:rsidR="00000000" w:rsidRPr="00000000">
        <w:rPr>
          <w:sz w:val="24"/>
          <w:szCs w:val="24"/>
          <w:rtl w:val="0"/>
        </w:rPr>
        <w:t xml:space="preserve">Otras opciones de manejo farmacológico oral: </w:t>
      </w:r>
    </w:p>
    <w:p w:rsidR="00000000" w:rsidDel="00000000" w:rsidP="00000000" w:rsidRDefault="00000000" w:rsidRPr="00000000" w14:paraId="000001F0">
      <w:pPr>
        <w:widowControl w:val="0"/>
        <w:numPr>
          <w:ilvl w:val="0"/>
          <w:numId w:val="31"/>
        </w:numPr>
        <w:spacing w:line="240" w:lineRule="auto"/>
        <w:ind w:left="720" w:hanging="360"/>
        <w:jc w:val="both"/>
        <w:rPr>
          <w:sz w:val="24"/>
          <w:szCs w:val="24"/>
          <w:u w:val="none"/>
        </w:rPr>
      </w:pPr>
      <w:r w:rsidDel="00000000" w:rsidR="00000000" w:rsidRPr="00000000">
        <w:rPr>
          <w:sz w:val="24"/>
          <w:szCs w:val="24"/>
          <w:rtl w:val="0"/>
        </w:rPr>
        <w:t xml:space="preserve">Danazol: Andrógeno sintético con efectos biológicos androgénicos débiles. Inhibe la secreción de FSH y LH, por lo que inhibe el desarrollo folicular y produce atrofia endometrial, tiene efectividad de 80% pero por sus RAM no se recomienda  RAM: sofocos, mialgias, ganancia de peso y acné </w:t>
      </w:r>
      <w:r w:rsidDel="00000000" w:rsidR="00000000" w:rsidRPr="00000000">
        <w:rPr>
          <w:sz w:val="24"/>
          <w:szCs w:val="24"/>
          <w:vertAlign w:val="superscript"/>
          <w:rtl w:val="0"/>
        </w:rPr>
        <w:t xml:space="preserve">4</w:t>
      </w:r>
      <w:r w:rsidDel="00000000" w:rsidR="00000000" w:rsidRPr="00000000">
        <w:rPr>
          <w:rtl w:val="0"/>
        </w:rPr>
      </w:r>
    </w:p>
    <w:p w:rsidR="00000000" w:rsidDel="00000000" w:rsidP="00000000" w:rsidRDefault="00000000" w:rsidRPr="00000000" w14:paraId="000001F1">
      <w:pPr>
        <w:widowControl w:val="0"/>
        <w:numPr>
          <w:ilvl w:val="0"/>
          <w:numId w:val="31"/>
        </w:numPr>
        <w:spacing w:line="24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Acetato de medroxiprogesterona de deposito 150 mg cada 12 semanas IM - inyección trimestral → eficacia 48%, no es de elección  </w:t>
      </w:r>
      <w:r w:rsidDel="00000000" w:rsidR="00000000" w:rsidRPr="00000000">
        <w:rPr>
          <w:sz w:val="24"/>
          <w:szCs w:val="24"/>
          <w:vertAlign w:val="superscript"/>
          <w:rtl w:val="0"/>
        </w:rPr>
        <w:t xml:space="preserve">4</w:t>
      </w:r>
      <w:r w:rsidDel="00000000" w:rsidR="00000000" w:rsidRPr="00000000">
        <w:rPr>
          <w:rtl w:val="0"/>
        </w:rPr>
      </w:r>
    </w:p>
    <w:p w:rsidR="00000000" w:rsidDel="00000000" w:rsidP="00000000" w:rsidRDefault="00000000" w:rsidRPr="00000000" w14:paraId="000001F2">
      <w:pPr>
        <w:widowControl w:val="0"/>
        <w:numPr>
          <w:ilvl w:val="0"/>
          <w:numId w:val="31"/>
        </w:numPr>
        <w:spacing w:line="240" w:lineRule="auto"/>
        <w:ind w:left="720" w:hanging="360"/>
        <w:jc w:val="both"/>
        <w:rPr>
          <w:sz w:val="24"/>
          <w:szCs w:val="24"/>
          <w:u w:val="none"/>
        </w:rPr>
      </w:pPr>
      <w:r w:rsidDel="00000000" w:rsidR="00000000" w:rsidRPr="00000000">
        <w:rPr>
          <w:sz w:val="24"/>
          <w:szCs w:val="24"/>
          <w:rtl w:val="0"/>
        </w:rPr>
        <w:t xml:space="preserve">Implante subdérmico etonogestrel: no hay suficientes estudios  </w:t>
      </w:r>
      <w:r w:rsidDel="00000000" w:rsidR="00000000" w:rsidRPr="00000000">
        <w:rPr>
          <w:sz w:val="24"/>
          <w:szCs w:val="24"/>
          <w:vertAlign w:val="superscript"/>
          <w:rtl w:val="0"/>
        </w:rPr>
        <w:t xml:space="preserve">4</w:t>
      </w:r>
    </w:p>
    <w:p w:rsidR="00000000" w:rsidDel="00000000" w:rsidP="00000000" w:rsidRDefault="00000000" w:rsidRPr="00000000" w14:paraId="000001F3">
      <w:pPr>
        <w:widowControl w:val="0"/>
        <w:spacing w:line="240" w:lineRule="auto"/>
        <w:ind w:left="720" w:firstLine="0"/>
        <w:jc w:val="both"/>
        <w:rPr>
          <w:sz w:val="24"/>
          <w:szCs w:val="24"/>
          <w:vertAlign w:val="superscript"/>
        </w:rPr>
      </w:pPr>
      <w:r w:rsidDel="00000000" w:rsidR="00000000" w:rsidRPr="00000000">
        <w:rPr>
          <w:rtl w:val="0"/>
        </w:rPr>
      </w:r>
    </w:p>
    <w:p w:rsidR="00000000" w:rsidDel="00000000" w:rsidP="00000000" w:rsidRDefault="00000000" w:rsidRPr="00000000" w14:paraId="000001F4">
      <w:pPr>
        <w:pStyle w:val="Heading4"/>
        <w:jc w:val="both"/>
        <w:rPr>
          <w:rFonts w:ascii="Lilita One" w:cs="Lilita One" w:eastAsia="Lilita One" w:hAnsi="Lilita One"/>
          <w:color w:val="4a86e8"/>
        </w:rPr>
      </w:pPr>
      <w:bookmarkStart w:colFirst="0" w:colLast="0" w:name="_dh3laym1vpnb" w:id="41"/>
      <w:bookmarkEnd w:id="41"/>
      <w:r w:rsidDel="00000000" w:rsidR="00000000" w:rsidRPr="00000000">
        <w:rPr>
          <w:rFonts w:ascii="Lilita One" w:cs="Lilita One" w:eastAsia="Lilita One" w:hAnsi="Lilita One"/>
          <w:color w:val="4a86e8"/>
          <w:rtl w:val="0"/>
        </w:rPr>
        <w:t xml:space="preserve">Casos especiales </w:t>
      </w:r>
    </w:p>
    <w:p w:rsidR="00000000" w:rsidDel="00000000" w:rsidP="00000000" w:rsidRDefault="00000000" w:rsidRPr="00000000" w14:paraId="000001F5">
      <w:pPr>
        <w:widowControl w:val="0"/>
        <w:spacing w:line="240" w:lineRule="auto"/>
        <w:jc w:val="both"/>
        <w:rPr>
          <w:b w:val="1"/>
          <w:i w:val="1"/>
          <w:sz w:val="24"/>
          <w:szCs w:val="24"/>
        </w:rPr>
      </w:pPr>
      <w:r w:rsidDel="00000000" w:rsidR="00000000" w:rsidRPr="00000000">
        <w:rPr>
          <w:b w:val="1"/>
          <w:i w:val="1"/>
          <w:sz w:val="26"/>
          <w:szCs w:val="26"/>
          <w:rtl w:val="0"/>
        </w:rPr>
        <w:t xml:space="preserve">En caso de contraindicación a los estrógenos </w:t>
      </w:r>
      <w:r w:rsidDel="00000000" w:rsidR="00000000" w:rsidRPr="00000000">
        <w:rPr>
          <w:sz w:val="26"/>
          <w:szCs w:val="26"/>
          <w:vertAlign w:val="superscript"/>
          <w:rtl w:val="0"/>
        </w:rPr>
        <w:t xml:space="preserve">4</w:t>
      </w:r>
      <w:r w:rsidDel="00000000" w:rsidR="00000000" w:rsidRPr="00000000">
        <w:rPr>
          <w:sz w:val="24"/>
          <w:szCs w:val="24"/>
          <w:rtl w:val="0"/>
        </w:rPr>
        <w:t xml:space="preserve"> </w:t>
      </w:r>
      <w:r w:rsidDel="00000000" w:rsidR="00000000" w:rsidRPr="00000000">
        <w:rPr>
          <w:b w:val="1"/>
          <w:i w:val="1"/>
          <w:sz w:val="26"/>
          <w:szCs w:val="26"/>
          <w:rtl w:val="0"/>
        </w:rPr>
        <w:t xml:space="preserve">:</w:t>
      </w:r>
      <w:r w:rsidDel="00000000" w:rsidR="00000000" w:rsidRPr="00000000">
        <w:rPr>
          <w:b w:val="1"/>
          <w:i w:val="1"/>
          <w:sz w:val="24"/>
          <w:szCs w:val="24"/>
          <w:rtl w:val="0"/>
        </w:rPr>
        <w:t xml:space="preserve"> </w:t>
      </w:r>
    </w:p>
    <w:p w:rsidR="00000000" w:rsidDel="00000000" w:rsidP="00000000" w:rsidRDefault="00000000" w:rsidRPr="00000000" w14:paraId="000001F6">
      <w:pPr>
        <w:widowControl w:val="0"/>
        <w:spacing w:line="240" w:lineRule="auto"/>
        <w:jc w:val="both"/>
        <w:rPr>
          <w:b w:val="1"/>
          <w:i w:val="1"/>
          <w:sz w:val="24"/>
          <w:szCs w:val="24"/>
        </w:rPr>
      </w:pPr>
      <w:r w:rsidDel="00000000" w:rsidR="00000000" w:rsidRPr="00000000">
        <w:rPr>
          <w:rtl w:val="0"/>
        </w:rPr>
      </w:r>
    </w:p>
    <w:tbl>
      <w:tblPr>
        <w:tblStyle w:val="Table10"/>
        <w:tblW w:w="9360.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680"/>
        <w:gridCol w:w="4680"/>
        <w:tblGridChange w:id="0">
          <w:tblGrid>
            <w:gridCol w:w="4680"/>
            <w:gridCol w:w="4680"/>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MEDICAMENTO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DOSIFICACIÓN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Acetato de medroxiprogesterona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mg VO, 1-2 comprimidos cada 12 horas por 10 días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Acetato de Noretisterona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mg VO cada 24h por 10 días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Progesterona Micronizada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mg VO cada 24 horas por 10 días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Drospirenona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mg VO cada 24 h por 24 días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Análogos de GnRH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mg IV cada 24 h por 3 meses </w:t>
            </w:r>
          </w:p>
        </w:tc>
      </w:tr>
    </w:tbl>
    <w:p w:rsidR="00000000" w:rsidDel="00000000" w:rsidP="00000000" w:rsidRDefault="00000000" w:rsidRPr="00000000" w14:paraId="00000203">
      <w:pPr>
        <w:spacing w:after="240" w:before="240" w:lineRule="auto"/>
        <w:jc w:val="both"/>
        <w:rPr>
          <w:sz w:val="24"/>
          <w:szCs w:val="24"/>
        </w:rPr>
      </w:pPr>
      <w:r w:rsidDel="00000000" w:rsidR="00000000" w:rsidRPr="00000000">
        <w:rPr>
          <w:i w:val="1"/>
          <w:sz w:val="24"/>
          <w:szCs w:val="24"/>
          <w:rtl w:val="0"/>
        </w:rPr>
        <w:t xml:space="preserve">Tabla 7. Alternativas de tratamiento en pacientes con contraindicación a los estrógenos. Adaptado de Molina. R., Pérez. M. 2022. Consenso en ginecología: Sangrado uterino anormal. Federación Argentina de sociedades de ginecología y obstetricia</w:t>
      </w:r>
      <w:r w:rsidDel="00000000" w:rsidR="00000000" w:rsidRPr="00000000">
        <w:rPr>
          <w:rtl w:val="0"/>
        </w:rPr>
      </w:r>
    </w:p>
    <w:p w:rsidR="00000000" w:rsidDel="00000000" w:rsidP="00000000" w:rsidRDefault="00000000" w:rsidRPr="00000000" w14:paraId="00000204">
      <w:pPr>
        <w:widowControl w:val="0"/>
        <w:spacing w:line="240" w:lineRule="auto"/>
        <w:jc w:val="both"/>
        <w:rPr>
          <w:b w:val="1"/>
          <w:i w:val="1"/>
          <w:sz w:val="26"/>
          <w:szCs w:val="26"/>
        </w:rPr>
      </w:pPr>
      <w:r w:rsidDel="00000000" w:rsidR="00000000" w:rsidRPr="00000000">
        <w:rPr>
          <w:b w:val="1"/>
          <w:i w:val="1"/>
          <w:sz w:val="26"/>
          <w:szCs w:val="26"/>
          <w:rtl w:val="0"/>
        </w:rPr>
        <w:t xml:space="preserve">Abordaje en la perimenopausia:  </w:t>
      </w:r>
    </w:p>
    <w:p w:rsidR="00000000" w:rsidDel="00000000" w:rsidP="00000000" w:rsidRDefault="00000000" w:rsidRPr="00000000" w14:paraId="00000205">
      <w:pPr>
        <w:widowControl w:val="0"/>
        <w:spacing w:line="240" w:lineRule="auto"/>
        <w:jc w:val="both"/>
        <w:rPr/>
      </w:pPr>
      <w:r w:rsidDel="00000000" w:rsidR="00000000" w:rsidRPr="00000000">
        <w:rPr>
          <w:rtl w:val="0"/>
        </w:rPr>
      </w:r>
    </w:p>
    <w:p w:rsidR="00000000" w:rsidDel="00000000" w:rsidP="00000000" w:rsidRDefault="00000000" w:rsidRPr="00000000" w14:paraId="00000206">
      <w:pPr>
        <w:widowControl w:val="0"/>
        <w:spacing w:line="240" w:lineRule="auto"/>
        <w:jc w:val="both"/>
        <w:rPr>
          <w:sz w:val="24"/>
          <w:szCs w:val="24"/>
        </w:rPr>
      </w:pPr>
      <w:r w:rsidDel="00000000" w:rsidR="00000000" w:rsidRPr="00000000">
        <w:rPr>
          <w:sz w:val="24"/>
          <w:szCs w:val="24"/>
          <w:rtl w:val="0"/>
        </w:rPr>
        <w:t xml:space="preserve">Cerca del 50% de casos de HUA se presenta en mujeres &gt;45 años (climatéricas). Puede asociarse a hiperplasia endometrial, carcinoma endometrial postmenopáusico, para los cuales constituyen factores de riesgo la diabetes mellitus, hipertensión arterial estimulación estrogénica sin oposición de progesterona como ocurre en TRH, obesidad, anovulación y uso de tamoxifeno </w:t>
      </w:r>
      <w:r w:rsidDel="00000000" w:rsidR="00000000" w:rsidRPr="00000000">
        <w:rPr>
          <w:sz w:val="26"/>
          <w:szCs w:val="26"/>
          <w:vertAlign w:val="superscript"/>
          <w:rtl w:val="0"/>
        </w:rPr>
        <w:t xml:space="preserve">4. </w:t>
      </w:r>
      <w:r w:rsidDel="00000000" w:rsidR="00000000" w:rsidRPr="00000000">
        <w:rPr>
          <w:rtl w:val="0"/>
        </w:rPr>
      </w:r>
    </w:p>
    <w:p w:rsidR="00000000" w:rsidDel="00000000" w:rsidP="00000000" w:rsidRDefault="00000000" w:rsidRPr="00000000" w14:paraId="00000207">
      <w:pPr>
        <w:widowControl w:val="0"/>
        <w:spacing w:line="240" w:lineRule="auto"/>
        <w:jc w:val="both"/>
        <w:rPr>
          <w:sz w:val="24"/>
          <w:szCs w:val="24"/>
        </w:rPr>
      </w:pPr>
      <w:r w:rsidDel="00000000" w:rsidR="00000000" w:rsidRPr="00000000">
        <w:rPr>
          <w:sz w:val="24"/>
          <w:szCs w:val="24"/>
          <w:rtl w:val="0"/>
        </w:rPr>
        <w:t xml:space="preserve">El abordaje diagnóstico se realiza de forma similar a lo ya descrito, el tratamiento médico se centra en controlar el sangrado, prevenir progresión de carcinoma sí existe y corregir el estímulo estrógeno desbalanceado. El manejo recomendado es el siguiente y se detalla en las tablas </w:t>
      </w:r>
      <w:r w:rsidDel="00000000" w:rsidR="00000000" w:rsidRPr="00000000">
        <w:rPr>
          <w:sz w:val="26"/>
          <w:szCs w:val="26"/>
          <w:vertAlign w:val="superscript"/>
          <w:rtl w:val="0"/>
        </w:rPr>
        <w:t xml:space="preserve">4</w:t>
      </w:r>
      <w:r w:rsidDel="00000000" w:rsidR="00000000" w:rsidRPr="00000000">
        <w:rPr>
          <w:sz w:val="24"/>
          <w:szCs w:val="24"/>
          <w:rtl w:val="0"/>
        </w:rPr>
        <w:t xml:space="preserve">: </w:t>
      </w:r>
    </w:p>
    <w:p w:rsidR="00000000" w:rsidDel="00000000" w:rsidP="00000000" w:rsidRDefault="00000000" w:rsidRPr="00000000" w14:paraId="00000208">
      <w:pPr>
        <w:widowControl w:val="0"/>
        <w:numPr>
          <w:ilvl w:val="0"/>
          <w:numId w:val="28"/>
        </w:numPr>
        <w:spacing w:line="240" w:lineRule="auto"/>
        <w:ind w:left="720" w:hanging="360"/>
        <w:jc w:val="both"/>
        <w:rPr>
          <w:sz w:val="24"/>
          <w:szCs w:val="24"/>
        </w:rPr>
      </w:pPr>
      <w:r w:rsidDel="00000000" w:rsidR="00000000" w:rsidRPr="00000000">
        <w:rPr>
          <w:sz w:val="24"/>
          <w:szCs w:val="24"/>
          <w:rtl w:val="0"/>
        </w:rPr>
        <w:t xml:space="preserve">Primera línea: DIU LNG, seguro en riesgo trombótico o pacientes con baja adherencia </w:t>
      </w:r>
    </w:p>
    <w:p w:rsidR="00000000" w:rsidDel="00000000" w:rsidP="00000000" w:rsidRDefault="00000000" w:rsidRPr="00000000" w14:paraId="00000209">
      <w:pPr>
        <w:widowControl w:val="0"/>
        <w:numPr>
          <w:ilvl w:val="0"/>
          <w:numId w:val="28"/>
        </w:numPr>
        <w:spacing w:line="240" w:lineRule="auto"/>
        <w:ind w:left="720" w:hanging="360"/>
        <w:jc w:val="both"/>
        <w:rPr>
          <w:sz w:val="24"/>
          <w:szCs w:val="24"/>
        </w:rPr>
      </w:pPr>
      <w:r w:rsidDel="00000000" w:rsidR="00000000" w:rsidRPr="00000000">
        <w:rPr>
          <w:sz w:val="24"/>
          <w:szCs w:val="24"/>
          <w:rtl w:val="0"/>
        </w:rPr>
        <w:t xml:space="preserve">Segunda línea: ACOS</w:t>
      </w:r>
    </w:p>
    <w:p w:rsidR="00000000" w:rsidDel="00000000" w:rsidP="00000000" w:rsidRDefault="00000000" w:rsidRPr="00000000" w14:paraId="0000020A">
      <w:pPr>
        <w:widowControl w:val="0"/>
        <w:numPr>
          <w:ilvl w:val="0"/>
          <w:numId w:val="28"/>
        </w:numPr>
        <w:spacing w:line="240" w:lineRule="auto"/>
        <w:ind w:left="720" w:hanging="360"/>
        <w:jc w:val="both"/>
        <w:rPr>
          <w:sz w:val="24"/>
          <w:szCs w:val="24"/>
        </w:rPr>
      </w:pPr>
      <w:r w:rsidDel="00000000" w:rsidR="00000000" w:rsidRPr="00000000">
        <w:rPr>
          <w:sz w:val="24"/>
          <w:szCs w:val="24"/>
          <w:rtl w:val="0"/>
        </w:rPr>
        <w:t xml:space="preserve">Si hay contraindicación para ACO, solo gestagenos. </w:t>
      </w:r>
    </w:p>
    <w:p w:rsidR="00000000" w:rsidDel="00000000" w:rsidP="00000000" w:rsidRDefault="00000000" w:rsidRPr="00000000" w14:paraId="0000020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0C">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0D">
      <w:pPr>
        <w:widowControl w:val="0"/>
        <w:spacing w:line="240" w:lineRule="auto"/>
        <w:ind w:left="0" w:firstLine="0"/>
        <w:jc w:val="both"/>
        <w:rPr>
          <w:sz w:val="24"/>
          <w:szCs w:val="24"/>
          <w:u w:val="single"/>
        </w:rPr>
      </w:pPr>
      <w:r w:rsidDel="00000000" w:rsidR="00000000" w:rsidRPr="00000000">
        <w:rPr>
          <w:rtl w:val="0"/>
        </w:rPr>
      </w:r>
    </w:p>
    <w:p w:rsidR="00000000" w:rsidDel="00000000" w:rsidP="00000000" w:rsidRDefault="00000000" w:rsidRPr="00000000" w14:paraId="0000020E">
      <w:pPr>
        <w:widowControl w:val="0"/>
        <w:spacing w:line="240" w:lineRule="auto"/>
        <w:ind w:left="0" w:firstLine="0"/>
        <w:jc w:val="both"/>
        <w:rPr>
          <w:sz w:val="26"/>
          <w:szCs w:val="26"/>
          <w:u w:val="single"/>
          <w:vertAlign w:val="superscript"/>
        </w:rPr>
      </w:pPr>
      <w:r w:rsidDel="00000000" w:rsidR="00000000" w:rsidRPr="00000000">
        <w:rPr>
          <w:sz w:val="24"/>
          <w:szCs w:val="24"/>
          <w:u w:val="single"/>
          <w:rtl w:val="0"/>
        </w:rPr>
        <w:t xml:space="preserve">Tipos de anticonceptivos combinados que pueden utilizarse para el tratamiento de HUA</w:t>
      </w:r>
      <w:r w:rsidDel="00000000" w:rsidR="00000000" w:rsidRPr="00000000">
        <w:rPr>
          <w:sz w:val="26"/>
          <w:szCs w:val="26"/>
          <w:u w:val="single"/>
          <w:vertAlign w:val="superscript"/>
          <w:rtl w:val="0"/>
        </w:rPr>
        <w:t xml:space="preserve">4</w:t>
      </w:r>
    </w:p>
    <w:p w:rsidR="00000000" w:rsidDel="00000000" w:rsidP="00000000" w:rsidRDefault="00000000" w:rsidRPr="00000000" w14:paraId="0000020F">
      <w:pPr>
        <w:widowControl w:val="0"/>
        <w:spacing w:line="240" w:lineRule="auto"/>
        <w:ind w:left="0" w:firstLine="0"/>
        <w:jc w:val="both"/>
        <w:rPr>
          <w:sz w:val="26"/>
          <w:szCs w:val="26"/>
          <w:u w:val="single"/>
          <w:vertAlign w:val="superscript"/>
        </w:rPr>
      </w:pPr>
      <w:r w:rsidDel="00000000" w:rsidR="00000000" w:rsidRPr="00000000">
        <w:rPr>
          <w:rtl w:val="0"/>
        </w:rPr>
      </w:r>
    </w:p>
    <w:tbl>
      <w:tblPr>
        <w:tblStyle w:val="Table11"/>
        <w:tblW w:w="11760.0" w:type="dxa"/>
        <w:jc w:val="left"/>
        <w:tblInd w:w="-1125.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3105"/>
        <w:gridCol w:w="4260"/>
        <w:gridCol w:w="4395"/>
        <w:tblGridChange w:id="0">
          <w:tblGrid>
            <w:gridCol w:w="3105"/>
            <w:gridCol w:w="4260"/>
            <w:gridCol w:w="439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TIPO</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DOSIS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CARACTERÍSTICAS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Drospirenona + Etinilestradiol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mg/0,03 mg vía oral</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drospirenona tiene acción antiandrogénica; útil para pacientes con síntomas cutáneos o retención de líquidos.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Etinilestradiol + Gestodeno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0,020/0,075 mg vía oral</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0,015/0,06 mg vía oral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Disminuyen los niveles de FSH. El gestodeno se absorbe rápido y su biodisponibilidad es del 99%.</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Norelgestromina + Etinilestradiol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mg/600 mcg parche transdérmico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Anticoncepción efectiva.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1E">
      <w:pPr>
        <w:spacing w:after="240" w:before="240" w:lineRule="auto"/>
        <w:jc w:val="both"/>
        <w:rPr/>
      </w:pPr>
      <w:r w:rsidDel="00000000" w:rsidR="00000000" w:rsidRPr="00000000">
        <w:rPr>
          <w:i w:val="1"/>
          <w:sz w:val="24"/>
          <w:szCs w:val="24"/>
          <w:rtl w:val="0"/>
        </w:rPr>
        <w:t xml:space="preserve">Tabla 8. Anticonceptivos combinados para pacientes en perimenopausia. Adaptado de Molina. R., Pérez. M. 2022. Consenso en ginecología: Sangrado uterino anormal. Federación Argentina de sociedades de ginecología y obstetricia</w:t>
      </w:r>
      <w:r w:rsidDel="00000000" w:rsidR="00000000" w:rsidRPr="00000000">
        <w:rPr>
          <w:rtl w:val="0"/>
        </w:rPr>
      </w:r>
    </w:p>
    <w:p w:rsidR="00000000" w:rsidDel="00000000" w:rsidP="00000000" w:rsidRDefault="00000000" w:rsidRPr="00000000" w14:paraId="0000021F">
      <w:pPr>
        <w:widowControl w:val="0"/>
        <w:spacing w:line="240" w:lineRule="auto"/>
        <w:jc w:val="both"/>
        <w:rPr>
          <w:sz w:val="26"/>
          <w:szCs w:val="26"/>
          <w:u w:val="single"/>
          <w:vertAlign w:val="superscript"/>
        </w:rPr>
      </w:pPr>
      <w:r w:rsidDel="00000000" w:rsidR="00000000" w:rsidRPr="00000000">
        <w:rPr>
          <w:sz w:val="24"/>
          <w:szCs w:val="24"/>
          <w:u w:val="single"/>
          <w:rtl w:val="0"/>
        </w:rPr>
        <w:t xml:space="preserve">Tipos de gestágenos para el tratamiento de HUA  </w:t>
      </w:r>
      <w:r w:rsidDel="00000000" w:rsidR="00000000" w:rsidRPr="00000000">
        <w:rPr>
          <w:sz w:val="26"/>
          <w:szCs w:val="26"/>
          <w:u w:val="single"/>
          <w:vertAlign w:val="superscript"/>
          <w:rtl w:val="0"/>
        </w:rPr>
        <w:t xml:space="preserve">4</w:t>
      </w:r>
    </w:p>
    <w:p w:rsidR="00000000" w:rsidDel="00000000" w:rsidP="00000000" w:rsidRDefault="00000000" w:rsidRPr="00000000" w14:paraId="00000220">
      <w:pPr>
        <w:widowControl w:val="0"/>
        <w:spacing w:line="240" w:lineRule="auto"/>
        <w:jc w:val="both"/>
        <w:rPr>
          <w:sz w:val="26"/>
          <w:szCs w:val="26"/>
        </w:rPr>
      </w:pPr>
      <w:r w:rsidDel="00000000" w:rsidR="00000000" w:rsidRPr="00000000">
        <w:rPr>
          <w:rtl w:val="0"/>
        </w:rPr>
      </w:r>
    </w:p>
    <w:tbl>
      <w:tblPr>
        <w:tblStyle w:val="Table12"/>
        <w:tblW w:w="11760.0" w:type="dxa"/>
        <w:jc w:val="left"/>
        <w:tblInd w:w="-1125.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3105"/>
        <w:gridCol w:w="4260"/>
        <w:gridCol w:w="4395"/>
        <w:tblGridChange w:id="0">
          <w:tblGrid>
            <w:gridCol w:w="3105"/>
            <w:gridCol w:w="4260"/>
            <w:gridCol w:w="439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b w:val="1"/>
              </w:rPr>
            </w:pPr>
            <w:r w:rsidDel="00000000" w:rsidR="00000000" w:rsidRPr="00000000">
              <w:rPr>
                <w:b w:val="1"/>
                <w:rtl w:val="0"/>
              </w:rPr>
              <w:t xml:space="preserve">TIPO</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b w:val="1"/>
              </w:rPr>
            </w:pPr>
            <w:r w:rsidDel="00000000" w:rsidR="00000000" w:rsidRPr="00000000">
              <w:rPr>
                <w:b w:val="1"/>
                <w:rtl w:val="0"/>
              </w:rPr>
              <w:t xml:space="preserve">DOSIS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b w:val="1"/>
              </w:rPr>
            </w:pPr>
            <w:r w:rsidDel="00000000" w:rsidR="00000000" w:rsidRPr="00000000">
              <w:rPr>
                <w:b w:val="1"/>
                <w:rtl w:val="0"/>
              </w:rPr>
              <w:t xml:space="preserve">CARACTERÍSTICAS </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DIU-Levonorgestrel (LNG)</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52 mg/dispositivo, con liberación de 20 µg/día</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1° línea de tratamiento; duración de 7 años; uso en mujeres con contraindicaciones relativas a gestágenos orales o que no desean/pueden efectuar tratamientos diarios.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Acetato de megestrol</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20–160 mg/día vía oral</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Alternativa eficaz en casos en que no se pueden usar ACO.</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Acetato de medroxiprogesterona</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10 mg/día vía oral o intramuscular (depot c/3 meses)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Agente clásico con acción endometrial probada.</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Acetato de noretisterona</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15 mg/día vía oral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Útil combinado con anticonceptivos.</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Progesterona natural o micronizada</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200–300 mg/día, vía oral o vaginal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Acción poco potente. Se recomienda su uso en mujeres de bajo riesgo.</w:t>
            </w:r>
          </w:p>
        </w:tc>
      </w:tr>
    </w:tbl>
    <w:p w:rsidR="00000000" w:rsidDel="00000000" w:rsidP="00000000" w:rsidRDefault="00000000" w:rsidRPr="00000000" w14:paraId="00000233">
      <w:pPr>
        <w:spacing w:after="240" w:before="240" w:lineRule="auto"/>
        <w:jc w:val="both"/>
        <w:rPr/>
      </w:pPr>
      <w:r w:rsidDel="00000000" w:rsidR="00000000" w:rsidRPr="00000000">
        <w:rPr>
          <w:i w:val="1"/>
          <w:sz w:val="24"/>
          <w:szCs w:val="24"/>
          <w:rtl w:val="0"/>
        </w:rPr>
        <w:t xml:space="preserve">Tabla 9. Gestágenos para pacientes en perimenopausia. Adaptado de Molina. R., Pérez. M. 2022. Consenso en ginecología: Sangrado uterino anormal. Federación Argentina de sociedades de ginecología y obstetricia</w:t>
      </w:r>
      <w:r w:rsidDel="00000000" w:rsidR="00000000" w:rsidRPr="00000000">
        <w:rPr>
          <w:rtl w:val="0"/>
        </w:rPr>
      </w:r>
    </w:p>
    <w:p w:rsidR="00000000" w:rsidDel="00000000" w:rsidP="00000000" w:rsidRDefault="00000000" w:rsidRPr="00000000" w14:paraId="00000234">
      <w:pPr>
        <w:widowControl w:val="0"/>
        <w:spacing w:line="240" w:lineRule="auto"/>
        <w:jc w:val="both"/>
        <w:rPr>
          <w:sz w:val="24"/>
          <w:szCs w:val="24"/>
        </w:rPr>
      </w:pPr>
      <w:r w:rsidDel="00000000" w:rsidR="00000000" w:rsidRPr="00000000">
        <w:rPr>
          <w:sz w:val="24"/>
          <w:szCs w:val="24"/>
          <w:rtl w:val="0"/>
        </w:rPr>
        <w:t xml:space="preserve">Las opciones quirúrgicas se centran en ablación endometrial para pacientes con contraindicación a manejo farmacológico o cirugía definitiva e histerectomía en casos persistentes o con alto riesgo de anemia severa </w:t>
      </w:r>
      <w:r w:rsidDel="00000000" w:rsidR="00000000" w:rsidRPr="00000000">
        <w:rPr>
          <w:sz w:val="26"/>
          <w:szCs w:val="26"/>
          <w:vertAlign w:val="superscript"/>
          <w:rtl w:val="0"/>
        </w:rPr>
        <w:t xml:space="preserve">4</w:t>
      </w:r>
      <w:r w:rsidDel="00000000" w:rsidR="00000000" w:rsidRPr="00000000">
        <w:rPr>
          <w:sz w:val="24"/>
          <w:szCs w:val="24"/>
          <w:rtl w:val="0"/>
        </w:rPr>
        <w:t xml:space="preserve">. </w:t>
      </w:r>
    </w:p>
    <w:p w:rsidR="00000000" w:rsidDel="00000000" w:rsidP="00000000" w:rsidRDefault="00000000" w:rsidRPr="00000000" w14:paraId="00000235">
      <w:pPr>
        <w:widowControl w:val="0"/>
        <w:spacing w:line="240" w:lineRule="auto"/>
        <w:jc w:val="both"/>
        <w:rPr>
          <w:sz w:val="26"/>
          <w:szCs w:val="26"/>
          <w:vertAlign w:val="superscript"/>
        </w:rPr>
      </w:pPr>
      <w:r w:rsidDel="00000000" w:rsidR="00000000" w:rsidRPr="00000000">
        <w:rPr>
          <w:sz w:val="24"/>
          <w:szCs w:val="24"/>
          <w:rtl w:val="0"/>
        </w:rPr>
        <w:t xml:space="preserve">El seguimiento se realiza cada 3-6 meses con biopsia si lo requiere, o al menos, con control ecográfico </w:t>
      </w:r>
      <w:r w:rsidDel="00000000" w:rsidR="00000000" w:rsidRPr="00000000">
        <w:rPr>
          <w:sz w:val="26"/>
          <w:szCs w:val="26"/>
          <w:vertAlign w:val="superscript"/>
          <w:rtl w:val="0"/>
        </w:rPr>
        <w:t xml:space="preserve">4</w:t>
      </w:r>
    </w:p>
    <w:p w:rsidR="00000000" w:rsidDel="00000000" w:rsidP="00000000" w:rsidRDefault="00000000" w:rsidRPr="00000000" w14:paraId="00000236">
      <w:pPr>
        <w:widowControl w:val="0"/>
        <w:spacing w:line="240" w:lineRule="auto"/>
        <w:jc w:val="both"/>
        <w:rPr>
          <w:sz w:val="26"/>
          <w:szCs w:val="26"/>
          <w:vertAlign w:val="superscript"/>
        </w:rPr>
      </w:pPr>
      <w:r w:rsidDel="00000000" w:rsidR="00000000" w:rsidRPr="00000000">
        <w:rPr>
          <w:rtl w:val="0"/>
        </w:rPr>
      </w:r>
    </w:p>
    <w:p w:rsidR="00000000" w:rsidDel="00000000" w:rsidP="00000000" w:rsidRDefault="00000000" w:rsidRPr="00000000" w14:paraId="00000237">
      <w:pPr>
        <w:widowControl w:val="0"/>
        <w:spacing w:line="240" w:lineRule="auto"/>
        <w:jc w:val="both"/>
        <w:rPr>
          <w:sz w:val="26"/>
          <w:szCs w:val="26"/>
          <w:vertAlign w:val="superscript"/>
        </w:rPr>
      </w:pPr>
      <w:r w:rsidDel="00000000" w:rsidR="00000000" w:rsidRPr="00000000">
        <w:rPr>
          <w:rtl w:val="0"/>
        </w:rPr>
      </w:r>
    </w:p>
    <w:p w:rsidR="00000000" w:rsidDel="00000000" w:rsidP="00000000" w:rsidRDefault="00000000" w:rsidRPr="00000000" w14:paraId="00000238">
      <w:pPr>
        <w:widowControl w:val="0"/>
        <w:spacing w:line="240" w:lineRule="auto"/>
        <w:jc w:val="both"/>
        <w:rPr>
          <w:sz w:val="26"/>
          <w:szCs w:val="26"/>
          <w:vertAlign w:val="superscript"/>
        </w:rPr>
      </w:pPr>
      <w:r w:rsidDel="00000000" w:rsidR="00000000" w:rsidRPr="00000000">
        <w:rPr>
          <w:rtl w:val="0"/>
        </w:rPr>
      </w:r>
    </w:p>
    <w:p w:rsidR="00000000" w:rsidDel="00000000" w:rsidP="00000000" w:rsidRDefault="00000000" w:rsidRPr="00000000" w14:paraId="00000239">
      <w:pPr>
        <w:pStyle w:val="Heading4"/>
        <w:jc w:val="both"/>
        <w:rPr>
          <w:rFonts w:ascii="Lilita One" w:cs="Lilita One" w:eastAsia="Lilita One" w:hAnsi="Lilita One"/>
          <w:color w:val="4a86e8"/>
        </w:rPr>
      </w:pPr>
      <w:bookmarkStart w:colFirst="0" w:colLast="0" w:name="_encyce9y144h" w:id="42"/>
      <w:bookmarkEnd w:id="42"/>
      <w:r w:rsidDel="00000000" w:rsidR="00000000" w:rsidRPr="00000000">
        <w:rPr>
          <w:rFonts w:ascii="Lilita One" w:cs="Lilita One" w:eastAsia="Lilita One" w:hAnsi="Lilita One"/>
          <w:color w:val="4a86e8"/>
          <w:rtl w:val="0"/>
        </w:rPr>
        <w:t xml:space="preserve">Otras consideraciones de manejo de acuerdo a etiología </w:t>
      </w:r>
    </w:p>
    <w:p w:rsidR="00000000" w:rsidDel="00000000" w:rsidP="00000000" w:rsidRDefault="00000000" w:rsidRPr="00000000" w14:paraId="0000023A">
      <w:pPr>
        <w:widowControl w:val="0"/>
        <w:spacing w:line="240" w:lineRule="auto"/>
        <w:jc w:val="both"/>
        <w:rPr/>
      </w:pPr>
      <w:r w:rsidDel="00000000" w:rsidR="00000000" w:rsidRPr="00000000">
        <w:rPr>
          <w:rtl w:val="0"/>
        </w:rPr>
      </w:r>
    </w:p>
    <w:tbl>
      <w:tblPr>
        <w:tblStyle w:val="Table13"/>
        <w:tblW w:w="1165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110"/>
        <w:tblGridChange w:id="0">
          <w:tblGrid>
            <w:gridCol w:w="1545"/>
            <w:gridCol w:w="10110"/>
          </w:tblGrid>
        </w:tblGridChange>
      </w:tblGrid>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Pólipos </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both"/>
              <w:rPr/>
            </w:pPr>
            <w:r w:rsidDel="00000000" w:rsidR="00000000" w:rsidRPr="00000000">
              <w:rPr>
                <w:rtl w:val="0"/>
              </w:rPr>
              <w:t xml:space="preserve">La polipectomía histeroscópica es el tratamiento de elección y está indicada en las siguientes situaciones:</w:t>
            </w:r>
          </w:p>
          <w:p w:rsidR="00000000" w:rsidDel="00000000" w:rsidP="00000000" w:rsidRDefault="00000000" w:rsidRPr="00000000" w14:paraId="0000023D">
            <w:pPr>
              <w:numPr>
                <w:ilvl w:val="0"/>
                <w:numId w:val="3"/>
              </w:numPr>
              <w:spacing w:after="0" w:afterAutospacing="0" w:before="240" w:lineRule="auto"/>
              <w:ind w:left="720" w:hanging="360"/>
              <w:jc w:val="both"/>
            </w:pPr>
            <w:r w:rsidDel="00000000" w:rsidR="00000000" w:rsidRPr="00000000">
              <w:rPr>
                <w:rtl w:val="0"/>
              </w:rPr>
              <w:t xml:space="preserve">HUA sintomática.</w:t>
            </w:r>
          </w:p>
          <w:p w:rsidR="00000000" w:rsidDel="00000000" w:rsidP="00000000" w:rsidRDefault="00000000" w:rsidRPr="00000000" w14:paraId="0000023E">
            <w:pPr>
              <w:numPr>
                <w:ilvl w:val="0"/>
                <w:numId w:val="3"/>
              </w:numPr>
              <w:spacing w:after="0" w:afterAutospacing="0" w:before="0" w:beforeAutospacing="0" w:lineRule="auto"/>
              <w:ind w:left="720" w:hanging="360"/>
              <w:jc w:val="both"/>
            </w:pPr>
            <w:r w:rsidDel="00000000" w:rsidR="00000000" w:rsidRPr="00000000">
              <w:rPr>
                <w:rtl w:val="0"/>
              </w:rPr>
              <w:t xml:space="preserve">Infertilidad (de baja o alta complejidad).</w:t>
            </w:r>
          </w:p>
          <w:p w:rsidR="00000000" w:rsidDel="00000000" w:rsidP="00000000" w:rsidRDefault="00000000" w:rsidRPr="00000000" w14:paraId="0000023F">
            <w:pPr>
              <w:numPr>
                <w:ilvl w:val="0"/>
                <w:numId w:val="3"/>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Pólipos ≥ 1.5 cm.</w:t>
            </w:r>
          </w:p>
          <w:p w:rsidR="00000000" w:rsidDel="00000000" w:rsidP="00000000" w:rsidRDefault="00000000" w:rsidRPr="00000000" w14:paraId="00000240">
            <w:pPr>
              <w:numPr>
                <w:ilvl w:val="0"/>
                <w:numId w:val="3"/>
              </w:numPr>
              <w:spacing w:after="0" w:afterAutospacing="0" w:before="0" w:beforeAutospacing="0" w:lineRule="auto"/>
              <w:ind w:left="720" w:hanging="360"/>
              <w:jc w:val="both"/>
            </w:pPr>
            <w:r w:rsidDel="00000000" w:rsidR="00000000" w:rsidRPr="00000000">
              <w:rPr>
                <w:rtl w:val="0"/>
              </w:rPr>
              <w:t xml:space="preserve">Pólipos múltiples.</w:t>
            </w:r>
          </w:p>
          <w:p w:rsidR="00000000" w:rsidDel="00000000" w:rsidP="00000000" w:rsidRDefault="00000000" w:rsidRPr="00000000" w14:paraId="00000241">
            <w:pPr>
              <w:numPr>
                <w:ilvl w:val="0"/>
                <w:numId w:val="3"/>
              </w:numPr>
              <w:spacing w:after="0" w:afterAutospacing="0" w:before="0" w:beforeAutospacing="0" w:lineRule="auto"/>
              <w:ind w:left="720" w:hanging="360"/>
              <w:jc w:val="both"/>
            </w:pPr>
            <w:r w:rsidDel="00000000" w:rsidR="00000000" w:rsidRPr="00000000">
              <w:rPr>
                <w:rtl w:val="0"/>
              </w:rPr>
              <w:t xml:space="preserve">Factores de riesgo para cáncer endometrial.</w:t>
            </w:r>
          </w:p>
          <w:p w:rsidR="00000000" w:rsidDel="00000000" w:rsidP="00000000" w:rsidRDefault="00000000" w:rsidRPr="00000000" w14:paraId="00000242">
            <w:pPr>
              <w:numPr>
                <w:ilvl w:val="0"/>
                <w:numId w:val="3"/>
              </w:numPr>
              <w:spacing w:after="0" w:afterAutospacing="0" w:before="0" w:beforeAutospacing="0" w:lineRule="auto"/>
              <w:ind w:left="720" w:hanging="360"/>
              <w:jc w:val="both"/>
            </w:pPr>
            <w:r w:rsidDel="00000000" w:rsidR="00000000" w:rsidRPr="00000000">
              <w:rPr>
                <w:rtl w:val="0"/>
              </w:rPr>
              <w:t xml:space="preserve">Prolapso a través del canal cervical.</w:t>
            </w:r>
          </w:p>
          <w:p w:rsidR="00000000" w:rsidDel="00000000" w:rsidP="00000000" w:rsidRDefault="00000000" w:rsidRPr="00000000" w14:paraId="00000243">
            <w:pPr>
              <w:numPr>
                <w:ilvl w:val="0"/>
                <w:numId w:val="3"/>
              </w:numPr>
              <w:spacing w:after="240" w:before="0" w:beforeAutospacing="0" w:lineRule="auto"/>
              <w:ind w:left="720" w:hanging="360"/>
              <w:jc w:val="both"/>
            </w:pPr>
            <w:r w:rsidDel="00000000" w:rsidR="00000000" w:rsidRPr="00000000">
              <w:rPr>
                <w:rtl w:val="0"/>
              </w:rPr>
              <w:t xml:space="preserve">Pólipos asintomáticos persistentes (seguimiento ecográfico postmenstrual cada 4–6 ciclos).</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Adenomiosis</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recomienda el tratamiento hormonal descrito.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tratamiento quirúrgico se enfoca de acuerdo a si la paciente tiene paridad satisfecha o no, las opciones son: </w:t>
            </w:r>
          </w:p>
          <w:p w:rsidR="00000000" w:rsidDel="00000000" w:rsidP="00000000" w:rsidRDefault="00000000" w:rsidRPr="00000000" w14:paraId="0000024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Histerectomía: en pacientes sintomáticos con sangrado abundante,  sin deseo de fertilidad. Indicada tanto en formas difusas como focales.</w:t>
            </w:r>
          </w:p>
          <w:p w:rsidR="00000000" w:rsidDel="00000000" w:rsidP="00000000" w:rsidRDefault="00000000" w:rsidRPr="00000000" w14:paraId="0000024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Resección en cuña de adenomiomas: útil en mujeres sintomáticas con deseo gestacional. Incrementa el riesgo de fibrosis o de ruptura uterina en el embarazo. </w:t>
            </w:r>
          </w:p>
          <w:p w:rsidR="00000000" w:rsidDel="00000000" w:rsidP="00000000" w:rsidRDefault="00000000" w:rsidRPr="00000000" w14:paraId="0000024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Embolización de Arterias uterinas: útil en pacientes con paridad satisfecha o contraindicación quirúrgica </w:t>
            </w:r>
          </w:p>
          <w:p w:rsidR="00000000" w:rsidDel="00000000" w:rsidP="00000000" w:rsidRDefault="00000000" w:rsidRPr="00000000" w14:paraId="0000024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Ablación endometrial:  Tiene una tasa de fracaso del 20% en presencia de adenomiosis, por lo que debe evitarse en estas pacientes</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Leiomioma</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farmacológico ya descrito</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opciones de tratamiento quirúrgico son varias y se elige según el deseo de paridad. </w:t>
            </w:r>
          </w:p>
          <w:p w:rsidR="00000000" w:rsidDel="00000000" w:rsidP="00000000" w:rsidRDefault="00000000" w:rsidRPr="00000000" w14:paraId="000002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Histeroscópica: para leiomiomas submucosos es la mejor opción </w:t>
            </w:r>
          </w:p>
          <w:p w:rsidR="00000000" w:rsidDel="00000000" w:rsidP="00000000" w:rsidRDefault="00000000" w:rsidRPr="00000000" w14:paraId="0000024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Ablación endometrial: mujeres con paridad satisfecha </w:t>
            </w:r>
          </w:p>
          <w:p w:rsidR="00000000" w:rsidDel="00000000" w:rsidP="00000000" w:rsidRDefault="00000000" w:rsidRPr="00000000" w14:paraId="0000025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Embolización de arterias uterinas </w:t>
            </w:r>
          </w:p>
          <w:p w:rsidR="00000000" w:rsidDel="00000000" w:rsidP="00000000" w:rsidRDefault="00000000" w:rsidRPr="00000000" w14:paraId="0000025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Histerectomía </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Malignidad </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enfocado a la causa, generalmente requieren histerectomía </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Coagulopatía </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Reemplazo de factores de coagulación + desmopresina y terapia hormonal- Ablación endometrial o histerectomía si falla el manejo médico</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Disfunción ovulatoria</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Tratar causa subyacente (por ejm, trastorno tiroideo) + terapia hormonal cíclica </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Trastorno endometrial </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Corregir la causa de base, generalmente son infecciones. </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Iatrogenia </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Suspender fármaco asociado o ajustar dosis. </w:t>
            </w:r>
          </w:p>
        </w:tc>
      </w:tr>
      <w:tr>
        <w:trPr>
          <w:cantSplit w:val="0"/>
          <w:tblHeader w:val="0"/>
        </w:trPr>
        <w:tc>
          <w:tcPr>
            <w:shd w:fill="e7f0ff"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clasificado </w:t>
            </w:r>
          </w:p>
        </w:tc>
        <w:tc>
          <w:tcPr>
            <w:shd w:fill="e7f0ff"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individualizado según clínica e imágenes. </w:t>
            </w:r>
          </w:p>
        </w:tc>
      </w:tr>
    </w:tbl>
    <w:p w:rsidR="00000000" w:rsidDel="00000000" w:rsidP="00000000" w:rsidRDefault="00000000" w:rsidRPr="00000000" w14:paraId="0000025E">
      <w:pPr>
        <w:spacing w:after="240" w:before="240" w:lineRule="auto"/>
        <w:jc w:val="both"/>
        <w:rPr/>
      </w:pPr>
      <w:r w:rsidDel="00000000" w:rsidR="00000000" w:rsidRPr="00000000">
        <w:rPr>
          <w:i w:val="1"/>
          <w:sz w:val="24"/>
          <w:szCs w:val="24"/>
          <w:rtl w:val="0"/>
        </w:rPr>
        <w:t xml:space="preserve">Tabla 10. Consideraciones adicionales para el manejo de acuerdo a etiología. Adaptado de Molina. R., Pérez. M. 2022. Consenso en ginecología: Sangrado uterino anormal. Federación Argentina de sociedades de ginecología y obstetricia</w:t>
      </w:r>
      <w:r w:rsidDel="00000000" w:rsidR="00000000" w:rsidRPr="00000000">
        <w:rPr>
          <w:rtl w:val="0"/>
        </w:rPr>
      </w:r>
    </w:p>
    <w:p w:rsidR="00000000" w:rsidDel="00000000" w:rsidP="00000000" w:rsidRDefault="00000000" w:rsidRPr="00000000" w14:paraId="0000025F">
      <w:pPr>
        <w:spacing w:after="240" w:before="240" w:lineRule="auto"/>
        <w:jc w:val="both"/>
        <w:rPr/>
      </w:pPr>
      <w:r w:rsidDel="00000000" w:rsidR="00000000" w:rsidRPr="00000000">
        <w:rPr>
          <w:rtl w:val="0"/>
        </w:rPr>
      </w:r>
    </w:p>
    <w:p w:rsidR="00000000" w:rsidDel="00000000" w:rsidP="00000000" w:rsidRDefault="00000000" w:rsidRPr="00000000" w14:paraId="00000260">
      <w:pPr>
        <w:pStyle w:val="Heading1"/>
        <w:jc w:val="both"/>
        <w:rPr>
          <w:rFonts w:ascii="Lilita One" w:cs="Lilita One" w:eastAsia="Lilita One" w:hAnsi="Lilita One"/>
        </w:rPr>
      </w:pPr>
      <w:bookmarkStart w:colFirst="0" w:colLast="0" w:name="_os4hjouoqbgi" w:id="43"/>
      <w:bookmarkEnd w:id="43"/>
      <w:r w:rsidDel="00000000" w:rsidR="00000000" w:rsidRPr="00000000">
        <w:rPr>
          <w:rFonts w:ascii="Abril Fatface" w:cs="Abril Fatface" w:eastAsia="Abril Fatface" w:hAnsi="Abril Fatface"/>
          <w:rtl w:val="0"/>
        </w:rPr>
        <w:t xml:space="preserve">BIBLIOGRAFÍA </w:t>
      </w:r>
      <w:r w:rsidDel="00000000" w:rsidR="00000000" w:rsidRPr="00000000">
        <w:rPr>
          <w:rtl w:val="0"/>
        </w:rPr>
      </w:r>
    </w:p>
    <w:p w:rsidR="00000000" w:rsidDel="00000000" w:rsidP="00000000" w:rsidRDefault="00000000" w:rsidRPr="00000000" w14:paraId="00000261">
      <w:pPr>
        <w:numPr>
          <w:ilvl w:val="0"/>
          <w:numId w:val="13"/>
        </w:numPr>
        <w:ind w:left="720" w:hanging="360"/>
        <w:jc w:val="both"/>
        <w:rPr>
          <w:sz w:val="24"/>
          <w:szCs w:val="24"/>
        </w:rPr>
      </w:pPr>
      <w:r w:rsidDel="00000000" w:rsidR="00000000" w:rsidRPr="00000000">
        <w:rPr>
          <w:sz w:val="24"/>
          <w:szCs w:val="24"/>
          <w:rtl w:val="0"/>
        </w:rPr>
        <w:t xml:space="preserve">ACOG, Management of acute abnormal uterine bleeding in nonpregnant reproductive-aged woman. Obstet Gynecol 2013; 557:1-6</w:t>
      </w:r>
    </w:p>
    <w:p w:rsidR="00000000" w:rsidDel="00000000" w:rsidP="00000000" w:rsidRDefault="00000000" w:rsidRPr="00000000" w14:paraId="00000262">
      <w:pPr>
        <w:numPr>
          <w:ilvl w:val="0"/>
          <w:numId w:val="13"/>
        </w:numPr>
        <w:ind w:left="720" w:hanging="360"/>
        <w:jc w:val="both"/>
        <w:rPr>
          <w:sz w:val="24"/>
          <w:szCs w:val="24"/>
        </w:rPr>
      </w:pPr>
      <w:r w:rsidDel="00000000" w:rsidR="00000000" w:rsidRPr="00000000">
        <w:rPr>
          <w:sz w:val="24"/>
          <w:szCs w:val="24"/>
          <w:rtl w:val="0"/>
        </w:rPr>
        <w:t xml:space="preserve">Munro  M  et  al,  The  two  FIGO  systems  for  normal  and  abnormal uterine bleeding symptoms and classification of causes of abnormal uterine bleeding in the reproductive years: 2018 revisions. Int J Gynecol Obstet 2018; 143: 393–408</w:t>
      </w:r>
    </w:p>
    <w:p w:rsidR="00000000" w:rsidDel="00000000" w:rsidP="00000000" w:rsidRDefault="00000000" w:rsidRPr="00000000" w14:paraId="00000263">
      <w:pPr>
        <w:numPr>
          <w:ilvl w:val="0"/>
          <w:numId w:val="13"/>
        </w:numPr>
        <w:ind w:left="720" w:hanging="360"/>
        <w:jc w:val="both"/>
        <w:rPr>
          <w:sz w:val="24"/>
          <w:szCs w:val="24"/>
        </w:rPr>
      </w:pPr>
      <w:r w:rsidDel="00000000" w:rsidR="00000000" w:rsidRPr="00000000">
        <w:rPr>
          <w:sz w:val="24"/>
          <w:szCs w:val="24"/>
          <w:rtl w:val="0"/>
        </w:rPr>
        <w:t xml:space="preserve">Wouk. N., Helton. M. 2019. Abnormal Uterine Bleeding in Premenopausal Women. American Academy of Family Physicians 99(7): 435 – 443</w:t>
      </w:r>
    </w:p>
    <w:p w:rsidR="00000000" w:rsidDel="00000000" w:rsidP="00000000" w:rsidRDefault="00000000" w:rsidRPr="00000000" w14:paraId="00000264">
      <w:pPr>
        <w:numPr>
          <w:ilvl w:val="0"/>
          <w:numId w:val="13"/>
        </w:numPr>
        <w:ind w:left="720" w:hanging="360"/>
        <w:jc w:val="both"/>
        <w:rPr>
          <w:sz w:val="24"/>
          <w:szCs w:val="24"/>
        </w:rPr>
      </w:pPr>
      <w:r w:rsidDel="00000000" w:rsidR="00000000" w:rsidRPr="00000000">
        <w:rPr>
          <w:sz w:val="24"/>
          <w:szCs w:val="24"/>
          <w:rtl w:val="0"/>
        </w:rPr>
        <w:t xml:space="preserve">Molina. R., Pérez. M. 2022. Consenso en ginecología: Sangrado uterino anormal. Federación Argentina de sociedades de ginecología y obstetricia</w:t>
      </w:r>
    </w:p>
    <w:p w:rsidR="00000000" w:rsidDel="00000000" w:rsidP="00000000" w:rsidRDefault="00000000" w:rsidRPr="00000000" w14:paraId="00000265">
      <w:pPr>
        <w:numPr>
          <w:ilvl w:val="0"/>
          <w:numId w:val="13"/>
        </w:numPr>
        <w:ind w:left="720" w:hanging="360"/>
        <w:jc w:val="both"/>
        <w:rPr>
          <w:sz w:val="24"/>
          <w:szCs w:val="24"/>
        </w:rPr>
      </w:pPr>
      <w:r w:rsidDel="00000000" w:rsidR="00000000" w:rsidRPr="00000000">
        <w:rPr>
          <w:sz w:val="24"/>
          <w:szCs w:val="24"/>
          <w:rtl w:val="0"/>
        </w:rPr>
        <w:t xml:space="preserve">J. Perelló, J. Rius Tarruella and J. Calaf, Sangrado menstrual abundante y su detección en la práctica clínica, Med Clin (Barc)., </w:t>
      </w:r>
      <w:r w:rsidDel="00000000" w:rsidR="00000000" w:rsidRPr="00000000">
        <w:rPr>
          <w:sz w:val="24"/>
          <w:szCs w:val="24"/>
          <w:rtl w:val="0"/>
        </w:rPr>
        <w:t xml:space="preserve">https://doi.org/10.1016/j.medcli.2021.02.006</w:t>
      </w:r>
      <w:r w:rsidDel="00000000" w:rsidR="00000000" w:rsidRPr="00000000">
        <w:rPr>
          <w:rtl w:val="0"/>
        </w:rPr>
      </w:r>
    </w:p>
    <w:p w:rsidR="00000000" w:rsidDel="00000000" w:rsidP="00000000" w:rsidRDefault="00000000" w:rsidRPr="00000000" w14:paraId="00000266">
      <w:pPr>
        <w:numPr>
          <w:ilvl w:val="0"/>
          <w:numId w:val="13"/>
        </w:numPr>
        <w:ind w:left="720" w:hanging="360"/>
        <w:jc w:val="both"/>
        <w:rPr>
          <w:sz w:val="24"/>
          <w:szCs w:val="24"/>
        </w:rPr>
      </w:pPr>
      <w:r w:rsidDel="00000000" w:rsidR="00000000" w:rsidRPr="00000000">
        <w:rPr>
          <w:sz w:val="24"/>
          <w:szCs w:val="24"/>
          <w:rtl w:val="0"/>
        </w:rPr>
        <w:t xml:space="preserve">Rengifo, E., Trejos. H., Patiño. J., Chaparro. G., Rey. A., Díaz. N., Castrillón. J., Gaviria. A., Rubiano. L. 2021. Características y manejo farmacológico del sangrado uterino anormal agudo en un hospital de primer nivel en Colombia; Prog Obstet Ginecol 64(1): 106 - 114.</w:t>
      </w:r>
    </w:p>
    <w:p w:rsidR="00000000" w:rsidDel="00000000" w:rsidP="00000000" w:rsidRDefault="00000000" w:rsidRPr="00000000" w14:paraId="00000267">
      <w:pPr>
        <w:numPr>
          <w:ilvl w:val="0"/>
          <w:numId w:val="13"/>
        </w:numPr>
        <w:ind w:left="720" w:hanging="360"/>
        <w:jc w:val="both"/>
        <w:rPr>
          <w:sz w:val="24"/>
          <w:szCs w:val="24"/>
        </w:rPr>
      </w:pPr>
      <w:r w:rsidDel="00000000" w:rsidR="00000000" w:rsidRPr="00000000">
        <w:rPr>
          <w:sz w:val="24"/>
          <w:szCs w:val="24"/>
          <w:rtl w:val="0"/>
        </w:rPr>
        <w:t xml:space="preserve">Marnach ML, Laughlin‑Tommaso SK. Evaluation and management of abnormal uterine bleeding. Mayo Clin Proc. 2019;94(2):326–35. doi:10.1016/j.mayocp.2018.12.012.</w:t>
      </w:r>
    </w:p>
    <w:p w:rsidR="00000000" w:rsidDel="00000000" w:rsidP="00000000" w:rsidRDefault="00000000" w:rsidRPr="00000000" w14:paraId="00000268">
      <w:pPr>
        <w:numPr>
          <w:ilvl w:val="0"/>
          <w:numId w:val="13"/>
        </w:numPr>
        <w:ind w:left="720" w:hanging="360"/>
        <w:jc w:val="both"/>
        <w:rPr>
          <w:sz w:val="24"/>
          <w:szCs w:val="24"/>
        </w:rPr>
      </w:pPr>
      <w:r w:rsidDel="00000000" w:rsidR="00000000" w:rsidRPr="00000000">
        <w:rPr>
          <w:sz w:val="24"/>
          <w:szCs w:val="24"/>
          <w:rtl w:val="0"/>
        </w:rPr>
        <w:t xml:space="preserve">Borhart J, et al. Emergency Department Management Of Vaginal Bleeding In The Nonpregnant Patient. EB Medicine. 2013;15:8, 1-20</w:t>
      </w:r>
    </w:p>
    <w:p w:rsidR="00000000" w:rsidDel="00000000" w:rsidP="00000000" w:rsidRDefault="00000000" w:rsidRPr="00000000" w14:paraId="00000269">
      <w:pPr>
        <w:numPr>
          <w:ilvl w:val="0"/>
          <w:numId w:val="13"/>
        </w:numPr>
        <w:ind w:left="720" w:hanging="360"/>
        <w:jc w:val="both"/>
        <w:rPr>
          <w:sz w:val="24"/>
          <w:szCs w:val="24"/>
        </w:rPr>
      </w:pPr>
      <w:r w:rsidDel="00000000" w:rsidR="00000000" w:rsidRPr="00000000">
        <w:rPr>
          <w:sz w:val="24"/>
          <w:szCs w:val="24"/>
          <w:rtl w:val="0"/>
        </w:rPr>
        <w:t xml:space="preserve">Howard A. Managing an episode of acute uterine bleeding. UpToDate. 2022; 1-31</w:t>
      </w:r>
    </w:p>
    <w:p w:rsidR="00000000" w:rsidDel="00000000" w:rsidP="00000000" w:rsidRDefault="00000000" w:rsidRPr="00000000" w14:paraId="0000026A">
      <w:pPr>
        <w:numPr>
          <w:ilvl w:val="0"/>
          <w:numId w:val="13"/>
        </w:numPr>
        <w:ind w:left="720" w:hanging="360"/>
        <w:jc w:val="both"/>
        <w:rPr>
          <w:sz w:val="24"/>
          <w:szCs w:val="24"/>
        </w:rPr>
      </w:pPr>
      <w:r w:rsidDel="00000000" w:rsidR="00000000" w:rsidRPr="00000000">
        <w:rPr>
          <w:sz w:val="24"/>
          <w:szCs w:val="24"/>
          <w:rtl w:val="0"/>
        </w:rPr>
        <w:t xml:space="preserve">Hoffman BL, et al. Williams Gynecology. Sangrado uterino anormal. New York, NY: McGraw-Hill Education; 2022; 1-45</w:t>
      </w:r>
    </w:p>
    <w:p w:rsidR="00000000" w:rsidDel="00000000" w:rsidP="00000000" w:rsidRDefault="00000000" w:rsidRPr="00000000" w14:paraId="0000026B">
      <w:pPr>
        <w:numPr>
          <w:ilvl w:val="0"/>
          <w:numId w:val="13"/>
        </w:numPr>
        <w:ind w:left="720" w:hanging="360"/>
        <w:jc w:val="both"/>
        <w:rPr>
          <w:sz w:val="24"/>
          <w:szCs w:val="24"/>
        </w:rPr>
      </w:pPr>
      <w:r w:rsidDel="00000000" w:rsidR="00000000" w:rsidRPr="00000000">
        <w:rPr>
          <w:sz w:val="24"/>
          <w:szCs w:val="24"/>
          <w:rtl w:val="0"/>
        </w:rPr>
        <w:t xml:space="preserve">Borhart J. Approach to the adult with vaginal bleeding in the emergency department. UpToDate. 2022; 1-29</w:t>
      </w:r>
    </w:p>
    <w:p w:rsidR="00000000" w:rsidDel="00000000" w:rsidP="00000000" w:rsidRDefault="00000000" w:rsidRPr="00000000" w14:paraId="0000026C">
      <w:pPr>
        <w:numPr>
          <w:ilvl w:val="0"/>
          <w:numId w:val="13"/>
        </w:numPr>
        <w:ind w:left="720" w:hanging="360"/>
        <w:jc w:val="both"/>
        <w:rPr>
          <w:sz w:val="24"/>
          <w:szCs w:val="24"/>
        </w:rPr>
      </w:pPr>
      <w:r w:rsidDel="00000000" w:rsidR="00000000" w:rsidRPr="00000000">
        <w:rPr>
          <w:sz w:val="24"/>
          <w:szCs w:val="24"/>
          <w:rtl w:val="0"/>
        </w:rPr>
        <w:t xml:space="preserve">Hoffman BL, et al. Williams Gynecology. Sangrado uterino anormal. New York, NY: McGraw-Hill Education; 2022; 1-45</w:t>
      </w:r>
    </w:p>
    <w:p w:rsidR="00000000" w:rsidDel="00000000" w:rsidP="00000000" w:rsidRDefault="00000000" w:rsidRPr="00000000" w14:paraId="0000026D">
      <w:pPr>
        <w:jc w:val="both"/>
        <w:rPr>
          <w:sz w:val="24"/>
          <w:szCs w:val="24"/>
        </w:rPr>
      </w:pPr>
      <w:r w:rsidDel="00000000" w:rsidR="00000000" w:rsidRPr="00000000">
        <w:rPr>
          <w:rtl w:val="0"/>
        </w:rPr>
      </w:r>
    </w:p>
    <w:p w:rsidR="00000000" w:rsidDel="00000000" w:rsidP="00000000" w:rsidRDefault="00000000" w:rsidRPr="00000000" w14:paraId="0000026E">
      <w:pPr>
        <w:jc w:val="both"/>
        <w:rPr>
          <w:sz w:val="24"/>
          <w:szCs w:val="24"/>
        </w:rPr>
      </w:pPr>
      <w:r w:rsidDel="00000000" w:rsidR="00000000" w:rsidRPr="00000000">
        <w:rPr>
          <w:rtl w:val="0"/>
        </w:rPr>
      </w:r>
    </w:p>
    <w:p w:rsidR="00000000" w:rsidDel="00000000" w:rsidP="00000000" w:rsidRDefault="00000000" w:rsidRPr="00000000" w14:paraId="0000026F">
      <w:pPr>
        <w:pStyle w:val="Heading2"/>
        <w:jc w:val="both"/>
        <w:rPr>
          <w:sz w:val="24"/>
          <w:szCs w:val="24"/>
        </w:rPr>
      </w:pPr>
      <w:bookmarkStart w:colFirst="0" w:colLast="0" w:name="_rp0uqx90g4h2" w:id="44"/>
      <w:bookmarkEnd w:id="44"/>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jc w:val="both"/>
        <w:rPr>
          <w:sz w:val="24"/>
          <w:szCs w:val="24"/>
        </w:rPr>
      </w:pPr>
      <w:r w:rsidDel="00000000" w:rsidR="00000000" w:rsidRPr="00000000">
        <w:rPr>
          <w:rtl w:val="0"/>
        </w:rPr>
      </w:r>
    </w:p>
    <w:sectPr>
      <w:headerReference r:id="rId10" w:type="default"/>
      <w:headerReference r:id="rId11" w:type="first"/>
      <w:footerReference r:id="rId12" w:type="default"/>
      <w:footerReference r:id="rId13" w:type="first"/>
      <w:pgSz w:h="2016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bril Fatface">
    <w:embedRegular w:fontKey="{00000000-0000-0000-0000-000000000000}" r:id="rId1" w:subsetted="0"/>
  </w:font>
  <w:font w:name="Acme">
    <w:embedRegular w:fontKey="{00000000-0000-0000-0000-000000000000}" r:id="rId2" w:subsetted="0"/>
  </w:font>
  <w:font w:name="Lilita One">
    <w:embedRegular w:fontKey="{00000000-0000-0000-0000-000000000000}" r:id="rId3" w:subsetted="0"/>
  </w:font>
  <w:font w:name="Comfortaa">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tabs>
        <w:tab w:val="center" w:leader="none" w:pos="4419"/>
        <w:tab w:val="right" w:leader="none" w:pos="8838"/>
      </w:tabs>
      <w:spacing w:line="240" w:lineRule="auto"/>
      <w:jc w:val="both"/>
      <w:rPr>
        <w:rFonts w:ascii="Calibri" w:cs="Calibri" w:eastAsia="Calibri" w:hAnsi="Calibri"/>
        <w:color w:val="3b3838"/>
        <w:sz w:val="16"/>
        <w:szCs w:val="16"/>
      </w:rPr>
    </w:pPr>
    <w:r w:rsidDel="00000000" w:rsidR="00000000" w:rsidRPr="00000000">
      <w:rPr>
        <w:rFonts w:ascii="Calibri" w:cs="Calibri" w:eastAsia="Calibri" w:hAnsi="Calibri"/>
        <w:color w:val="3b3838"/>
        <w:sz w:val="16"/>
        <w:szCs w:val="16"/>
        <w:rtl w:val="0"/>
      </w:rPr>
      <w:t xml:space="preserve">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 </w:t>
    </w:r>
  </w:p>
  <w:p w:rsidR="00000000" w:rsidDel="00000000" w:rsidP="00000000" w:rsidRDefault="00000000" w:rsidRPr="00000000" w14:paraId="000002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widowControl w:val="0"/>
      <w:rPr>
        <w:rFonts w:ascii="Calibri" w:cs="Calibri" w:eastAsia="Calibri" w:hAnsi="Calibri"/>
        <w:color w:val="ff0000"/>
      </w:rPr>
    </w:pPr>
    <w:r w:rsidDel="00000000" w:rsidR="00000000" w:rsidRPr="00000000">
      <w:rPr>
        <w:rtl w:val="0"/>
      </w:rPr>
    </w:r>
  </w:p>
  <w:tbl>
    <w:tblPr>
      <w:tblStyle w:val="Table14"/>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5355"/>
      <w:gridCol w:w="1890"/>
      <w:tblGridChange w:id="0">
        <w:tblGrid>
          <w:gridCol w:w="1590"/>
          <w:gridCol w:w="5355"/>
          <w:gridCol w:w="1890"/>
        </w:tblGrid>
      </w:tblGridChange>
    </w:tblGrid>
    <w:tr>
      <w:trPr>
        <w:cantSplit w:val="0"/>
        <w:tblHeader w:val="0"/>
      </w:trPr>
      <w:tc>
        <w:tcPr>
          <w:vMerge w:val="restart"/>
        </w:tcPr>
        <w:p w:rsidR="00000000" w:rsidDel="00000000" w:rsidP="00000000" w:rsidRDefault="00000000" w:rsidRPr="00000000" w14:paraId="0000028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Pr>
            <w:drawing>
              <wp:inline distB="0" distT="0" distL="0" distR="0">
                <wp:extent cx="858752" cy="676664"/>
                <wp:effectExtent b="0" l="0" r="0" t="0"/>
                <wp:docPr descr="Logotipo, nombre de la empresa&#10;&#10;El contenido generado por IA puede ser incorrecto." id="5" name="image3.jpg"/>
                <a:graphic>
                  <a:graphicData uri="http://schemas.openxmlformats.org/drawingml/2006/picture">
                    <pic:pic>
                      <pic:nvPicPr>
                        <pic:cNvPr descr="Logotipo, nombre de la empresa&#10;&#10;El contenido generado por IA puede ser incorrecto." id="0" name="image3.jpg"/>
                        <pic:cNvPicPr preferRelativeResize="0"/>
                      </pic:nvPicPr>
                      <pic:blipFill>
                        <a:blip r:embed="rId1"/>
                        <a:srcRect b="0" l="12994" r="15625" t="0"/>
                        <a:stretch>
                          <a:fillRect/>
                        </a:stretch>
                      </pic:blipFill>
                      <pic:spPr>
                        <a:xfrm>
                          <a:off x="0" y="0"/>
                          <a:ext cx="858752" cy="6766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5">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HOSPITAL REGIONAL DE MONIQUIRA E.S.E</w:t>
          </w:r>
          <w:r w:rsidDel="00000000" w:rsidR="00000000" w:rsidRPr="00000000">
            <w:rPr>
              <w:rtl w:val="0"/>
            </w:rPr>
          </w:r>
        </w:p>
      </w:tc>
      <w:tc>
        <w:tcPr/>
        <w:p w:rsidR="00000000" w:rsidDel="00000000" w:rsidP="00000000" w:rsidRDefault="00000000" w:rsidRPr="00000000" w14:paraId="00000286">
          <w:pPr>
            <w:tabs>
              <w:tab w:val="center" w:leader="none" w:pos="4419"/>
              <w:tab w:val="right" w:leader="none" w:pos="8838"/>
            </w:tabs>
            <w:jc w:val="center"/>
            <w:rPr>
              <w:rFonts w:ascii="Calibri" w:cs="Calibri" w:eastAsia="Calibri" w:hAnsi="Calibri"/>
              <w:b w:val="1"/>
            </w:rPr>
          </w:pPr>
          <w:r w:rsidDel="00000000" w:rsidR="00000000" w:rsidRPr="00000000">
            <w:rPr>
              <w:rFonts w:ascii="Calibri" w:cs="Calibri" w:eastAsia="Calibri" w:hAnsi="Calibri"/>
              <w:b w:val="1"/>
              <w:rtl w:val="0"/>
            </w:rPr>
            <w:t xml:space="preserve">CÓDIGO:</w:t>
          </w:r>
        </w:p>
      </w:tc>
    </w:tr>
    <w:tr>
      <w:trPr>
        <w:cantSplit w:val="0"/>
        <w:tblHeader w:val="0"/>
      </w:trPr>
      <w:tc>
        <w:tcPr>
          <w:vMerge w:val="continue"/>
        </w:tcPr>
        <w:p w:rsidR="00000000" w:rsidDel="00000000" w:rsidP="00000000" w:rsidRDefault="00000000" w:rsidRPr="00000000" w14:paraId="00000287">
          <w:pPr>
            <w:widowControl w:val="0"/>
            <w:spacing w:line="276"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28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PROTOCOLO CLÍNICO DE HEMORRAGIA UTERINA ANORMAL</w:t>
          </w:r>
          <w:r w:rsidDel="00000000" w:rsidR="00000000" w:rsidRPr="00000000">
            <w:rPr>
              <w:rtl w:val="0"/>
            </w:rPr>
          </w:r>
        </w:p>
      </w:tc>
      <w:tc>
        <w:tcPr/>
        <w:p w:rsidR="00000000" w:rsidDel="00000000" w:rsidP="00000000" w:rsidRDefault="00000000" w:rsidRPr="00000000" w14:paraId="00000289">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A">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8B">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PROCESO:</w:t>
          </w:r>
          <w:r w:rsidDel="00000000" w:rsidR="00000000" w:rsidRPr="00000000">
            <w:rPr>
              <w:rtl w:val="0"/>
            </w:rPr>
          </w:r>
        </w:p>
      </w:tc>
      <w:tc>
        <w:tcPr/>
        <w:p w:rsidR="00000000" w:rsidDel="00000000" w:rsidP="00000000" w:rsidRDefault="00000000" w:rsidRPr="00000000" w14:paraId="0000028C">
          <w:pPr>
            <w:tabs>
              <w:tab w:val="center" w:leader="none" w:pos="4419"/>
              <w:tab w:val="right" w:leader="none" w:pos="8838"/>
            </w:tabs>
            <w:jc w:val="center"/>
            <w:rPr>
              <w:rFonts w:ascii="Calibri" w:cs="Calibri" w:eastAsia="Calibri" w:hAnsi="Calibri"/>
              <w:b w:val="1"/>
            </w:rPr>
          </w:pPr>
          <w:r w:rsidDel="00000000" w:rsidR="00000000" w:rsidRPr="00000000">
            <w:rPr>
              <w:rFonts w:ascii="Calibri" w:cs="Calibri" w:eastAsia="Calibri" w:hAnsi="Calibri"/>
              <w:b w:val="1"/>
              <w:rtl w:val="0"/>
            </w:rPr>
            <w:t xml:space="preserve">VERSIÓN:</w:t>
          </w:r>
        </w:p>
      </w:tc>
    </w:tr>
    <w:tr>
      <w:trPr>
        <w:cantSplit w:val="0"/>
        <w:tblHeader w:val="0"/>
      </w:trPr>
      <w:tc>
        <w:tcPr>
          <w:vMerge w:val="continue"/>
        </w:tcPr>
        <w:p w:rsidR="00000000" w:rsidDel="00000000" w:rsidP="00000000" w:rsidRDefault="00000000" w:rsidRPr="00000000" w14:paraId="0000028D">
          <w:pPr>
            <w:widowControl w:val="0"/>
            <w:spacing w:line="276"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28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SUBPROCESO:</w:t>
          </w:r>
          <w:r w:rsidDel="00000000" w:rsidR="00000000" w:rsidRPr="00000000">
            <w:rPr>
              <w:rtl w:val="0"/>
            </w:rPr>
          </w:r>
        </w:p>
      </w:tc>
      <w:tc>
        <w:tcPr/>
        <w:p w:rsidR="00000000" w:rsidDel="00000000" w:rsidP="00000000" w:rsidRDefault="00000000" w:rsidRPr="00000000" w14:paraId="0000028F">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01</w:t>
          </w:r>
        </w:p>
      </w:tc>
    </w:tr>
  </w:tbl>
  <w:p w:rsidR="00000000" w:rsidDel="00000000" w:rsidP="00000000" w:rsidRDefault="00000000" w:rsidRPr="00000000" w14:paraId="00000290">
    <w:pPr>
      <w:tabs>
        <w:tab w:val="center" w:leader="none" w:pos="4419"/>
        <w:tab w:val="right" w:leader="none" w:pos="8838"/>
      </w:tabs>
      <w:spacing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widowControl w:val="0"/>
      <w:rPr>
        <w:rFonts w:ascii="Calibri" w:cs="Calibri" w:eastAsia="Calibri" w:hAnsi="Calibri"/>
        <w:color w:val="ff0000"/>
      </w:rPr>
    </w:pPr>
    <w:r w:rsidDel="00000000" w:rsidR="00000000" w:rsidRPr="00000000">
      <w:rPr>
        <w:rtl w:val="0"/>
      </w:rPr>
    </w:r>
  </w:p>
  <w:tbl>
    <w:tblPr>
      <w:tblStyle w:val="Table15"/>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5355"/>
      <w:gridCol w:w="1890"/>
      <w:tblGridChange w:id="0">
        <w:tblGrid>
          <w:gridCol w:w="1590"/>
          <w:gridCol w:w="5355"/>
          <w:gridCol w:w="1890"/>
        </w:tblGrid>
      </w:tblGridChange>
    </w:tblGrid>
    <w:tr>
      <w:trPr>
        <w:cantSplit w:val="0"/>
        <w:tblHeader w:val="0"/>
      </w:trPr>
      <w:tc>
        <w:tcPr>
          <w:vMerge w:val="restart"/>
        </w:tcPr>
        <w:p w:rsidR="00000000" w:rsidDel="00000000" w:rsidP="00000000" w:rsidRDefault="00000000" w:rsidRPr="00000000" w14:paraId="00000293">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Pr>
            <w:drawing>
              <wp:inline distB="0" distT="0" distL="0" distR="0">
                <wp:extent cx="858752" cy="676664"/>
                <wp:effectExtent b="0" l="0" r="0" t="0"/>
                <wp:docPr descr="Logotipo, nombre de la empresa&#10;&#10;El contenido generado por IA puede ser incorrecto." id="6" name="image3.jpg"/>
                <a:graphic>
                  <a:graphicData uri="http://schemas.openxmlformats.org/drawingml/2006/picture">
                    <pic:pic>
                      <pic:nvPicPr>
                        <pic:cNvPr descr="Logotipo, nombre de la empresa&#10;&#10;El contenido generado por IA puede ser incorrecto." id="0" name="image3.jpg"/>
                        <pic:cNvPicPr preferRelativeResize="0"/>
                      </pic:nvPicPr>
                      <pic:blipFill>
                        <a:blip r:embed="rId1"/>
                        <a:srcRect b="0" l="12994" r="15625" t="0"/>
                        <a:stretch>
                          <a:fillRect/>
                        </a:stretch>
                      </pic:blipFill>
                      <pic:spPr>
                        <a:xfrm>
                          <a:off x="0" y="0"/>
                          <a:ext cx="858752" cy="6766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9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HOSPITAL REGIONAL DE MONIQUIRA E.S.E</w:t>
          </w:r>
          <w:r w:rsidDel="00000000" w:rsidR="00000000" w:rsidRPr="00000000">
            <w:rPr>
              <w:rtl w:val="0"/>
            </w:rPr>
          </w:r>
        </w:p>
      </w:tc>
      <w:tc>
        <w:tcPr/>
        <w:p w:rsidR="00000000" w:rsidDel="00000000" w:rsidP="00000000" w:rsidRDefault="00000000" w:rsidRPr="00000000" w14:paraId="00000295">
          <w:pPr>
            <w:tabs>
              <w:tab w:val="center" w:leader="none" w:pos="4419"/>
              <w:tab w:val="right" w:leader="none" w:pos="8838"/>
            </w:tabs>
            <w:jc w:val="center"/>
            <w:rPr>
              <w:rFonts w:ascii="Calibri" w:cs="Calibri" w:eastAsia="Calibri" w:hAnsi="Calibri"/>
              <w:b w:val="1"/>
            </w:rPr>
          </w:pPr>
          <w:r w:rsidDel="00000000" w:rsidR="00000000" w:rsidRPr="00000000">
            <w:rPr>
              <w:rFonts w:ascii="Calibri" w:cs="Calibri" w:eastAsia="Calibri" w:hAnsi="Calibri"/>
              <w:b w:val="1"/>
              <w:rtl w:val="0"/>
            </w:rPr>
            <w:t xml:space="preserve">CÓDIGO:</w:t>
          </w:r>
        </w:p>
      </w:tc>
    </w:tr>
    <w:tr>
      <w:trPr>
        <w:cantSplit w:val="0"/>
        <w:tblHeader w:val="0"/>
      </w:trPr>
      <w:tc>
        <w:tcPr>
          <w:vMerge w:val="continue"/>
        </w:tcPr>
        <w:p w:rsidR="00000000" w:rsidDel="00000000" w:rsidP="00000000" w:rsidRDefault="00000000" w:rsidRPr="00000000" w14:paraId="00000296">
          <w:pPr>
            <w:widowControl w:val="0"/>
            <w:spacing w:line="276"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297">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PROTOCOLO CLÍNICO DE HEMORRAGIA UTERINA ANORMAL</w:t>
          </w:r>
          <w:r w:rsidDel="00000000" w:rsidR="00000000" w:rsidRPr="00000000">
            <w:rPr>
              <w:rtl w:val="0"/>
            </w:rPr>
          </w:r>
        </w:p>
      </w:tc>
      <w:tc>
        <w:tcPr/>
        <w:p w:rsidR="00000000" w:rsidDel="00000000" w:rsidP="00000000" w:rsidRDefault="00000000" w:rsidRPr="00000000" w14:paraId="00000298">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9">
          <w:pPr>
            <w:widowControl w:val="0"/>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9A">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PROCESO:</w:t>
          </w:r>
          <w:r w:rsidDel="00000000" w:rsidR="00000000" w:rsidRPr="00000000">
            <w:rPr>
              <w:rtl w:val="0"/>
            </w:rPr>
          </w:r>
        </w:p>
      </w:tc>
      <w:tc>
        <w:tcPr/>
        <w:p w:rsidR="00000000" w:rsidDel="00000000" w:rsidP="00000000" w:rsidRDefault="00000000" w:rsidRPr="00000000" w14:paraId="0000029B">
          <w:pPr>
            <w:tabs>
              <w:tab w:val="center" w:leader="none" w:pos="4419"/>
              <w:tab w:val="right" w:leader="none" w:pos="8838"/>
            </w:tabs>
            <w:jc w:val="center"/>
            <w:rPr>
              <w:rFonts w:ascii="Calibri" w:cs="Calibri" w:eastAsia="Calibri" w:hAnsi="Calibri"/>
              <w:b w:val="1"/>
            </w:rPr>
          </w:pPr>
          <w:r w:rsidDel="00000000" w:rsidR="00000000" w:rsidRPr="00000000">
            <w:rPr>
              <w:rFonts w:ascii="Calibri" w:cs="Calibri" w:eastAsia="Calibri" w:hAnsi="Calibri"/>
              <w:b w:val="1"/>
              <w:rtl w:val="0"/>
            </w:rPr>
            <w:t xml:space="preserve">VERSIÓN:</w:t>
          </w:r>
        </w:p>
      </w:tc>
    </w:tr>
    <w:tr>
      <w:trPr>
        <w:cantSplit w:val="0"/>
        <w:tblHeader w:val="0"/>
      </w:trPr>
      <w:tc>
        <w:tcPr>
          <w:vMerge w:val="continue"/>
        </w:tcPr>
        <w:p w:rsidR="00000000" w:rsidDel="00000000" w:rsidP="00000000" w:rsidRDefault="00000000" w:rsidRPr="00000000" w14:paraId="0000029C">
          <w:pPr>
            <w:widowControl w:val="0"/>
            <w:spacing w:line="276"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29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b w:val="1"/>
              <w:sz w:val="20"/>
              <w:szCs w:val="20"/>
              <w:rtl w:val="0"/>
            </w:rPr>
            <w:t xml:space="preserve">SUBPROCESO:</w:t>
          </w:r>
          <w:r w:rsidDel="00000000" w:rsidR="00000000" w:rsidRPr="00000000">
            <w:rPr>
              <w:rtl w:val="0"/>
            </w:rPr>
          </w:r>
        </w:p>
      </w:tc>
      <w:tc>
        <w:tcPr/>
        <w:p w:rsidR="00000000" w:rsidDel="00000000" w:rsidP="00000000" w:rsidRDefault="00000000" w:rsidRPr="00000000" w14:paraId="0000029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01</w:t>
          </w:r>
        </w:p>
      </w:tc>
    </w:tr>
  </w:tbl>
  <w:p w:rsidR="00000000" w:rsidDel="00000000" w:rsidP="00000000" w:rsidRDefault="00000000" w:rsidRPr="00000000" w14:paraId="0000029F">
    <w:pPr>
      <w:tabs>
        <w:tab w:val="center" w:leader="none" w:pos="4419"/>
        <w:tab w:val="right" w:leader="none" w:pos="8838"/>
      </w:tabs>
      <w:spacing w:line="240" w:lineRule="auto"/>
      <w:jc w:val="both"/>
      <w:rPr>
        <w:b w:val="1"/>
        <w:color w:val="ff99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brilFatface-regular.ttf"/><Relationship Id="rId2" Type="http://schemas.openxmlformats.org/officeDocument/2006/relationships/font" Target="fonts/Acme-regular.ttf"/><Relationship Id="rId3" Type="http://schemas.openxmlformats.org/officeDocument/2006/relationships/font" Target="fonts/LilitaOne-regular.ttf"/><Relationship Id="rId4" Type="http://schemas.openxmlformats.org/officeDocument/2006/relationships/font" Target="fonts/Comfortaa-regular.ttf"/><Relationship Id="rId5"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