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F638D5" w:rsidRDefault="00D9647A" w:rsidP="00A019A7">
      <w:pPr>
        <w:jc w:val="center"/>
        <w:rPr>
          <w:rFonts w:asciiTheme="majorHAnsi" w:hAnsiTheme="majorHAnsi" w:cstheme="majorHAnsi"/>
          <w:b/>
          <w:bCs/>
          <w:sz w:val="24"/>
          <w:szCs w:val="24"/>
          <w:lang w:val="es-CO"/>
        </w:rPr>
      </w:pPr>
    </w:p>
    <w:p w14:paraId="737DF932" w14:textId="77777777" w:rsidR="00F638D5" w:rsidRPr="00F638D5" w:rsidRDefault="00FD757D" w:rsidP="00F638D5">
      <w:pPr>
        <w:jc w:val="center"/>
        <w:rPr>
          <w:sz w:val="44"/>
          <w:szCs w:val="44"/>
          <w:lang w:val="es-CO"/>
        </w:rPr>
      </w:pPr>
      <w:r w:rsidRPr="00F638D5">
        <w:rPr>
          <w:rFonts w:cstheme="minorHAnsi"/>
          <w:b/>
          <w:bCs/>
          <w:sz w:val="44"/>
          <w:szCs w:val="44"/>
          <w:lang w:val="es-CO"/>
        </w:rPr>
        <w:t>PROTOCOLO</w:t>
      </w:r>
      <w:r w:rsidR="00A90B2E" w:rsidRPr="00F638D5">
        <w:rPr>
          <w:rFonts w:cstheme="minorHAnsi"/>
          <w:b/>
          <w:bCs/>
          <w:sz w:val="44"/>
          <w:szCs w:val="44"/>
          <w:lang w:val="es-CO"/>
        </w:rPr>
        <w:t xml:space="preserve"> </w:t>
      </w:r>
      <w:r w:rsidR="00F638D5" w:rsidRPr="00F638D5">
        <w:rPr>
          <w:b/>
          <w:sz w:val="44"/>
          <w:szCs w:val="44"/>
          <w:lang w:val="es-CO"/>
        </w:rPr>
        <w:t>MANEJO DE ANAFILAXIA Y REACCIONES ADVERSAS A MEDICAMENTOS</w:t>
      </w:r>
    </w:p>
    <w:p w14:paraId="0BA34808" w14:textId="42CDF371" w:rsidR="00A90B2E" w:rsidRPr="004A7950" w:rsidRDefault="00A90B2E" w:rsidP="004A7950">
      <w:pPr>
        <w:pStyle w:val="Ttulo"/>
        <w:jc w:val="center"/>
        <w:rPr>
          <w:rFonts w:asciiTheme="minorHAnsi" w:hAnsiTheme="minorHAnsi" w:cstheme="minorHAnsi"/>
          <w:b/>
          <w:bCs/>
          <w:color w:val="FF0000"/>
          <w:sz w:val="44"/>
          <w:szCs w:val="44"/>
          <w:lang w:val="es-CO"/>
        </w:rPr>
      </w:pP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28F4F0D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434B87" w14:paraId="632537FB" w14:textId="77777777" w:rsidTr="00AC2244">
        <w:trPr>
          <w:trHeight w:val="20"/>
        </w:trPr>
        <w:tc>
          <w:tcPr>
            <w:tcW w:w="1129" w:type="dxa"/>
            <w:tcBorders>
              <w:right w:val="nil"/>
            </w:tcBorders>
          </w:tcPr>
          <w:p w14:paraId="73292153"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bookmarkStart w:id="0" w:name="_Hlk84255673"/>
          </w:p>
        </w:tc>
        <w:tc>
          <w:tcPr>
            <w:tcW w:w="3261" w:type="dxa"/>
            <w:tcBorders>
              <w:left w:val="nil"/>
            </w:tcBorders>
            <w:hideMark/>
          </w:tcPr>
          <w:p w14:paraId="0BF0680A"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NOMBRE</w:t>
            </w:r>
          </w:p>
        </w:tc>
        <w:tc>
          <w:tcPr>
            <w:tcW w:w="3402" w:type="dxa"/>
            <w:hideMark/>
          </w:tcPr>
          <w:p w14:paraId="20D3F6EA" w14:textId="77777777" w:rsidR="00434B87" w:rsidRPr="0030077E" w:rsidRDefault="00434B87" w:rsidP="00AC2244">
            <w:pPr>
              <w:keepNext/>
              <w:jc w:val="center"/>
              <w:outlineLvl w:val="3"/>
              <w:rPr>
                <w:rFonts w:asciiTheme="majorHAnsi" w:hAnsiTheme="majorHAnsi" w:cstheme="majorHAnsi"/>
                <w:b/>
                <w:sz w:val="20"/>
                <w:szCs w:val="24"/>
                <w:lang w:val="es-CO"/>
              </w:rPr>
            </w:pPr>
            <w:r w:rsidRPr="0030077E">
              <w:rPr>
                <w:rFonts w:asciiTheme="majorHAnsi" w:hAnsiTheme="majorHAnsi" w:cstheme="majorHAnsi"/>
                <w:b/>
                <w:sz w:val="20"/>
                <w:szCs w:val="24"/>
                <w:lang w:val="es-CO"/>
              </w:rPr>
              <w:t>CARGO</w:t>
            </w:r>
          </w:p>
        </w:tc>
        <w:tc>
          <w:tcPr>
            <w:tcW w:w="1016" w:type="dxa"/>
            <w:hideMark/>
          </w:tcPr>
          <w:p w14:paraId="7EB43A15" w14:textId="77777777" w:rsidR="00434B87" w:rsidRPr="0030077E" w:rsidRDefault="00434B87" w:rsidP="00AC2244">
            <w:pPr>
              <w:tabs>
                <w:tab w:val="left" w:pos="-3188"/>
                <w:tab w:val="left" w:pos="-3046"/>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 xml:space="preserve">FECHA </w:t>
            </w:r>
          </w:p>
        </w:tc>
      </w:tr>
      <w:tr w:rsidR="00434B87" w14:paraId="1B046E61" w14:textId="77777777" w:rsidTr="00AC2244">
        <w:trPr>
          <w:trHeight w:val="20"/>
        </w:trPr>
        <w:tc>
          <w:tcPr>
            <w:tcW w:w="1129" w:type="dxa"/>
            <w:hideMark/>
          </w:tcPr>
          <w:p w14:paraId="25E177DE"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ELABORÓ</w:t>
            </w:r>
          </w:p>
        </w:tc>
        <w:tc>
          <w:tcPr>
            <w:tcW w:w="3261" w:type="dxa"/>
            <w:hideMark/>
          </w:tcPr>
          <w:p w14:paraId="55C057C3" w14:textId="74760CB5" w:rsidR="00434B87" w:rsidRPr="0030077E" w:rsidRDefault="004A7950"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Iván Ortiz</w:t>
            </w:r>
          </w:p>
        </w:tc>
        <w:tc>
          <w:tcPr>
            <w:tcW w:w="3402" w:type="dxa"/>
          </w:tcPr>
          <w:p w14:paraId="4EF3C50E" w14:textId="6E67A156" w:rsidR="00434B87" w:rsidRPr="0030077E" w:rsidRDefault="004A7950"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Especialista Emergenciología</w:t>
            </w:r>
          </w:p>
        </w:tc>
        <w:tc>
          <w:tcPr>
            <w:tcW w:w="1016" w:type="dxa"/>
          </w:tcPr>
          <w:p w14:paraId="78DB9588" w14:textId="112F8A1E" w:rsidR="00434B87" w:rsidRPr="0030077E" w:rsidRDefault="00F638D5"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30</w:t>
            </w:r>
            <w:r w:rsidR="004A7950">
              <w:rPr>
                <w:rFonts w:asciiTheme="majorHAnsi" w:hAnsiTheme="majorHAnsi" w:cstheme="majorHAnsi"/>
                <w:sz w:val="20"/>
                <w:szCs w:val="24"/>
                <w:lang w:val="es-CO"/>
              </w:rPr>
              <w:t>/</w:t>
            </w:r>
            <w:r>
              <w:rPr>
                <w:rFonts w:asciiTheme="majorHAnsi" w:hAnsiTheme="majorHAnsi" w:cstheme="majorHAnsi"/>
                <w:sz w:val="20"/>
                <w:szCs w:val="24"/>
                <w:lang w:val="es-CO"/>
              </w:rPr>
              <w:t>10</w:t>
            </w:r>
            <w:r w:rsidR="004A7950">
              <w:rPr>
                <w:rFonts w:asciiTheme="majorHAnsi" w:hAnsiTheme="majorHAnsi" w:cstheme="majorHAnsi"/>
                <w:sz w:val="20"/>
                <w:szCs w:val="24"/>
                <w:lang w:val="es-CO"/>
              </w:rPr>
              <w:t>/25</w:t>
            </w:r>
          </w:p>
        </w:tc>
      </w:tr>
      <w:tr w:rsidR="00434B87" w14:paraId="3D41B60F" w14:textId="77777777" w:rsidTr="00AC2244">
        <w:trPr>
          <w:trHeight w:val="20"/>
        </w:trPr>
        <w:tc>
          <w:tcPr>
            <w:tcW w:w="1129" w:type="dxa"/>
            <w:hideMark/>
          </w:tcPr>
          <w:p w14:paraId="140B4F57"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VALIDÓ</w:t>
            </w:r>
          </w:p>
        </w:tc>
        <w:tc>
          <w:tcPr>
            <w:tcW w:w="3261" w:type="dxa"/>
          </w:tcPr>
          <w:p w14:paraId="10EF76C1" w14:textId="6CF289C0"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Leidy Yibeth Toledo Rojas</w:t>
            </w:r>
          </w:p>
        </w:tc>
        <w:tc>
          <w:tcPr>
            <w:tcW w:w="3402" w:type="dxa"/>
          </w:tcPr>
          <w:p w14:paraId="4DAB7BCA" w14:textId="5F524044"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Referente GPC y Protocolos</w:t>
            </w:r>
          </w:p>
        </w:tc>
        <w:tc>
          <w:tcPr>
            <w:tcW w:w="1016" w:type="dxa"/>
          </w:tcPr>
          <w:p w14:paraId="46B8DEA2" w14:textId="562626E6" w:rsidR="00434B87" w:rsidRPr="0030077E" w:rsidRDefault="00F638D5"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31</w:t>
            </w:r>
            <w:r w:rsidR="004A7950">
              <w:rPr>
                <w:rFonts w:asciiTheme="majorHAnsi" w:hAnsiTheme="majorHAnsi" w:cstheme="majorHAnsi"/>
                <w:sz w:val="20"/>
                <w:szCs w:val="24"/>
                <w:lang w:val="es-CO"/>
              </w:rPr>
              <w:t>/</w:t>
            </w:r>
            <w:r>
              <w:rPr>
                <w:rFonts w:asciiTheme="majorHAnsi" w:hAnsiTheme="majorHAnsi" w:cstheme="majorHAnsi"/>
                <w:sz w:val="20"/>
                <w:szCs w:val="24"/>
                <w:lang w:val="es-CO"/>
              </w:rPr>
              <w:t>10</w:t>
            </w:r>
            <w:r w:rsidR="004A7950">
              <w:rPr>
                <w:rFonts w:asciiTheme="majorHAnsi" w:hAnsiTheme="majorHAnsi" w:cstheme="majorHAnsi"/>
                <w:sz w:val="20"/>
                <w:szCs w:val="24"/>
                <w:lang w:val="es-CO"/>
              </w:rPr>
              <w:t>/25</w:t>
            </w:r>
          </w:p>
        </w:tc>
      </w:tr>
      <w:tr w:rsidR="00434B87" w14:paraId="15CADDA4" w14:textId="77777777" w:rsidTr="00AC2244">
        <w:trPr>
          <w:trHeight w:val="20"/>
        </w:trPr>
        <w:tc>
          <w:tcPr>
            <w:tcW w:w="1129" w:type="dxa"/>
            <w:hideMark/>
          </w:tcPr>
          <w:p w14:paraId="1CF222A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APROBÓ</w:t>
            </w:r>
          </w:p>
        </w:tc>
        <w:tc>
          <w:tcPr>
            <w:tcW w:w="3261" w:type="dxa"/>
          </w:tcPr>
          <w:p w14:paraId="1029671F" w14:textId="4D067E4E"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Karin Milena Gamba F</w:t>
            </w:r>
          </w:p>
        </w:tc>
        <w:tc>
          <w:tcPr>
            <w:tcW w:w="3402" w:type="dxa"/>
          </w:tcPr>
          <w:p w14:paraId="1F65D80C" w14:textId="1876E285"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Subgerente científica</w:t>
            </w:r>
          </w:p>
        </w:tc>
        <w:tc>
          <w:tcPr>
            <w:tcW w:w="1016" w:type="dxa"/>
          </w:tcPr>
          <w:p w14:paraId="211DF849" w14:textId="03A6E576" w:rsidR="00434B87" w:rsidRPr="0030077E" w:rsidRDefault="00F638D5"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04</w:t>
            </w:r>
            <w:r w:rsidR="004A7950">
              <w:rPr>
                <w:rFonts w:asciiTheme="majorHAnsi" w:hAnsiTheme="majorHAnsi" w:cstheme="majorHAnsi"/>
                <w:sz w:val="20"/>
                <w:szCs w:val="24"/>
                <w:lang w:val="es-CO"/>
              </w:rPr>
              <w:t>/</w:t>
            </w:r>
            <w:r>
              <w:rPr>
                <w:rFonts w:asciiTheme="majorHAnsi" w:hAnsiTheme="majorHAnsi" w:cstheme="majorHAnsi"/>
                <w:sz w:val="20"/>
                <w:szCs w:val="24"/>
                <w:lang w:val="es-CO"/>
              </w:rPr>
              <w:t>11</w:t>
            </w:r>
            <w:r w:rsidR="004A7950">
              <w:rPr>
                <w:rFonts w:asciiTheme="majorHAnsi" w:hAnsiTheme="majorHAnsi" w:cstheme="majorHAnsi"/>
                <w:sz w:val="20"/>
                <w:szCs w:val="24"/>
                <w:lang w:val="es-CO"/>
              </w:rPr>
              <w:t>/25</w:t>
            </w:r>
          </w:p>
        </w:tc>
      </w:tr>
      <w:bookmarkEnd w:id="0"/>
    </w:tbl>
    <w:p w14:paraId="47347CBF" w14:textId="77777777" w:rsidR="00D9647A" w:rsidRDefault="00D9647A" w:rsidP="00D9647A">
      <w:pPr>
        <w:rPr>
          <w:rFonts w:asciiTheme="majorHAnsi" w:hAnsiTheme="majorHAnsi" w:cstheme="majorHAnsi"/>
          <w:b/>
          <w:bCs/>
          <w:sz w:val="28"/>
          <w:szCs w:val="28"/>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4F871517" w:rsidR="00434B87" w:rsidRPr="00B47C09" w:rsidRDefault="00434B87" w:rsidP="00D444A6">
      <w:pPr>
        <w:pStyle w:val="Textoindependiente"/>
        <w:rPr>
          <w:lang w:val="es-CO"/>
        </w:rPr>
        <w:sectPr w:rsidR="00434B87"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6C30FC" w:rsidRDefault="006C30FC" w:rsidP="006C30FC">
          <w:pPr>
            <w:pStyle w:val="TtuloTDC"/>
            <w:jc w:val="center"/>
            <w:rPr>
              <w:b/>
              <w:bCs/>
              <w:color w:val="auto"/>
              <w:sz w:val="24"/>
              <w:szCs w:val="24"/>
            </w:rPr>
          </w:pPr>
          <w:r w:rsidRPr="006C30FC">
            <w:rPr>
              <w:b/>
              <w:bCs/>
              <w:color w:val="auto"/>
              <w:sz w:val="24"/>
              <w:szCs w:val="24"/>
              <w:lang w:val="es-ES"/>
            </w:rPr>
            <w:t>CONTENIDO</w:t>
          </w:r>
        </w:p>
        <w:p w14:paraId="36B2D1E1" w14:textId="23E86BA3" w:rsidR="00990658" w:rsidRDefault="00FD757D">
          <w:pPr>
            <w:pStyle w:val="TDC1"/>
            <w:tabs>
              <w:tab w:val="left" w:pos="440"/>
              <w:tab w:val="right" w:leader="dot" w:pos="8828"/>
            </w:tabs>
            <w:rPr>
              <w:rFonts w:eastAsiaTheme="minorEastAsia"/>
              <w:noProof/>
              <w:lang w:val="es-CO" w:eastAsia="es-CO"/>
            </w:rPr>
          </w:pPr>
          <w:r>
            <w:fldChar w:fldCharType="begin"/>
          </w:r>
          <w:r>
            <w:instrText xml:space="preserve"> TOC \o "1-3" \h \z \u </w:instrText>
          </w:r>
          <w:r>
            <w:fldChar w:fldCharType="separate"/>
          </w:r>
          <w:hyperlink w:anchor="_Toc208082066" w:history="1">
            <w:r w:rsidR="00990658" w:rsidRPr="006C34BB">
              <w:rPr>
                <w:rStyle w:val="Hipervnculo"/>
                <w:rFonts w:cstheme="minorHAnsi"/>
                <w:noProof/>
              </w:rPr>
              <w:t>1.</w:t>
            </w:r>
            <w:r w:rsidR="00990658">
              <w:rPr>
                <w:rFonts w:eastAsiaTheme="minorEastAsia"/>
                <w:noProof/>
                <w:lang w:val="es-CO" w:eastAsia="es-CO"/>
              </w:rPr>
              <w:tab/>
            </w:r>
            <w:r w:rsidR="00990658" w:rsidRPr="006C34BB">
              <w:rPr>
                <w:rStyle w:val="Hipervnculo"/>
                <w:rFonts w:cstheme="minorHAnsi"/>
                <w:noProof/>
              </w:rPr>
              <w:t>INTRODUCCIÓN</w:t>
            </w:r>
            <w:r w:rsidR="00990658">
              <w:rPr>
                <w:noProof/>
                <w:webHidden/>
              </w:rPr>
              <w:tab/>
            </w:r>
            <w:r w:rsidR="00990658">
              <w:rPr>
                <w:noProof/>
                <w:webHidden/>
              </w:rPr>
              <w:fldChar w:fldCharType="begin"/>
            </w:r>
            <w:r w:rsidR="00990658">
              <w:rPr>
                <w:noProof/>
                <w:webHidden/>
              </w:rPr>
              <w:instrText xml:space="preserve"> PAGEREF _Toc208082066 \h </w:instrText>
            </w:r>
            <w:r w:rsidR="00990658">
              <w:rPr>
                <w:noProof/>
                <w:webHidden/>
              </w:rPr>
            </w:r>
            <w:r w:rsidR="00990658">
              <w:rPr>
                <w:noProof/>
                <w:webHidden/>
              </w:rPr>
              <w:fldChar w:fldCharType="separate"/>
            </w:r>
            <w:r w:rsidR="00990658">
              <w:rPr>
                <w:noProof/>
                <w:webHidden/>
              </w:rPr>
              <w:t>3</w:t>
            </w:r>
            <w:r w:rsidR="00990658">
              <w:rPr>
                <w:noProof/>
                <w:webHidden/>
              </w:rPr>
              <w:fldChar w:fldCharType="end"/>
            </w:r>
          </w:hyperlink>
        </w:p>
        <w:p w14:paraId="052A67E1" w14:textId="200596F6" w:rsidR="00990658" w:rsidRDefault="006615FC">
          <w:pPr>
            <w:pStyle w:val="TDC1"/>
            <w:tabs>
              <w:tab w:val="left" w:pos="440"/>
              <w:tab w:val="right" w:leader="dot" w:pos="8828"/>
            </w:tabs>
            <w:rPr>
              <w:rFonts w:eastAsiaTheme="minorEastAsia"/>
              <w:noProof/>
              <w:lang w:val="es-CO" w:eastAsia="es-CO"/>
            </w:rPr>
          </w:pPr>
          <w:hyperlink w:anchor="_Toc208082067" w:history="1">
            <w:r w:rsidR="00990658" w:rsidRPr="006C34BB">
              <w:rPr>
                <w:rStyle w:val="Hipervnculo"/>
                <w:rFonts w:cstheme="minorHAnsi"/>
                <w:noProof/>
                <w:lang w:val="es-CO"/>
              </w:rPr>
              <w:t>2.</w:t>
            </w:r>
            <w:r w:rsidR="00990658">
              <w:rPr>
                <w:rFonts w:eastAsiaTheme="minorEastAsia"/>
                <w:noProof/>
                <w:lang w:val="es-CO" w:eastAsia="es-CO"/>
              </w:rPr>
              <w:tab/>
            </w:r>
            <w:r w:rsidR="00990658" w:rsidRPr="006C34BB">
              <w:rPr>
                <w:rStyle w:val="Hipervnculo"/>
                <w:rFonts w:cstheme="minorHAnsi"/>
                <w:noProof/>
                <w:lang w:val="es-CO"/>
              </w:rPr>
              <w:t>OBJETIVOS</w:t>
            </w:r>
            <w:r w:rsidR="00990658">
              <w:rPr>
                <w:noProof/>
                <w:webHidden/>
              </w:rPr>
              <w:tab/>
            </w:r>
            <w:r w:rsidR="00990658">
              <w:rPr>
                <w:noProof/>
                <w:webHidden/>
              </w:rPr>
              <w:fldChar w:fldCharType="begin"/>
            </w:r>
            <w:r w:rsidR="00990658">
              <w:rPr>
                <w:noProof/>
                <w:webHidden/>
              </w:rPr>
              <w:instrText xml:space="preserve"> PAGEREF _Toc208082067 \h </w:instrText>
            </w:r>
            <w:r w:rsidR="00990658">
              <w:rPr>
                <w:noProof/>
                <w:webHidden/>
              </w:rPr>
            </w:r>
            <w:r w:rsidR="00990658">
              <w:rPr>
                <w:noProof/>
                <w:webHidden/>
              </w:rPr>
              <w:fldChar w:fldCharType="separate"/>
            </w:r>
            <w:r w:rsidR="00990658">
              <w:rPr>
                <w:noProof/>
                <w:webHidden/>
              </w:rPr>
              <w:t>3</w:t>
            </w:r>
            <w:r w:rsidR="00990658">
              <w:rPr>
                <w:noProof/>
                <w:webHidden/>
              </w:rPr>
              <w:fldChar w:fldCharType="end"/>
            </w:r>
          </w:hyperlink>
        </w:p>
        <w:p w14:paraId="46DFCCA0" w14:textId="0A08CA69" w:rsidR="00990658" w:rsidRDefault="006615FC">
          <w:pPr>
            <w:pStyle w:val="TDC2"/>
            <w:tabs>
              <w:tab w:val="left" w:pos="880"/>
              <w:tab w:val="right" w:leader="dot" w:pos="8828"/>
            </w:tabs>
            <w:rPr>
              <w:rFonts w:eastAsiaTheme="minorEastAsia"/>
              <w:noProof/>
              <w:lang w:val="es-CO" w:eastAsia="es-CO"/>
            </w:rPr>
          </w:pPr>
          <w:hyperlink w:anchor="_Toc208082068" w:history="1">
            <w:r w:rsidR="00990658" w:rsidRPr="006C34BB">
              <w:rPr>
                <w:rStyle w:val="Hipervnculo"/>
                <w:rFonts w:cstheme="minorHAnsi"/>
                <w:noProof/>
              </w:rPr>
              <w:t>2.1.</w:t>
            </w:r>
            <w:r w:rsidR="00990658">
              <w:rPr>
                <w:rFonts w:eastAsiaTheme="minorEastAsia"/>
                <w:noProof/>
                <w:lang w:val="es-CO" w:eastAsia="es-CO"/>
              </w:rPr>
              <w:tab/>
            </w:r>
            <w:r w:rsidR="00990658" w:rsidRPr="006C34BB">
              <w:rPr>
                <w:rStyle w:val="Hipervnculo"/>
                <w:rFonts w:cstheme="minorHAnsi"/>
                <w:noProof/>
              </w:rPr>
              <w:t>OBJETIVO GENERAL</w:t>
            </w:r>
            <w:r w:rsidR="00990658">
              <w:rPr>
                <w:noProof/>
                <w:webHidden/>
              </w:rPr>
              <w:tab/>
            </w:r>
            <w:r w:rsidR="00990658">
              <w:rPr>
                <w:noProof/>
                <w:webHidden/>
              </w:rPr>
              <w:fldChar w:fldCharType="begin"/>
            </w:r>
            <w:r w:rsidR="00990658">
              <w:rPr>
                <w:noProof/>
                <w:webHidden/>
              </w:rPr>
              <w:instrText xml:space="preserve"> PAGEREF _Toc208082068 \h </w:instrText>
            </w:r>
            <w:r w:rsidR="00990658">
              <w:rPr>
                <w:noProof/>
                <w:webHidden/>
              </w:rPr>
            </w:r>
            <w:r w:rsidR="00990658">
              <w:rPr>
                <w:noProof/>
                <w:webHidden/>
              </w:rPr>
              <w:fldChar w:fldCharType="separate"/>
            </w:r>
            <w:r w:rsidR="00990658">
              <w:rPr>
                <w:noProof/>
                <w:webHidden/>
              </w:rPr>
              <w:t>3</w:t>
            </w:r>
            <w:r w:rsidR="00990658">
              <w:rPr>
                <w:noProof/>
                <w:webHidden/>
              </w:rPr>
              <w:fldChar w:fldCharType="end"/>
            </w:r>
          </w:hyperlink>
        </w:p>
        <w:p w14:paraId="12B9DE36" w14:textId="57FD9DC0" w:rsidR="00990658" w:rsidRDefault="006615FC">
          <w:pPr>
            <w:pStyle w:val="TDC2"/>
            <w:tabs>
              <w:tab w:val="left" w:pos="880"/>
              <w:tab w:val="right" w:leader="dot" w:pos="8828"/>
            </w:tabs>
            <w:rPr>
              <w:rFonts w:eastAsiaTheme="minorEastAsia"/>
              <w:noProof/>
              <w:lang w:val="es-CO" w:eastAsia="es-CO"/>
            </w:rPr>
          </w:pPr>
          <w:hyperlink w:anchor="_Toc208082069" w:history="1">
            <w:r w:rsidR="00990658" w:rsidRPr="006C34BB">
              <w:rPr>
                <w:rStyle w:val="Hipervnculo"/>
                <w:rFonts w:cstheme="minorHAnsi"/>
                <w:noProof/>
              </w:rPr>
              <w:t>2.2.</w:t>
            </w:r>
            <w:r w:rsidR="00990658">
              <w:rPr>
                <w:rFonts w:eastAsiaTheme="minorEastAsia"/>
                <w:noProof/>
                <w:lang w:val="es-CO" w:eastAsia="es-CO"/>
              </w:rPr>
              <w:tab/>
            </w:r>
            <w:r w:rsidR="00990658" w:rsidRPr="006C34BB">
              <w:rPr>
                <w:rStyle w:val="Hipervnculo"/>
                <w:rFonts w:cstheme="minorHAnsi"/>
                <w:noProof/>
              </w:rPr>
              <w:t>OBJETIVOS ESPECÍFICOS</w:t>
            </w:r>
            <w:r w:rsidR="00990658">
              <w:rPr>
                <w:noProof/>
                <w:webHidden/>
              </w:rPr>
              <w:tab/>
            </w:r>
            <w:r w:rsidR="00990658">
              <w:rPr>
                <w:noProof/>
                <w:webHidden/>
              </w:rPr>
              <w:fldChar w:fldCharType="begin"/>
            </w:r>
            <w:r w:rsidR="00990658">
              <w:rPr>
                <w:noProof/>
                <w:webHidden/>
              </w:rPr>
              <w:instrText xml:space="preserve"> PAGEREF _Toc208082069 \h </w:instrText>
            </w:r>
            <w:r w:rsidR="00990658">
              <w:rPr>
                <w:noProof/>
                <w:webHidden/>
              </w:rPr>
            </w:r>
            <w:r w:rsidR="00990658">
              <w:rPr>
                <w:noProof/>
                <w:webHidden/>
              </w:rPr>
              <w:fldChar w:fldCharType="separate"/>
            </w:r>
            <w:r w:rsidR="00990658">
              <w:rPr>
                <w:noProof/>
                <w:webHidden/>
              </w:rPr>
              <w:t>3</w:t>
            </w:r>
            <w:r w:rsidR="00990658">
              <w:rPr>
                <w:noProof/>
                <w:webHidden/>
              </w:rPr>
              <w:fldChar w:fldCharType="end"/>
            </w:r>
          </w:hyperlink>
        </w:p>
        <w:p w14:paraId="7F8E670D" w14:textId="2535CCED" w:rsidR="00990658" w:rsidRDefault="006615FC">
          <w:pPr>
            <w:pStyle w:val="TDC1"/>
            <w:tabs>
              <w:tab w:val="left" w:pos="440"/>
              <w:tab w:val="right" w:leader="dot" w:pos="8828"/>
            </w:tabs>
            <w:rPr>
              <w:rFonts w:eastAsiaTheme="minorEastAsia"/>
              <w:noProof/>
              <w:lang w:val="es-CO" w:eastAsia="es-CO"/>
            </w:rPr>
          </w:pPr>
          <w:hyperlink w:anchor="_Toc208082070" w:history="1">
            <w:r w:rsidR="00990658" w:rsidRPr="006C34BB">
              <w:rPr>
                <w:rStyle w:val="Hipervnculo"/>
                <w:rFonts w:cstheme="minorHAnsi"/>
                <w:noProof/>
                <w:lang w:val="es-CO"/>
              </w:rPr>
              <w:t>3.</w:t>
            </w:r>
            <w:r w:rsidR="00990658">
              <w:rPr>
                <w:rFonts w:eastAsiaTheme="minorEastAsia"/>
                <w:noProof/>
                <w:lang w:val="es-CO" w:eastAsia="es-CO"/>
              </w:rPr>
              <w:tab/>
            </w:r>
            <w:r w:rsidR="00990658" w:rsidRPr="006C34BB">
              <w:rPr>
                <w:rStyle w:val="Hipervnculo"/>
                <w:rFonts w:cstheme="minorHAnsi"/>
                <w:noProof/>
                <w:lang w:val="es-CO"/>
              </w:rPr>
              <w:t>ALCANCE</w:t>
            </w:r>
            <w:r w:rsidR="00990658">
              <w:rPr>
                <w:noProof/>
                <w:webHidden/>
              </w:rPr>
              <w:tab/>
            </w:r>
            <w:r w:rsidR="00990658">
              <w:rPr>
                <w:noProof/>
                <w:webHidden/>
              </w:rPr>
              <w:fldChar w:fldCharType="begin"/>
            </w:r>
            <w:r w:rsidR="00990658">
              <w:rPr>
                <w:noProof/>
                <w:webHidden/>
              </w:rPr>
              <w:instrText xml:space="preserve"> PAGEREF _Toc208082070 \h </w:instrText>
            </w:r>
            <w:r w:rsidR="00990658">
              <w:rPr>
                <w:noProof/>
                <w:webHidden/>
              </w:rPr>
            </w:r>
            <w:r w:rsidR="00990658">
              <w:rPr>
                <w:noProof/>
                <w:webHidden/>
              </w:rPr>
              <w:fldChar w:fldCharType="separate"/>
            </w:r>
            <w:r w:rsidR="00990658">
              <w:rPr>
                <w:noProof/>
                <w:webHidden/>
              </w:rPr>
              <w:t>4</w:t>
            </w:r>
            <w:r w:rsidR="00990658">
              <w:rPr>
                <w:noProof/>
                <w:webHidden/>
              </w:rPr>
              <w:fldChar w:fldCharType="end"/>
            </w:r>
          </w:hyperlink>
        </w:p>
        <w:p w14:paraId="151448B9" w14:textId="3374C7D2" w:rsidR="00990658" w:rsidRDefault="006615FC">
          <w:pPr>
            <w:pStyle w:val="TDC1"/>
            <w:tabs>
              <w:tab w:val="right" w:leader="dot" w:pos="8828"/>
            </w:tabs>
            <w:rPr>
              <w:rFonts w:eastAsiaTheme="minorEastAsia"/>
              <w:noProof/>
              <w:lang w:val="es-CO" w:eastAsia="es-CO"/>
            </w:rPr>
          </w:pPr>
          <w:hyperlink w:anchor="_Toc208082071" w:history="1">
            <w:r w:rsidR="00990658" w:rsidRPr="006C34BB">
              <w:rPr>
                <w:rStyle w:val="Hipervnculo"/>
                <w:rFonts w:cstheme="minorHAnsi"/>
                <w:noProof/>
                <w:lang w:val="es-CO"/>
              </w:rPr>
              <w:t>4. METODOLOGÍA</w:t>
            </w:r>
            <w:r w:rsidR="00990658">
              <w:rPr>
                <w:noProof/>
                <w:webHidden/>
              </w:rPr>
              <w:tab/>
            </w:r>
            <w:r w:rsidR="00990658">
              <w:rPr>
                <w:noProof/>
                <w:webHidden/>
              </w:rPr>
              <w:fldChar w:fldCharType="begin"/>
            </w:r>
            <w:r w:rsidR="00990658">
              <w:rPr>
                <w:noProof/>
                <w:webHidden/>
              </w:rPr>
              <w:instrText xml:space="preserve"> PAGEREF _Toc208082071 \h </w:instrText>
            </w:r>
            <w:r w:rsidR="00990658">
              <w:rPr>
                <w:noProof/>
                <w:webHidden/>
              </w:rPr>
            </w:r>
            <w:r w:rsidR="00990658">
              <w:rPr>
                <w:noProof/>
                <w:webHidden/>
              </w:rPr>
              <w:fldChar w:fldCharType="separate"/>
            </w:r>
            <w:r w:rsidR="00990658">
              <w:rPr>
                <w:noProof/>
                <w:webHidden/>
              </w:rPr>
              <w:t>4</w:t>
            </w:r>
            <w:r w:rsidR="00990658">
              <w:rPr>
                <w:noProof/>
                <w:webHidden/>
              </w:rPr>
              <w:fldChar w:fldCharType="end"/>
            </w:r>
          </w:hyperlink>
        </w:p>
        <w:p w14:paraId="4636A35E" w14:textId="42360B8C" w:rsidR="00990658" w:rsidRDefault="006615FC">
          <w:pPr>
            <w:pStyle w:val="TDC1"/>
            <w:tabs>
              <w:tab w:val="left" w:pos="440"/>
              <w:tab w:val="right" w:leader="dot" w:pos="8828"/>
            </w:tabs>
            <w:rPr>
              <w:rFonts w:eastAsiaTheme="minorEastAsia"/>
              <w:noProof/>
              <w:lang w:val="es-CO" w:eastAsia="es-CO"/>
            </w:rPr>
          </w:pPr>
          <w:hyperlink w:anchor="_Toc208082072" w:history="1">
            <w:r w:rsidR="00990658" w:rsidRPr="006C34BB">
              <w:rPr>
                <w:rStyle w:val="Hipervnculo"/>
                <w:rFonts w:cstheme="minorHAnsi"/>
                <w:noProof/>
                <w:lang w:val="es-CO"/>
              </w:rPr>
              <w:t>5.</w:t>
            </w:r>
            <w:r w:rsidR="00990658">
              <w:rPr>
                <w:rFonts w:eastAsiaTheme="minorEastAsia"/>
                <w:noProof/>
                <w:lang w:val="es-CO" w:eastAsia="es-CO"/>
              </w:rPr>
              <w:tab/>
            </w:r>
            <w:r w:rsidR="00990658" w:rsidRPr="006C34BB">
              <w:rPr>
                <w:rStyle w:val="Hipervnculo"/>
                <w:rFonts w:cstheme="minorHAnsi"/>
                <w:noProof/>
                <w:lang w:val="es-CO"/>
              </w:rPr>
              <w:t>MARCO TEÓRICO Y DEFINICIONES</w:t>
            </w:r>
            <w:r w:rsidR="00990658">
              <w:rPr>
                <w:noProof/>
                <w:webHidden/>
              </w:rPr>
              <w:tab/>
            </w:r>
            <w:r w:rsidR="00990658">
              <w:rPr>
                <w:noProof/>
                <w:webHidden/>
              </w:rPr>
              <w:fldChar w:fldCharType="begin"/>
            </w:r>
            <w:r w:rsidR="00990658">
              <w:rPr>
                <w:noProof/>
                <w:webHidden/>
              </w:rPr>
              <w:instrText xml:space="preserve"> PAGEREF _Toc208082072 \h </w:instrText>
            </w:r>
            <w:r w:rsidR="00990658">
              <w:rPr>
                <w:noProof/>
                <w:webHidden/>
              </w:rPr>
            </w:r>
            <w:r w:rsidR="00990658">
              <w:rPr>
                <w:noProof/>
                <w:webHidden/>
              </w:rPr>
              <w:fldChar w:fldCharType="separate"/>
            </w:r>
            <w:r w:rsidR="00990658">
              <w:rPr>
                <w:noProof/>
                <w:webHidden/>
              </w:rPr>
              <w:t>5</w:t>
            </w:r>
            <w:r w:rsidR="00990658">
              <w:rPr>
                <w:noProof/>
                <w:webHidden/>
              </w:rPr>
              <w:fldChar w:fldCharType="end"/>
            </w:r>
          </w:hyperlink>
        </w:p>
        <w:p w14:paraId="392635E6" w14:textId="3FBD8AA5" w:rsidR="00990658" w:rsidRDefault="006615FC">
          <w:pPr>
            <w:pStyle w:val="TDC1"/>
            <w:tabs>
              <w:tab w:val="left" w:pos="440"/>
              <w:tab w:val="right" w:leader="dot" w:pos="8828"/>
            </w:tabs>
            <w:rPr>
              <w:rFonts w:eastAsiaTheme="minorEastAsia"/>
              <w:noProof/>
              <w:lang w:val="es-CO" w:eastAsia="es-CO"/>
            </w:rPr>
          </w:pPr>
          <w:hyperlink w:anchor="_Toc208082073" w:history="1">
            <w:r w:rsidR="00990658" w:rsidRPr="006C34BB">
              <w:rPr>
                <w:rStyle w:val="Hipervnculo"/>
                <w:noProof/>
              </w:rPr>
              <w:t>6.</w:t>
            </w:r>
            <w:r w:rsidR="00990658">
              <w:rPr>
                <w:rFonts w:eastAsiaTheme="minorEastAsia"/>
                <w:noProof/>
                <w:lang w:val="es-CO" w:eastAsia="es-CO"/>
              </w:rPr>
              <w:tab/>
            </w:r>
            <w:r w:rsidR="00990658" w:rsidRPr="006C34BB">
              <w:rPr>
                <w:rStyle w:val="Hipervnculo"/>
                <w:rFonts w:cstheme="minorHAnsi"/>
                <w:noProof/>
                <w:lang w:val="es-CO"/>
              </w:rPr>
              <w:t>RECOMENDACIONES Y DESCRIPCIÓN DE ACTIVIDADES</w:t>
            </w:r>
            <w:r w:rsidR="00990658">
              <w:rPr>
                <w:noProof/>
                <w:webHidden/>
              </w:rPr>
              <w:tab/>
            </w:r>
            <w:r w:rsidR="00990658">
              <w:rPr>
                <w:noProof/>
                <w:webHidden/>
              </w:rPr>
              <w:fldChar w:fldCharType="begin"/>
            </w:r>
            <w:r w:rsidR="00990658">
              <w:rPr>
                <w:noProof/>
                <w:webHidden/>
              </w:rPr>
              <w:instrText xml:space="preserve"> PAGEREF _Toc208082073 \h </w:instrText>
            </w:r>
            <w:r w:rsidR="00990658">
              <w:rPr>
                <w:noProof/>
                <w:webHidden/>
              </w:rPr>
            </w:r>
            <w:r w:rsidR="00990658">
              <w:rPr>
                <w:noProof/>
                <w:webHidden/>
              </w:rPr>
              <w:fldChar w:fldCharType="separate"/>
            </w:r>
            <w:r w:rsidR="00990658">
              <w:rPr>
                <w:noProof/>
                <w:webHidden/>
              </w:rPr>
              <w:t>6</w:t>
            </w:r>
            <w:r w:rsidR="00990658">
              <w:rPr>
                <w:noProof/>
                <w:webHidden/>
              </w:rPr>
              <w:fldChar w:fldCharType="end"/>
            </w:r>
          </w:hyperlink>
        </w:p>
        <w:p w14:paraId="09EE8FDA" w14:textId="70E4A1D3" w:rsidR="00990658" w:rsidRDefault="006615FC">
          <w:pPr>
            <w:pStyle w:val="TDC1"/>
            <w:tabs>
              <w:tab w:val="left" w:pos="440"/>
              <w:tab w:val="right" w:leader="dot" w:pos="8828"/>
            </w:tabs>
            <w:rPr>
              <w:rFonts w:eastAsiaTheme="minorEastAsia"/>
              <w:noProof/>
              <w:lang w:val="es-CO" w:eastAsia="es-CO"/>
            </w:rPr>
          </w:pPr>
          <w:hyperlink w:anchor="_Toc208082074" w:history="1">
            <w:r w:rsidR="00990658" w:rsidRPr="006C34BB">
              <w:rPr>
                <w:rStyle w:val="Hipervnculo"/>
                <w:rFonts w:cstheme="minorHAnsi"/>
                <w:noProof/>
                <w:lang w:val="es-ES"/>
              </w:rPr>
              <w:t>7.</w:t>
            </w:r>
            <w:r w:rsidR="00990658">
              <w:rPr>
                <w:rFonts w:eastAsiaTheme="minorEastAsia"/>
                <w:noProof/>
                <w:lang w:val="es-CO" w:eastAsia="es-CO"/>
              </w:rPr>
              <w:tab/>
            </w:r>
            <w:r w:rsidR="007F5420">
              <w:rPr>
                <w:rStyle w:val="Hipervnculo"/>
                <w:rFonts w:cstheme="minorHAnsi"/>
                <w:noProof/>
                <w:lang w:val="es-ES"/>
              </w:rPr>
              <w:t>BIBLIOGRAFÍA</w:t>
            </w:r>
            <w:r w:rsidR="00990658">
              <w:rPr>
                <w:noProof/>
                <w:webHidden/>
              </w:rPr>
              <w:tab/>
            </w:r>
            <w:r w:rsidR="00990658">
              <w:rPr>
                <w:noProof/>
                <w:webHidden/>
              </w:rPr>
              <w:fldChar w:fldCharType="begin"/>
            </w:r>
            <w:r w:rsidR="00990658">
              <w:rPr>
                <w:noProof/>
                <w:webHidden/>
              </w:rPr>
              <w:instrText xml:space="preserve"> PAGEREF _Toc208082074 \h </w:instrText>
            </w:r>
            <w:r w:rsidR="00990658">
              <w:rPr>
                <w:noProof/>
                <w:webHidden/>
              </w:rPr>
            </w:r>
            <w:r w:rsidR="00990658">
              <w:rPr>
                <w:noProof/>
                <w:webHidden/>
              </w:rPr>
              <w:fldChar w:fldCharType="separate"/>
            </w:r>
            <w:r w:rsidR="00990658">
              <w:rPr>
                <w:noProof/>
                <w:webHidden/>
              </w:rPr>
              <w:t>8</w:t>
            </w:r>
            <w:r w:rsidR="00990658">
              <w:rPr>
                <w:noProof/>
                <w:webHidden/>
              </w:rPr>
              <w:fldChar w:fldCharType="end"/>
            </w:r>
          </w:hyperlink>
        </w:p>
        <w:p w14:paraId="201142C3" w14:textId="573CEAB0" w:rsidR="00990658" w:rsidRDefault="006615FC">
          <w:pPr>
            <w:pStyle w:val="TDC1"/>
            <w:tabs>
              <w:tab w:val="left" w:pos="440"/>
              <w:tab w:val="right" w:leader="dot" w:pos="8828"/>
            </w:tabs>
            <w:rPr>
              <w:rFonts w:eastAsiaTheme="minorEastAsia"/>
              <w:noProof/>
              <w:lang w:val="es-CO" w:eastAsia="es-CO"/>
            </w:rPr>
          </w:pPr>
          <w:hyperlink w:anchor="_Toc208082075" w:history="1">
            <w:r w:rsidR="00990658" w:rsidRPr="006C34BB">
              <w:rPr>
                <w:rStyle w:val="Hipervnculo"/>
                <w:rFonts w:cstheme="minorHAnsi"/>
                <w:noProof/>
              </w:rPr>
              <w:t>8.</w:t>
            </w:r>
            <w:r w:rsidR="00990658">
              <w:rPr>
                <w:rFonts w:eastAsiaTheme="minorEastAsia"/>
                <w:noProof/>
                <w:lang w:val="es-CO" w:eastAsia="es-CO"/>
              </w:rPr>
              <w:tab/>
            </w:r>
            <w:r w:rsidR="007F5420">
              <w:rPr>
                <w:rStyle w:val="Hipervnculo"/>
                <w:rFonts w:cstheme="minorHAnsi"/>
                <w:noProof/>
                <w:lang w:val="es-ES"/>
              </w:rPr>
              <w:t>ALGORITMO</w:t>
            </w:r>
            <w:r w:rsidR="00990658">
              <w:rPr>
                <w:noProof/>
                <w:webHidden/>
              </w:rPr>
              <w:tab/>
            </w:r>
            <w:r w:rsidR="00990658">
              <w:rPr>
                <w:noProof/>
                <w:webHidden/>
              </w:rPr>
              <w:fldChar w:fldCharType="begin"/>
            </w:r>
            <w:r w:rsidR="00990658">
              <w:rPr>
                <w:noProof/>
                <w:webHidden/>
              </w:rPr>
              <w:instrText xml:space="preserve"> PAGEREF _Toc208082075 \h </w:instrText>
            </w:r>
            <w:r w:rsidR="00990658">
              <w:rPr>
                <w:noProof/>
                <w:webHidden/>
              </w:rPr>
            </w:r>
            <w:r w:rsidR="00990658">
              <w:rPr>
                <w:noProof/>
                <w:webHidden/>
              </w:rPr>
              <w:fldChar w:fldCharType="separate"/>
            </w:r>
            <w:r w:rsidR="00990658">
              <w:rPr>
                <w:noProof/>
                <w:webHidden/>
              </w:rPr>
              <w:t>10</w:t>
            </w:r>
            <w:r w:rsidR="00990658">
              <w:rPr>
                <w:noProof/>
                <w:webHidden/>
              </w:rPr>
              <w:fldChar w:fldCharType="end"/>
            </w:r>
          </w:hyperlink>
        </w:p>
        <w:p w14:paraId="3864B4E8" w14:textId="513AFEE4" w:rsidR="00FD757D" w:rsidRDefault="00FD757D">
          <w:r>
            <w:rPr>
              <w:b/>
              <w:bCs/>
              <w:lang w:val="es-ES"/>
            </w:rPr>
            <w:fldChar w:fldCharType="end"/>
          </w:r>
        </w:p>
      </w:sdtContent>
    </w:sdt>
    <w:p w14:paraId="2F9D6C9E" w14:textId="6DA54AAA" w:rsidR="00A019A7" w:rsidRPr="009B1A51" w:rsidRDefault="006C30FC" w:rsidP="006C30FC">
      <w:pPr>
        <w:pStyle w:val="Ttulo1"/>
        <w:numPr>
          <w:ilvl w:val="0"/>
          <w:numId w:val="4"/>
        </w:numPr>
        <w:rPr>
          <w:rFonts w:asciiTheme="minorHAnsi" w:hAnsiTheme="minorHAnsi" w:cstheme="minorHAnsi"/>
          <w:sz w:val="22"/>
          <w:szCs w:val="22"/>
        </w:rPr>
      </w:pPr>
      <w:r>
        <w:rPr>
          <w:lang w:val="es-CO"/>
        </w:rPr>
        <w:br w:type="page"/>
      </w:r>
      <w:bookmarkStart w:id="1" w:name="_Toc208082066"/>
      <w:r w:rsidR="00DE3EC2" w:rsidRPr="007D4DEB">
        <w:rPr>
          <w:rFonts w:asciiTheme="minorHAnsi" w:hAnsiTheme="minorHAnsi" w:cstheme="minorHAnsi"/>
          <w:szCs w:val="24"/>
        </w:rPr>
        <w:lastRenderedPageBreak/>
        <w:t>INTRODUCCIÓN</w:t>
      </w:r>
      <w:bookmarkEnd w:id="1"/>
    </w:p>
    <w:p w14:paraId="767C0CE5" w14:textId="15E1C052" w:rsidR="00F638D5" w:rsidRPr="00F638D5" w:rsidRDefault="00F638D5" w:rsidP="00F638D5">
      <w:pPr>
        <w:pStyle w:val="NormalWeb"/>
        <w:jc w:val="both"/>
        <w:rPr>
          <w:rFonts w:asciiTheme="minorHAnsi" w:hAnsiTheme="minorHAnsi" w:cstheme="minorHAnsi"/>
          <w:sz w:val="22"/>
          <w:szCs w:val="22"/>
        </w:rPr>
      </w:pPr>
      <w:r w:rsidRPr="00F638D5">
        <w:rPr>
          <w:rFonts w:asciiTheme="minorHAnsi" w:hAnsiTheme="minorHAnsi" w:cstheme="minorHAnsi"/>
          <w:sz w:val="22"/>
          <w:szCs w:val="22"/>
        </w:rPr>
        <w:t>La anafilaxia constituye una emergencia médica potencialmente mortal, caracterizada por una reacción de hipersensibilidad sistémica de inicio súbito que puede comprometer la vía aérea, la respiración y/o la circulación. Aunque clásicamente se asocia con manifestaciones cutáneas, estas pueden estar ausentes en hasta el 20% de los casos, lo que subraya la necesidad de un alto índice de sospecha clínica. Entre las causas más frecuentes en adultos se encuentran las reacciones adversas a medicamentos, especialmente antibióticos betalactámicos, relajantes neuromusculares, medios de contraste, antiinflamatorios no esteroideos y antisépticos como la clorhexidina.</w:t>
      </w:r>
    </w:p>
    <w:p w14:paraId="10079891" w14:textId="77777777" w:rsidR="00F638D5" w:rsidRPr="00F638D5" w:rsidRDefault="00F638D5" w:rsidP="00F638D5">
      <w:pPr>
        <w:spacing w:before="100" w:beforeAutospacing="1" w:after="100" w:afterAutospacing="1" w:line="240" w:lineRule="auto"/>
        <w:rPr>
          <w:rFonts w:eastAsia="Times New Roman" w:cstheme="minorHAnsi"/>
          <w:lang w:val="es-CO" w:eastAsia="es-CO"/>
        </w:rPr>
      </w:pPr>
      <w:r w:rsidRPr="00F638D5">
        <w:rPr>
          <w:rFonts w:eastAsia="Times New Roman" w:cstheme="minorHAnsi"/>
          <w:lang w:val="es-CO" w:eastAsia="es-CO"/>
        </w:rPr>
        <w:t>El reconocimiento precoz y el tratamiento inmediato con adrenalina intramuscular son determinantes para reducir la morbimortalidad asociada. Las guías internacionales (WAO 2020, RCUK 2021, ASCIA 2022) coinciden en que la administración temprana de adrenalina, junto con medidas de soporte y suspensión del agente desencadenante, constituye la intervención más efectiva. Asimismo, enfatizan la necesidad de protocolos institucionales que estandaricen la respuesta ante estos eventos, incluyendo la identificación de anafilaxia refractaria y el acceso oportuno a manejo avanzado.</w:t>
      </w:r>
    </w:p>
    <w:p w14:paraId="0E74B165" w14:textId="77777777" w:rsidR="00F638D5" w:rsidRPr="00F638D5" w:rsidRDefault="00F638D5" w:rsidP="00F638D5">
      <w:pPr>
        <w:spacing w:before="100" w:beforeAutospacing="1" w:after="100" w:afterAutospacing="1" w:line="240" w:lineRule="auto"/>
        <w:rPr>
          <w:rFonts w:eastAsia="Times New Roman" w:cstheme="minorHAnsi"/>
          <w:lang w:val="es-CO" w:eastAsia="es-CO"/>
        </w:rPr>
      </w:pPr>
      <w:r w:rsidRPr="00F638D5">
        <w:rPr>
          <w:rFonts w:eastAsia="Times New Roman" w:cstheme="minorHAnsi"/>
          <w:lang w:val="es-CO" w:eastAsia="es-CO"/>
        </w:rPr>
        <w:t>En el contexto del Hospital Regional de Moniquirá, la implementación de un protocolo de manejo de anafilaxia permite fortalecer la capacidad de respuesta clínica, garantizar la administración inmediata de adrenalina, optimizar la atención inicial y mejorar la seguridad del paciente frente a reacciones graves relacionadas con medicamentos o medios de contraste.</w:t>
      </w:r>
    </w:p>
    <w:p w14:paraId="2983CD01" w14:textId="2B3B60EA" w:rsidR="00B47C09" w:rsidRPr="007D4DEB" w:rsidRDefault="00F4377B" w:rsidP="007D4DEB">
      <w:pPr>
        <w:pStyle w:val="Ttulo1"/>
        <w:numPr>
          <w:ilvl w:val="0"/>
          <w:numId w:val="4"/>
        </w:numPr>
        <w:spacing w:line="276" w:lineRule="auto"/>
        <w:rPr>
          <w:rFonts w:asciiTheme="minorHAnsi" w:hAnsiTheme="minorHAnsi" w:cstheme="minorHAnsi"/>
          <w:szCs w:val="24"/>
          <w:lang w:val="es-CO"/>
        </w:rPr>
      </w:pPr>
      <w:bookmarkStart w:id="2" w:name="_Toc208082067"/>
      <w:r w:rsidRPr="007D4DEB">
        <w:rPr>
          <w:rFonts w:asciiTheme="minorHAnsi" w:hAnsiTheme="minorHAnsi" w:cstheme="minorHAnsi"/>
          <w:szCs w:val="24"/>
          <w:lang w:val="es-CO"/>
        </w:rPr>
        <w:t>OBJETIVOS</w:t>
      </w:r>
      <w:bookmarkEnd w:id="2"/>
    </w:p>
    <w:p w14:paraId="19D0F0F2" w14:textId="436B9393" w:rsidR="00F4377B" w:rsidRPr="009B1A51" w:rsidRDefault="00F4377B" w:rsidP="007D4DEB">
      <w:pPr>
        <w:pStyle w:val="Ttulo2"/>
        <w:numPr>
          <w:ilvl w:val="1"/>
          <w:numId w:val="4"/>
        </w:numPr>
        <w:spacing w:line="276" w:lineRule="auto"/>
        <w:rPr>
          <w:rFonts w:asciiTheme="minorHAnsi" w:hAnsiTheme="minorHAnsi" w:cstheme="minorHAnsi"/>
          <w:sz w:val="22"/>
          <w:szCs w:val="22"/>
        </w:rPr>
      </w:pPr>
      <w:bookmarkStart w:id="3" w:name="_Toc208082068"/>
      <w:r w:rsidRPr="009B1A51">
        <w:rPr>
          <w:rFonts w:asciiTheme="minorHAnsi" w:hAnsiTheme="minorHAnsi" w:cstheme="minorHAnsi"/>
          <w:sz w:val="22"/>
          <w:szCs w:val="22"/>
        </w:rPr>
        <w:t>Objetivo General</w:t>
      </w:r>
      <w:bookmarkEnd w:id="3"/>
    </w:p>
    <w:p w14:paraId="4EBA090F" w14:textId="061F6F2D" w:rsidR="009B1A51" w:rsidRPr="009B1A51" w:rsidRDefault="00F638D5" w:rsidP="007D4DEB">
      <w:pPr>
        <w:pStyle w:val="Textoindependiente"/>
        <w:spacing w:line="276" w:lineRule="auto"/>
        <w:rPr>
          <w:color w:val="000000"/>
        </w:rPr>
      </w:pPr>
      <w:r>
        <w:t>Establecer un protocolo institucional para el reconocimiento temprano, manejo inmediato y seguimiento de pacientes con anafilaxia, garantizando una atención segura, oportuna y basada en la evidencia científica vigente en el Hospital Regional de Moniquirá.</w:t>
      </w:r>
    </w:p>
    <w:p w14:paraId="0E19C4B6" w14:textId="616F19B8" w:rsidR="00A16DF8" w:rsidRPr="009B1A51" w:rsidRDefault="00F4377B" w:rsidP="007D4DEB">
      <w:pPr>
        <w:pStyle w:val="Ttulo2"/>
        <w:numPr>
          <w:ilvl w:val="1"/>
          <w:numId w:val="4"/>
        </w:numPr>
        <w:spacing w:line="276" w:lineRule="auto"/>
        <w:rPr>
          <w:rFonts w:asciiTheme="minorHAnsi" w:hAnsiTheme="minorHAnsi" w:cstheme="minorHAnsi"/>
          <w:sz w:val="22"/>
          <w:szCs w:val="22"/>
        </w:rPr>
      </w:pPr>
      <w:bookmarkStart w:id="4" w:name="_Toc208082069"/>
      <w:r w:rsidRPr="009B1A51">
        <w:rPr>
          <w:rFonts w:asciiTheme="minorHAnsi" w:hAnsiTheme="minorHAnsi" w:cstheme="minorHAnsi"/>
          <w:sz w:val="22"/>
          <w:szCs w:val="22"/>
        </w:rPr>
        <w:t>Objetivos Específicos</w:t>
      </w:r>
      <w:bookmarkEnd w:id="4"/>
    </w:p>
    <w:p w14:paraId="3249B71F" w14:textId="0D794513" w:rsidR="00F638D5" w:rsidRPr="00F638D5" w:rsidRDefault="00F638D5" w:rsidP="00F638D5">
      <w:pPr>
        <w:pStyle w:val="Prrafodelista"/>
        <w:numPr>
          <w:ilvl w:val="0"/>
          <w:numId w:val="41"/>
        </w:numPr>
      </w:pPr>
      <w:r w:rsidRPr="00F638D5">
        <w:t>Estandarizar los criterios diagnósticos y las acciones inmediatas ante una reacción anafiláctica, incluyendo la administración temprana de adrenalina intramuscular como tratamiento de primera línea.</w:t>
      </w:r>
    </w:p>
    <w:p w14:paraId="5102EA4A" w14:textId="79A042B5" w:rsidR="00F638D5" w:rsidRPr="00F638D5" w:rsidRDefault="00F638D5" w:rsidP="00F638D5">
      <w:pPr>
        <w:pStyle w:val="Prrafodelista"/>
        <w:numPr>
          <w:ilvl w:val="0"/>
          <w:numId w:val="41"/>
        </w:numPr>
      </w:pPr>
      <w:r w:rsidRPr="00F638D5">
        <w:t>Fortalecer las competencias del personal asistencial en el manejo inicial, soporte avanzado y seguimiento de pacientes con anafilaxia o anafilaxia refractaria.</w:t>
      </w:r>
    </w:p>
    <w:p w14:paraId="77E30467" w14:textId="7C86EB46" w:rsidR="00F638D5" w:rsidRPr="00F638D5" w:rsidRDefault="00F638D5" w:rsidP="00F638D5">
      <w:pPr>
        <w:pStyle w:val="Prrafodelista"/>
        <w:numPr>
          <w:ilvl w:val="0"/>
          <w:numId w:val="41"/>
        </w:numPr>
      </w:pPr>
      <w:r w:rsidRPr="00F638D5">
        <w:t>Definir los procedimientos de observación, hospitalización y remisión a alergología para el estudio de causas y prevención de recurrencias.</w:t>
      </w:r>
    </w:p>
    <w:p w14:paraId="5B2CD65B" w14:textId="62260030" w:rsidR="00F638D5" w:rsidRPr="00F638D5" w:rsidRDefault="00F638D5" w:rsidP="00F638D5">
      <w:pPr>
        <w:pStyle w:val="Prrafodelista"/>
        <w:numPr>
          <w:ilvl w:val="0"/>
          <w:numId w:val="41"/>
        </w:numPr>
      </w:pPr>
      <w:r w:rsidRPr="00F638D5">
        <w:t>Promover la notificación y el registro institucional de reacciones adversas graves a medicamentos y medios de contraste, contribuyendo a la mejora continua de la seguridad del paciente.</w:t>
      </w:r>
    </w:p>
    <w:p w14:paraId="1900D95C" w14:textId="77777777" w:rsidR="00705A17" w:rsidRPr="00F638D5" w:rsidRDefault="00705A17" w:rsidP="007D4DEB">
      <w:pPr>
        <w:pStyle w:val="Sinespaciado"/>
        <w:spacing w:line="276" w:lineRule="auto"/>
        <w:rPr>
          <w:lang w:val="es-CO"/>
        </w:rPr>
      </w:pPr>
    </w:p>
    <w:p w14:paraId="4A35E199" w14:textId="4461C6BF" w:rsidR="00F4377B" w:rsidRPr="007D4DEB" w:rsidRDefault="003660DF" w:rsidP="00F4377B">
      <w:pPr>
        <w:pStyle w:val="Ttulo1"/>
        <w:numPr>
          <w:ilvl w:val="0"/>
          <w:numId w:val="8"/>
        </w:numPr>
        <w:rPr>
          <w:rFonts w:asciiTheme="minorHAnsi" w:hAnsiTheme="minorHAnsi" w:cstheme="minorHAnsi"/>
          <w:szCs w:val="24"/>
          <w:lang w:val="es-CO"/>
        </w:rPr>
      </w:pPr>
      <w:bookmarkStart w:id="5" w:name="_Toc208082070"/>
      <w:r w:rsidRPr="007D4DEB">
        <w:rPr>
          <w:rFonts w:asciiTheme="minorHAnsi" w:hAnsiTheme="minorHAnsi" w:cstheme="minorHAnsi"/>
          <w:szCs w:val="24"/>
          <w:lang w:val="es-CO"/>
        </w:rPr>
        <w:lastRenderedPageBreak/>
        <w:t>ALCANCE</w:t>
      </w:r>
      <w:bookmarkEnd w:id="5"/>
    </w:p>
    <w:p w14:paraId="37525C61" w14:textId="4A5A2B26" w:rsidR="00F638D5" w:rsidRPr="00F638D5" w:rsidRDefault="009B1A51" w:rsidP="00F638D5">
      <w:pPr>
        <w:pStyle w:val="NormalWeb"/>
        <w:jc w:val="both"/>
        <w:rPr>
          <w:rFonts w:asciiTheme="minorHAnsi" w:hAnsiTheme="minorHAnsi" w:cstheme="minorHAnsi"/>
          <w:sz w:val="22"/>
          <w:szCs w:val="22"/>
        </w:rPr>
      </w:pPr>
      <w:r w:rsidRPr="00F638D5">
        <w:rPr>
          <w:rFonts w:asciiTheme="minorHAnsi" w:hAnsiTheme="minorHAnsi" w:cstheme="minorHAnsi"/>
          <w:sz w:val="22"/>
          <w:szCs w:val="22"/>
        </w:rPr>
        <w:t>Est</w:t>
      </w:r>
      <w:r w:rsidR="00F638D5" w:rsidRPr="00F638D5">
        <w:rPr>
          <w:rFonts w:asciiTheme="minorHAnsi" w:hAnsiTheme="minorHAnsi" w:cstheme="minorHAnsi"/>
          <w:sz w:val="22"/>
          <w:szCs w:val="22"/>
        </w:rPr>
        <w:t>e protocolo aplica a todos los servicios del Hospital Regional de Moniquirá involucrados en la atención inicial, estabilización y manejo de pacientes con sospecha o diagnóstico confirmado de anafilaxia. Su implementación abarca desde el momento de la identificación del cuadro clínico compatible con reacción anafiláctica, incluyendo las acciones inmediatas en cualquier área asistencial (urgencias, hospitalización, quirófano, consulta externa, imagenología o atención extramural), hasta la observación, tratamiento, seguimiento y remisión a especialidades pertinentes.</w:t>
      </w:r>
    </w:p>
    <w:p w14:paraId="6DAED392" w14:textId="77777777" w:rsidR="00F638D5" w:rsidRPr="00F638D5" w:rsidRDefault="00F638D5" w:rsidP="00F638D5">
      <w:pPr>
        <w:pStyle w:val="NormalWeb"/>
        <w:jc w:val="both"/>
        <w:rPr>
          <w:rFonts w:asciiTheme="minorHAnsi" w:hAnsiTheme="minorHAnsi" w:cstheme="minorHAnsi"/>
          <w:sz w:val="22"/>
          <w:szCs w:val="22"/>
        </w:rPr>
      </w:pPr>
      <w:r w:rsidRPr="00F638D5">
        <w:rPr>
          <w:rFonts w:asciiTheme="minorHAnsi" w:hAnsiTheme="minorHAnsi" w:cstheme="minorHAnsi"/>
          <w:sz w:val="22"/>
          <w:szCs w:val="22"/>
        </w:rPr>
        <w:t>El protocolo está dirigido a todo el personal de salud que participa en la atención de pacientes dentro de la institución, incluyendo médicos, enfermeros, personal de apoyo diagnóstico, de farmacia, y personal administrativo vinculado con el manejo de medicamentos o medios de contraste. Su propósito es garantizar una respuesta coordinada, oportuna y segura ante los casos de anafilaxia, basada en la mejor evidencia científica disponible y en los lineamientos de las guías internacionales vigentes</w:t>
      </w:r>
    </w:p>
    <w:p w14:paraId="526114AA" w14:textId="3111195E" w:rsidR="00F4377B" w:rsidRDefault="00F4377B" w:rsidP="007D4DEB">
      <w:pPr>
        <w:pStyle w:val="Ttulo1"/>
        <w:numPr>
          <w:ilvl w:val="0"/>
          <w:numId w:val="8"/>
        </w:numPr>
        <w:rPr>
          <w:rFonts w:asciiTheme="minorHAnsi" w:hAnsiTheme="minorHAnsi" w:cstheme="minorHAnsi"/>
          <w:szCs w:val="24"/>
          <w:lang w:val="es-CO"/>
        </w:rPr>
      </w:pPr>
      <w:bookmarkStart w:id="6" w:name="_Toc208082071"/>
      <w:r w:rsidRPr="007D4DEB">
        <w:rPr>
          <w:rFonts w:asciiTheme="minorHAnsi" w:hAnsiTheme="minorHAnsi" w:cstheme="minorHAnsi"/>
          <w:szCs w:val="24"/>
          <w:lang w:val="es-CO"/>
        </w:rPr>
        <w:t>metodología</w:t>
      </w:r>
      <w:bookmarkEnd w:id="6"/>
    </w:p>
    <w:p w14:paraId="12B3004B" w14:textId="7B68E30B" w:rsidR="003B6E34" w:rsidRPr="003B6E34" w:rsidRDefault="003B6E34" w:rsidP="003B6E34">
      <w:pPr>
        <w:pStyle w:val="NormalWeb"/>
        <w:jc w:val="both"/>
        <w:rPr>
          <w:rFonts w:asciiTheme="minorHAnsi" w:hAnsiTheme="minorHAnsi" w:cstheme="minorHAnsi"/>
          <w:sz w:val="22"/>
          <w:szCs w:val="22"/>
        </w:rPr>
      </w:pPr>
      <w:r w:rsidRPr="003B6E34">
        <w:rPr>
          <w:rFonts w:asciiTheme="minorHAnsi" w:hAnsiTheme="minorHAnsi" w:cstheme="minorHAnsi"/>
          <w:sz w:val="22"/>
          <w:szCs w:val="22"/>
        </w:rPr>
        <w:t xml:space="preserve">Para la elaboración del </w:t>
      </w:r>
      <w:r>
        <w:rPr>
          <w:rFonts w:asciiTheme="minorHAnsi" w:hAnsiTheme="minorHAnsi" w:cstheme="minorHAnsi"/>
          <w:sz w:val="22"/>
          <w:szCs w:val="22"/>
        </w:rPr>
        <w:t xml:space="preserve">presente </w:t>
      </w:r>
      <w:r w:rsidRPr="003B6E34">
        <w:rPr>
          <w:rFonts w:asciiTheme="minorHAnsi" w:hAnsiTheme="minorHAnsi" w:cstheme="minorHAnsi"/>
          <w:sz w:val="22"/>
          <w:szCs w:val="22"/>
        </w:rPr>
        <w:t xml:space="preserve">protocolo institucional, se realizó una búsqueda sistemática y estructurada de literatura científica, con el objetivo de identificar guías de práctica clínica y documentos técnicos de organismos internacionales reconocidos. Entre las fuentes consultadas se incluyeron las guías de la </w:t>
      </w:r>
      <w:r w:rsidRPr="003B6E34">
        <w:rPr>
          <w:rStyle w:val="nfasis"/>
          <w:rFonts w:asciiTheme="minorHAnsi" w:hAnsiTheme="minorHAnsi" w:cstheme="minorHAnsi"/>
          <w:sz w:val="22"/>
          <w:szCs w:val="22"/>
        </w:rPr>
        <w:t>World Allergy Organization (WAO 2020)</w:t>
      </w:r>
      <w:r w:rsidRPr="003B6E34">
        <w:rPr>
          <w:rFonts w:asciiTheme="minorHAnsi" w:hAnsiTheme="minorHAnsi" w:cstheme="minorHAnsi"/>
          <w:sz w:val="22"/>
          <w:szCs w:val="22"/>
        </w:rPr>
        <w:t xml:space="preserve">, el </w:t>
      </w:r>
      <w:r w:rsidRPr="003B6E34">
        <w:rPr>
          <w:rStyle w:val="nfasis"/>
          <w:rFonts w:asciiTheme="minorHAnsi" w:hAnsiTheme="minorHAnsi" w:cstheme="minorHAnsi"/>
          <w:sz w:val="22"/>
          <w:szCs w:val="22"/>
        </w:rPr>
        <w:t>Resuscitation Council UK (RCUK 2021)</w:t>
      </w:r>
      <w:r w:rsidRPr="003B6E34">
        <w:rPr>
          <w:rFonts w:asciiTheme="minorHAnsi" w:hAnsiTheme="minorHAnsi" w:cstheme="minorHAnsi"/>
          <w:sz w:val="22"/>
          <w:szCs w:val="22"/>
        </w:rPr>
        <w:t xml:space="preserve">, y la </w:t>
      </w:r>
      <w:r w:rsidRPr="003B6E34">
        <w:rPr>
          <w:rStyle w:val="nfasis"/>
          <w:rFonts w:asciiTheme="minorHAnsi" w:hAnsiTheme="minorHAnsi" w:cstheme="minorHAnsi"/>
          <w:sz w:val="22"/>
          <w:szCs w:val="22"/>
        </w:rPr>
        <w:t>Australasian Society of Clinical Immunology and Allergy (ASCIA 2022)</w:t>
      </w:r>
      <w:r w:rsidRPr="003B6E34">
        <w:rPr>
          <w:rFonts w:asciiTheme="minorHAnsi" w:hAnsiTheme="minorHAnsi" w:cstheme="minorHAnsi"/>
          <w:sz w:val="22"/>
          <w:szCs w:val="22"/>
        </w:rPr>
        <w:t>, además de revisiones recientes sobre hipersensibilidad medicamentosa y seguridad del paciente.</w:t>
      </w:r>
    </w:p>
    <w:p w14:paraId="781F02B4" w14:textId="77777777" w:rsidR="003B6E34" w:rsidRPr="003B6E34" w:rsidRDefault="003B6E34" w:rsidP="003B6E34">
      <w:pPr>
        <w:pStyle w:val="NormalWeb"/>
        <w:jc w:val="both"/>
        <w:rPr>
          <w:rFonts w:asciiTheme="minorHAnsi" w:hAnsiTheme="minorHAnsi" w:cstheme="minorHAnsi"/>
          <w:sz w:val="22"/>
          <w:szCs w:val="22"/>
        </w:rPr>
      </w:pPr>
      <w:r w:rsidRPr="003B6E34">
        <w:rPr>
          <w:rFonts w:asciiTheme="minorHAnsi" w:hAnsiTheme="minorHAnsi" w:cstheme="minorHAnsi"/>
          <w:sz w:val="22"/>
          <w:szCs w:val="22"/>
        </w:rPr>
        <w:t>Los documentos seleccionados fueron sometidos a lectura crítica, valorando su calidad metodológica, nivel de evidencia y aplicabilidad en el contexto hospitalario. A partir de este análisis, se adaptaron las recomendaciones diagnósticas, terapéuticas y de seguimiento que resultan más pertinentes para el manejo integral de pacientes con anafilaxia dentro de la institución.</w:t>
      </w:r>
    </w:p>
    <w:p w14:paraId="58B79BD7" w14:textId="77777777" w:rsidR="003B6E34" w:rsidRPr="003B6E34" w:rsidRDefault="003B6E34" w:rsidP="003B6E34">
      <w:pPr>
        <w:pStyle w:val="NormalWeb"/>
        <w:jc w:val="both"/>
        <w:rPr>
          <w:rFonts w:asciiTheme="minorHAnsi" w:hAnsiTheme="minorHAnsi" w:cstheme="minorHAnsi"/>
          <w:sz w:val="22"/>
          <w:szCs w:val="22"/>
        </w:rPr>
      </w:pPr>
      <w:r w:rsidRPr="003B6E34">
        <w:rPr>
          <w:rFonts w:asciiTheme="minorHAnsi" w:hAnsiTheme="minorHAnsi" w:cstheme="minorHAnsi"/>
          <w:sz w:val="22"/>
          <w:szCs w:val="22"/>
        </w:rPr>
        <w:t>Finalmente, en septiembre de 2025 se llevó a cabo un consenso institucional con la participación de los servicios de urgencias, hospitalización, radiología, anestesia, farmacia y enfermería, con el propósito de revisar, ajustar y aprobar las acciones y responsabilidades definidas en el protocolo. Este proceso buscó garantizar una respuesta coordinada y estandarizada ante reacciones anafilácticas o adversas graves, enmarcada en la mejora continua de la seguridad del paciente.</w:t>
      </w:r>
    </w:p>
    <w:p w14:paraId="69E4B33C" w14:textId="16E2690A" w:rsidR="00E34B6E" w:rsidRDefault="00E34B6E" w:rsidP="003B6E34">
      <w:pPr>
        <w:pStyle w:val="Textoindependiente"/>
        <w:spacing w:line="276" w:lineRule="auto"/>
        <w:rPr>
          <w:lang w:val="es-CO"/>
        </w:rPr>
      </w:pPr>
    </w:p>
    <w:p w14:paraId="75FB31F3" w14:textId="01A0ED9A" w:rsidR="007D4DEB" w:rsidRDefault="007D4DEB" w:rsidP="007D4DEB">
      <w:pPr>
        <w:pStyle w:val="Textoindependiente"/>
        <w:spacing w:line="276" w:lineRule="auto"/>
        <w:rPr>
          <w:lang w:val="es-CO"/>
        </w:rPr>
      </w:pPr>
    </w:p>
    <w:p w14:paraId="15C7E96A" w14:textId="19F7E860" w:rsidR="007D4DEB" w:rsidRDefault="007D4DEB" w:rsidP="007D4DEB">
      <w:pPr>
        <w:pStyle w:val="Textoindependiente"/>
        <w:spacing w:line="276" w:lineRule="auto"/>
        <w:rPr>
          <w:lang w:val="es-CO"/>
        </w:rPr>
      </w:pPr>
    </w:p>
    <w:p w14:paraId="569A7CFF" w14:textId="77777777" w:rsidR="00F638D5" w:rsidRDefault="00F638D5" w:rsidP="007D4DEB">
      <w:pPr>
        <w:pStyle w:val="Textoindependiente"/>
        <w:spacing w:line="276" w:lineRule="auto"/>
        <w:rPr>
          <w:lang w:val="es-CO"/>
        </w:rPr>
      </w:pPr>
    </w:p>
    <w:p w14:paraId="44195E77" w14:textId="016C3875" w:rsidR="00B47C09" w:rsidRPr="007D4DEB" w:rsidRDefault="006572D0" w:rsidP="009B1A51">
      <w:pPr>
        <w:pStyle w:val="Ttulo1"/>
        <w:numPr>
          <w:ilvl w:val="0"/>
          <w:numId w:val="23"/>
        </w:numPr>
        <w:rPr>
          <w:rFonts w:asciiTheme="minorHAnsi" w:hAnsiTheme="minorHAnsi" w:cstheme="minorHAnsi"/>
          <w:szCs w:val="24"/>
          <w:lang w:val="es-CO"/>
        </w:rPr>
      </w:pPr>
      <w:bookmarkStart w:id="7" w:name="_Toc208082072"/>
      <w:r w:rsidRPr="007D4DEB">
        <w:rPr>
          <w:rFonts w:asciiTheme="minorHAnsi" w:hAnsiTheme="minorHAnsi" w:cstheme="minorHAnsi"/>
          <w:szCs w:val="24"/>
          <w:lang w:val="es-CO"/>
        </w:rPr>
        <w:lastRenderedPageBreak/>
        <w:t xml:space="preserve">MARCO TEÓRICO </w:t>
      </w:r>
      <w:r w:rsidR="002D37BD" w:rsidRPr="007D4DEB">
        <w:rPr>
          <w:rFonts w:asciiTheme="minorHAnsi" w:hAnsiTheme="minorHAnsi" w:cstheme="minorHAnsi"/>
          <w:szCs w:val="24"/>
          <w:lang w:val="es-CO"/>
        </w:rPr>
        <w:t>Y DEFINICIONES</w:t>
      </w:r>
      <w:bookmarkEnd w:id="7"/>
    </w:p>
    <w:tbl>
      <w:tblPr>
        <w:tblStyle w:val="Tablaconcuadrcula"/>
        <w:tblW w:w="10490" w:type="dxa"/>
        <w:tblInd w:w="-856" w:type="dxa"/>
        <w:tblLook w:val="04A0" w:firstRow="1" w:lastRow="0" w:firstColumn="1" w:lastColumn="0" w:noHBand="0" w:noVBand="1"/>
      </w:tblPr>
      <w:tblGrid>
        <w:gridCol w:w="432"/>
        <w:gridCol w:w="1569"/>
        <w:gridCol w:w="7073"/>
        <w:gridCol w:w="1416"/>
      </w:tblGrid>
      <w:tr w:rsidR="00D20199" w:rsidRPr="009B1A51" w14:paraId="173CAB3D" w14:textId="086F1FA0" w:rsidTr="00E831D2">
        <w:tc>
          <w:tcPr>
            <w:tcW w:w="432" w:type="dxa"/>
            <w:shd w:val="clear" w:color="auto" w:fill="A8D08D" w:themeFill="accent6" w:themeFillTint="99"/>
            <w:vAlign w:val="center"/>
          </w:tcPr>
          <w:p w14:paraId="46A9389A" w14:textId="403CE3F0"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ID</w:t>
            </w:r>
          </w:p>
        </w:tc>
        <w:tc>
          <w:tcPr>
            <w:tcW w:w="1569" w:type="dxa"/>
            <w:shd w:val="clear" w:color="auto" w:fill="A8D08D" w:themeFill="accent6" w:themeFillTint="99"/>
          </w:tcPr>
          <w:p w14:paraId="64ED4568" w14:textId="6E522DDB"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T</w:t>
            </w:r>
            <w:r w:rsidR="00610A3F" w:rsidRPr="007D4DEB">
              <w:rPr>
                <w:rFonts w:cstheme="minorHAnsi"/>
                <w:b/>
                <w:bCs/>
                <w:sz w:val="24"/>
                <w:szCs w:val="24"/>
                <w:lang w:val="es-CO"/>
              </w:rPr>
              <w:t>é</w:t>
            </w:r>
            <w:r w:rsidRPr="007D4DEB">
              <w:rPr>
                <w:rFonts w:cstheme="minorHAnsi"/>
                <w:b/>
                <w:bCs/>
                <w:sz w:val="24"/>
                <w:szCs w:val="24"/>
                <w:lang w:val="es-CO"/>
              </w:rPr>
              <w:t>rmino</w:t>
            </w:r>
          </w:p>
        </w:tc>
        <w:tc>
          <w:tcPr>
            <w:tcW w:w="7073" w:type="dxa"/>
            <w:shd w:val="clear" w:color="auto" w:fill="A8D08D" w:themeFill="accent6" w:themeFillTint="99"/>
          </w:tcPr>
          <w:p w14:paraId="7D8CA256" w14:textId="59F96BA4"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Definición</w:t>
            </w:r>
          </w:p>
        </w:tc>
        <w:tc>
          <w:tcPr>
            <w:tcW w:w="1416" w:type="dxa"/>
            <w:shd w:val="clear" w:color="auto" w:fill="A8D08D" w:themeFill="accent6" w:themeFillTint="99"/>
          </w:tcPr>
          <w:p w14:paraId="2A1CEAD5" w14:textId="04E0B441"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Fuente</w:t>
            </w:r>
          </w:p>
        </w:tc>
      </w:tr>
      <w:tr w:rsidR="00A60E60" w:rsidRPr="009B1A51" w14:paraId="55B7681A" w14:textId="3269BF94" w:rsidTr="00E831D2">
        <w:trPr>
          <w:trHeight w:val="1016"/>
        </w:trPr>
        <w:tc>
          <w:tcPr>
            <w:tcW w:w="432" w:type="dxa"/>
            <w:vAlign w:val="center"/>
          </w:tcPr>
          <w:p w14:paraId="0D820F84" w14:textId="2703F46D" w:rsidR="00A60E60" w:rsidRPr="009B1A51" w:rsidRDefault="00A60E60" w:rsidP="007D4DEB">
            <w:pPr>
              <w:spacing w:line="276" w:lineRule="auto"/>
              <w:jc w:val="center"/>
              <w:rPr>
                <w:rFonts w:cstheme="minorHAnsi"/>
                <w:b/>
                <w:bCs/>
                <w:lang w:val="es-CO"/>
              </w:rPr>
            </w:pPr>
            <w:r w:rsidRPr="009B1A51">
              <w:rPr>
                <w:rFonts w:cstheme="minorHAnsi"/>
                <w:b/>
                <w:bCs/>
                <w:lang w:val="es-CO"/>
              </w:rPr>
              <w:t>1</w:t>
            </w:r>
          </w:p>
        </w:tc>
        <w:tc>
          <w:tcPr>
            <w:tcW w:w="1569" w:type="dxa"/>
          </w:tcPr>
          <w:p w14:paraId="5199F1F3" w14:textId="0274D93C" w:rsidR="00A60E60" w:rsidRPr="007D4DEB" w:rsidRDefault="00E831D2" w:rsidP="007D4DEB">
            <w:pPr>
              <w:spacing w:line="276" w:lineRule="auto"/>
              <w:jc w:val="center"/>
              <w:rPr>
                <w:rFonts w:cstheme="minorHAnsi"/>
                <w:b/>
                <w:bCs/>
                <w:lang w:val="es-CO"/>
              </w:rPr>
            </w:pPr>
            <w:r>
              <w:rPr>
                <w:rFonts w:cstheme="minorHAnsi"/>
                <w:b/>
                <w:bCs/>
                <w:lang w:val="es-CO"/>
              </w:rPr>
              <w:t>Anafilaxia</w:t>
            </w:r>
          </w:p>
        </w:tc>
        <w:tc>
          <w:tcPr>
            <w:tcW w:w="7073" w:type="dxa"/>
          </w:tcPr>
          <w:p w14:paraId="72BF3F77" w14:textId="77777777" w:rsidR="00A60E60" w:rsidRDefault="00E831D2" w:rsidP="00E831D2">
            <w:pPr>
              <w:rPr>
                <w:lang w:val="es-CO"/>
              </w:rPr>
            </w:pPr>
            <w:r w:rsidRPr="00573535">
              <w:rPr>
                <w:lang w:val="es-CO"/>
              </w:rPr>
              <w:t xml:space="preserve">La anafilaxia es una reacción de hipersensibilidad sistémica grave, de inicio súbito y potencialmente mortal, caracterizada por compromiso de vía aérea, respiración y/o circulación, pudiendo ocurrir sin manifestaciones cutáneas en 10–20% de los casos (RCUK 2021, WAO 2020). </w:t>
            </w:r>
          </w:p>
          <w:p w14:paraId="503BF2DE" w14:textId="77777777" w:rsidR="00FC497D" w:rsidRDefault="00FC497D" w:rsidP="00E831D2">
            <w:pPr>
              <w:rPr>
                <w:rFonts w:cstheme="minorHAnsi"/>
                <w:lang w:val="es-CO"/>
              </w:rPr>
            </w:pPr>
          </w:p>
          <w:p w14:paraId="26E117B3" w14:textId="77777777" w:rsidR="00FC497D" w:rsidRPr="00573535" w:rsidRDefault="00FC497D" w:rsidP="00FC497D">
            <w:pPr>
              <w:pStyle w:val="Sinespaciado"/>
              <w:jc w:val="left"/>
              <w:rPr>
                <w:lang w:val="es-CO"/>
              </w:rPr>
            </w:pPr>
            <w:r w:rsidRPr="00573535">
              <w:rPr>
                <w:lang w:val="es-CO"/>
              </w:rPr>
              <w:t>Se considera anafilaxia si ocurre:</w:t>
            </w:r>
            <w:r w:rsidRPr="00573535">
              <w:rPr>
                <w:lang w:val="es-CO"/>
              </w:rPr>
              <w:br/>
              <w:t>- Inicio agudo (minutos-horas) con compromiso cutáneo/mucoso + compromiso respiratorio o cardiovascular (WAO 2020, ASCIA 2022).</w:t>
            </w:r>
            <w:r w:rsidRPr="00573535">
              <w:rPr>
                <w:lang w:val="es-CO"/>
              </w:rPr>
              <w:br/>
              <w:t>- Hipotensión, broncoespasmo o compromiso laríngeo tras exposición a alérgeno probable, incluso sin manifestaciones cutáneas (RCUK 2021).</w:t>
            </w:r>
            <w:r w:rsidRPr="00573535">
              <w:rPr>
                <w:lang w:val="es-CO"/>
              </w:rPr>
              <w:br/>
            </w:r>
            <w:r w:rsidRPr="00573535">
              <w:rPr>
                <w:lang w:val="es-CO"/>
              </w:rPr>
              <w:br/>
              <w:t>Manifestaciones clínicas:</w:t>
            </w:r>
            <w:r w:rsidRPr="00573535">
              <w:rPr>
                <w:lang w:val="es-CO"/>
              </w:rPr>
              <w:br/>
              <w:t>• Respiratorio: estridor, broncoespasmo, disnea, hipoxemia.</w:t>
            </w:r>
            <w:r w:rsidRPr="00573535">
              <w:rPr>
                <w:lang w:val="es-CO"/>
              </w:rPr>
              <w:br/>
              <w:t>• Cardiovascular: hipotensión, síncope, colapso, shock.</w:t>
            </w:r>
            <w:r w:rsidRPr="00573535">
              <w:rPr>
                <w:lang w:val="es-CO"/>
              </w:rPr>
              <w:br/>
              <w:t>• Cutáneo/mucoso: urticaria, angioedema, eritema.</w:t>
            </w:r>
            <w:r w:rsidRPr="00573535">
              <w:rPr>
                <w:lang w:val="es-CO"/>
              </w:rPr>
              <w:br/>
              <w:t>• Gastrointestinal: dolor abdominal intenso, vómito repetitivo.</w:t>
            </w:r>
          </w:p>
          <w:p w14:paraId="19E3DD8F" w14:textId="2DF2A1F5" w:rsidR="00FC497D" w:rsidRPr="009B1A51" w:rsidRDefault="00FC497D" w:rsidP="00E831D2">
            <w:pPr>
              <w:rPr>
                <w:rFonts w:cstheme="minorHAnsi"/>
                <w:lang w:val="es-CO"/>
              </w:rPr>
            </w:pPr>
          </w:p>
        </w:tc>
        <w:tc>
          <w:tcPr>
            <w:tcW w:w="1416" w:type="dxa"/>
          </w:tcPr>
          <w:p w14:paraId="1DE74E36" w14:textId="308EE055" w:rsidR="00A60E60" w:rsidRPr="009B1A51" w:rsidRDefault="00E831D2" w:rsidP="007D4DEB">
            <w:pPr>
              <w:jc w:val="center"/>
              <w:rPr>
                <w:rFonts w:cstheme="minorHAnsi"/>
                <w:lang w:val="es-CO"/>
              </w:rPr>
            </w:pPr>
            <w:r w:rsidRPr="00573535">
              <w:rPr>
                <w:lang w:val="es-CO"/>
              </w:rPr>
              <w:t>(RCUK 2021, WAO 2020)</w:t>
            </w:r>
          </w:p>
        </w:tc>
      </w:tr>
      <w:tr w:rsidR="00E831D2" w:rsidRPr="009B1A51" w14:paraId="001BDCBF" w14:textId="77777777" w:rsidTr="00E831D2">
        <w:trPr>
          <w:trHeight w:val="1016"/>
        </w:trPr>
        <w:tc>
          <w:tcPr>
            <w:tcW w:w="432" w:type="dxa"/>
            <w:vAlign w:val="center"/>
          </w:tcPr>
          <w:p w14:paraId="087C852C" w14:textId="47F04C33" w:rsidR="00E831D2" w:rsidRPr="009B1A51" w:rsidRDefault="00E831D2" w:rsidP="007D4DEB">
            <w:pPr>
              <w:spacing w:line="276" w:lineRule="auto"/>
              <w:jc w:val="center"/>
              <w:rPr>
                <w:rFonts w:cstheme="minorHAnsi"/>
                <w:b/>
                <w:bCs/>
                <w:lang w:val="es-CO"/>
              </w:rPr>
            </w:pPr>
            <w:r>
              <w:rPr>
                <w:rFonts w:cstheme="minorHAnsi"/>
                <w:b/>
                <w:bCs/>
                <w:lang w:val="es-CO"/>
              </w:rPr>
              <w:t>2</w:t>
            </w:r>
          </w:p>
        </w:tc>
        <w:tc>
          <w:tcPr>
            <w:tcW w:w="1569" w:type="dxa"/>
          </w:tcPr>
          <w:p w14:paraId="2C0D9D83" w14:textId="0346C0A1" w:rsidR="00E831D2" w:rsidRDefault="00E831D2" w:rsidP="007D4DEB">
            <w:pPr>
              <w:spacing w:line="276" w:lineRule="auto"/>
              <w:jc w:val="center"/>
              <w:rPr>
                <w:rFonts w:cstheme="minorHAnsi"/>
                <w:b/>
                <w:bCs/>
                <w:lang w:val="es-CO"/>
              </w:rPr>
            </w:pPr>
            <w:r>
              <w:rPr>
                <w:rFonts w:cstheme="minorHAnsi"/>
                <w:b/>
                <w:bCs/>
                <w:lang w:val="es-CO"/>
              </w:rPr>
              <w:t>Reacción adversa a medicamento</w:t>
            </w:r>
          </w:p>
        </w:tc>
        <w:tc>
          <w:tcPr>
            <w:tcW w:w="7073" w:type="dxa"/>
          </w:tcPr>
          <w:p w14:paraId="28D9CC13" w14:textId="77777777" w:rsidR="00E831D2" w:rsidRDefault="00E831D2" w:rsidP="00E831D2">
            <w:pPr>
              <w:rPr>
                <w:lang w:val="es-CO"/>
              </w:rPr>
            </w:pPr>
            <w:r w:rsidRPr="00573535">
              <w:rPr>
                <w:lang w:val="es-CO"/>
              </w:rPr>
              <w:t>Las reacciones adversas a medicamentos (RAM) abarcan cualquier evento nocivo no intencionado tras la administración de un fármaco. Se dividen en reacciones predecibles (dependientes de la dosis, relacionadas con el mecanismo de acción) y no predecibles (hipersensibilidad inmunológica o no inmunológica). La anafilaxia representa la forma más grave de hipersensibilidad medicamentosa</w:t>
            </w:r>
            <w:r>
              <w:rPr>
                <w:lang w:val="es-CO"/>
              </w:rPr>
              <w:t>.</w:t>
            </w:r>
          </w:p>
          <w:p w14:paraId="53346B3E" w14:textId="77777777" w:rsidR="00FC497D" w:rsidRDefault="00FC497D" w:rsidP="00E831D2">
            <w:pPr>
              <w:rPr>
                <w:lang w:val="es-CO"/>
              </w:rPr>
            </w:pPr>
          </w:p>
          <w:p w14:paraId="2159692A" w14:textId="77777777" w:rsidR="00FC497D" w:rsidRDefault="00FC497D" w:rsidP="00FC497D">
            <w:pPr>
              <w:jc w:val="left"/>
              <w:rPr>
                <w:lang w:val="es-CO"/>
              </w:rPr>
            </w:pPr>
            <w:r w:rsidRPr="00573535">
              <w:rPr>
                <w:lang w:val="es-CO"/>
              </w:rPr>
              <w:t>En adultos, los medicamentos son una causa predominante de anafilaxia grave y mortalidad. Los más implicados son:</w:t>
            </w:r>
          </w:p>
          <w:p w14:paraId="4D5E9F3E" w14:textId="77777777" w:rsidR="00FC497D" w:rsidRDefault="00FC497D" w:rsidP="00FC497D">
            <w:pPr>
              <w:jc w:val="left"/>
              <w:rPr>
                <w:lang w:val="es-CO"/>
              </w:rPr>
            </w:pPr>
            <w:r w:rsidRPr="00573535">
              <w:rPr>
                <w:lang w:val="es-CO"/>
              </w:rPr>
              <w:br/>
              <w:t>- Antibióticos: betalactámicos (penicilinas, cefalosporinas), teicoplanina (RCUK 2021).</w:t>
            </w:r>
            <w:r w:rsidRPr="00573535">
              <w:rPr>
                <w:lang w:val="es-CO"/>
              </w:rPr>
              <w:br/>
              <w:t>- Relajantes neuromusculares (NMBAs).</w:t>
            </w:r>
            <w:r w:rsidRPr="00573535">
              <w:rPr>
                <w:lang w:val="es-CO"/>
              </w:rPr>
              <w:br/>
              <w:t>- Medios de contraste.</w:t>
            </w:r>
            <w:r w:rsidRPr="00573535">
              <w:rPr>
                <w:lang w:val="es-CO"/>
              </w:rPr>
              <w:br/>
              <w:t>- AINEs.</w:t>
            </w:r>
            <w:r w:rsidRPr="00573535">
              <w:rPr>
                <w:lang w:val="es-CO"/>
              </w:rPr>
              <w:br/>
              <w:t>- Clorhexidina.</w:t>
            </w:r>
          </w:p>
          <w:p w14:paraId="21606ABB" w14:textId="7E243051" w:rsidR="00FC497D" w:rsidRPr="00573535" w:rsidRDefault="00FC497D" w:rsidP="00FC497D">
            <w:pPr>
              <w:jc w:val="left"/>
              <w:rPr>
                <w:lang w:val="es-CO"/>
              </w:rPr>
            </w:pPr>
            <w:r w:rsidRPr="00573535">
              <w:rPr>
                <w:lang w:val="es-CO"/>
              </w:rPr>
              <w:br/>
              <w:t>También se reportan casos con biológicos, quimioterapia, opioides, vancomicina (síndrome de Red Man) y alérgenos emergentes como polietilenglicol (WAO 2020).</w:t>
            </w:r>
          </w:p>
        </w:tc>
        <w:tc>
          <w:tcPr>
            <w:tcW w:w="1416" w:type="dxa"/>
          </w:tcPr>
          <w:p w14:paraId="0AEB4DFF" w14:textId="5C029B5E" w:rsidR="00E831D2" w:rsidRPr="00573535" w:rsidRDefault="00E831D2" w:rsidP="007D4DEB">
            <w:pPr>
              <w:jc w:val="center"/>
              <w:rPr>
                <w:lang w:val="es-CO"/>
              </w:rPr>
            </w:pPr>
            <w:r w:rsidRPr="00573535">
              <w:rPr>
                <w:lang w:val="es-CO"/>
              </w:rPr>
              <w:t>(ASCIA 2022</w:t>
            </w:r>
            <w:r w:rsidR="00E06E2B">
              <w:rPr>
                <w:lang w:val="es-CO"/>
              </w:rPr>
              <w:t xml:space="preserve">, </w:t>
            </w:r>
            <w:r w:rsidR="00E06E2B" w:rsidRPr="00573535">
              <w:rPr>
                <w:lang w:val="es-CO"/>
              </w:rPr>
              <w:t>WAO 2020)</w:t>
            </w:r>
            <w:r w:rsidR="00E06E2B">
              <w:rPr>
                <w:lang w:val="es-CO"/>
              </w:rPr>
              <w:t xml:space="preserve"> </w:t>
            </w:r>
          </w:p>
        </w:tc>
      </w:tr>
    </w:tbl>
    <w:p w14:paraId="585CA2F6" w14:textId="28AED9F6" w:rsidR="00D6434A" w:rsidRDefault="00D6434A" w:rsidP="007D4DEB">
      <w:pPr>
        <w:spacing w:line="276" w:lineRule="auto"/>
        <w:rPr>
          <w:rFonts w:cstheme="minorHAnsi"/>
          <w:lang w:val="es-CO"/>
        </w:rPr>
      </w:pPr>
    </w:p>
    <w:p w14:paraId="4F242D1F" w14:textId="481A50C0" w:rsidR="00C2342F" w:rsidRDefault="00E841B4" w:rsidP="00B233E2">
      <w:pPr>
        <w:pStyle w:val="Ttulo1"/>
        <w:numPr>
          <w:ilvl w:val="0"/>
          <w:numId w:val="23"/>
        </w:numPr>
        <w:rPr>
          <w:rFonts w:asciiTheme="minorHAnsi" w:hAnsiTheme="minorHAnsi" w:cstheme="minorHAnsi"/>
          <w:szCs w:val="24"/>
          <w:lang w:val="es-CO"/>
        </w:rPr>
      </w:pPr>
      <w:bookmarkStart w:id="8" w:name="_Toc208082073"/>
      <w:r w:rsidRPr="007D4DEB">
        <w:rPr>
          <w:rFonts w:asciiTheme="minorHAnsi" w:hAnsiTheme="minorHAnsi" w:cstheme="minorHAnsi"/>
          <w:szCs w:val="24"/>
          <w:lang w:val="es-CO"/>
        </w:rPr>
        <w:t>R</w:t>
      </w:r>
      <w:r w:rsidR="009F1447" w:rsidRPr="007D4DEB">
        <w:rPr>
          <w:rFonts w:asciiTheme="minorHAnsi" w:hAnsiTheme="minorHAnsi" w:cstheme="minorHAnsi"/>
          <w:szCs w:val="24"/>
          <w:lang w:val="es-CO"/>
        </w:rPr>
        <w:t>ecomendaciones y d</w:t>
      </w:r>
      <w:r w:rsidR="00E52CB2" w:rsidRPr="007D4DEB">
        <w:rPr>
          <w:rFonts w:asciiTheme="minorHAnsi" w:hAnsiTheme="minorHAnsi" w:cstheme="minorHAnsi"/>
          <w:szCs w:val="24"/>
          <w:lang w:val="es-CO"/>
        </w:rPr>
        <w:t>ESCRIPCIÓN DE ACTIVIDADES</w:t>
      </w:r>
      <w:bookmarkEnd w:id="8"/>
    </w:p>
    <w:p w14:paraId="34989F08" w14:textId="77777777" w:rsidR="001E1E0C" w:rsidRPr="001E1E0C" w:rsidRDefault="001E1E0C" w:rsidP="001E1E0C">
      <w:pPr>
        <w:rPr>
          <w:lang w:val="es-CO"/>
        </w:rPr>
      </w:pPr>
    </w:p>
    <w:tbl>
      <w:tblPr>
        <w:tblStyle w:val="Tablaconcuadrcula"/>
        <w:tblpPr w:leftFromText="141" w:rightFromText="141" w:vertAnchor="text" w:horzAnchor="page" w:tblpX="762" w:tblpY="358"/>
        <w:tblW w:w="10631" w:type="dxa"/>
        <w:tblLook w:val="04A0" w:firstRow="1" w:lastRow="0" w:firstColumn="1" w:lastColumn="0" w:noHBand="0" w:noVBand="1"/>
      </w:tblPr>
      <w:tblGrid>
        <w:gridCol w:w="433"/>
        <w:gridCol w:w="2619"/>
        <w:gridCol w:w="5613"/>
        <w:gridCol w:w="1966"/>
      </w:tblGrid>
      <w:tr w:rsidR="00C25D15" w:rsidRPr="00C2342F" w14:paraId="50E7B6A0" w14:textId="77777777" w:rsidTr="008F0844">
        <w:trPr>
          <w:trHeight w:val="277"/>
          <w:tblHeader/>
        </w:trPr>
        <w:tc>
          <w:tcPr>
            <w:tcW w:w="433" w:type="dxa"/>
            <w:shd w:val="clear" w:color="auto" w:fill="A8D08D" w:themeFill="accent6" w:themeFillTint="99"/>
            <w:vAlign w:val="center"/>
          </w:tcPr>
          <w:p w14:paraId="7744C425"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lastRenderedPageBreak/>
              <w:t>ID</w:t>
            </w:r>
          </w:p>
        </w:tc>
        <w:tc>
          <w:tcPr>
            <w:tcW w:w="2619" w:type="dxa"/>
            <w:shd w:val="clear" w:color="auto" w:fill="A8D08D" w:themeFill="accent6" w:themeFillTint="99"/>
            <w:vAlign w:val="center"/>
          </w:tcPr>
          <w:p w14:paraId="2425B7DA"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Recomendación</w:t>
            </w:r>
          </w:p>
        </w:tc>
        <w:tc>
          <w:tcPr>
            <w:tcW w:w="5613" w:type="dxa"/>
            <w:shd w:val="clear" w:color="auto" w:fill="A8D08D" w:themeFill="accent6" w:themeFillTint="99"/>
            <w:vAlign w:val="center"/>
          </w:tcPr>
          <w:p w14:paraId="560AFC23"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Actividad/es</w:t>
            </w:r>
          </w:p>
        </w:tc>
        <w:tc>
          <w:tcPr>
            <w:tcW w:w="1966" w:type="dxa"/>
            <w:shd w:val="clear" w:color="auto" w:fill="A8D08D" w:themeFill="accent6" w:themeFillTint="99"/>
          </w:tcPr>
          <w:p w14:paraId="7E77B1AA"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Responsables</w:t>
            </w:r>
          </w:p>
        </w:tc>
      </w:tr>
      <w:tr w:rsidR="008F0844" w:rsidRPr="00C2342F" w14:paraId="46C3D97F" w14:textId="77777777" w:rsidTr="007A7ABE">
        <w:trPr>
          <w:trHeight w:val="277"/>
          <w:tblHeader/>
        </w:trPr>
        <w:tc>
          <w:tcPr>
            <w:tcW w:w="433" w:type="dxa"/>
            <w:shd w:val="clear" w:color="auto" w:fill="auto"/>
            <w:vAlign w:val="center"/>
          </w:tcPr>
          <w:p w14:paraId="106FAA87" w14:textId="627BC6A2" w:rsidR="008F0844" w:rsidRPr="00F507EC" w:rsidRDefault="008F0844" w:rsidP="00C25D15">
            <w:pPr>
              <w:jc w:val="center"/>
              <w:rPr>
                <w:rFonts w:cstheme="minorHAnsi"/>
                <w:b/>
                <w:bCs/>
                <w:sz w:val="24"/>
                <w:szCs w:val="24"/>
                <w:lang w:val="es-CO"/>
              </w:rPr>
            </w:pPr>
            <w:r>
              <w:rPr>
                <w:rFonts w:cstheme="minorHAnsi"/>
                <w:b/>
                <w:bCs/>
                <w:sz w:val="24"/>
                <w:szCs w:val="24"/>
                <w:lang w:val="es-CO"/>
              </w:rPr>
              <w:t>1</w:t>
            </w:r>
          </w:p>
        </w:tc>
        <w:tc>
          <w:tcPr>
            <w:tcW w:w="2619" w:type="dxa"/>
            <w:shd w:val="clear" w:color="auto" w:fill="auto"/>
            <w:vAlign w:val="center"/>
          </w:tcPr>
          <w:p w14:paraId="26EDC37A" w14:textId="557314D8" w:rsidR="008F0844" w:rsidRPr="00F507EC" w:rsidRDefault="007A7ABE" w:rsidP="007A7ABE">
            <w:pPr>
              <w:jc w:val="center"/>
              <w:rPr>
                <w:rFonts w:cstheme="minorHAnsi"/>
                <w:b/>
                <w:bCs/>
                <w:sz w:val="24"/>
                <w:szCs w:val="24"/>
                <w:lang w:val="es-CO"/>
              </w:rPr>
            </w:pPr>
            <w:r>
              <w:t>Ante la sospecha de anafilaxia, se deben ejecutar de manera inmediata las acciones iniciales orientadas a activar de forma oportuna el equipo de respuesta para manejo avanzado, con el fin de prevenir el deterioro hemodinámico y respiratorio.</w:t>
            </w:r>
          </w:p>
        </w:tc>
        <w:tc>
          <w:tcPr>
            <w:tcW w:w="5613" w:type="dxa"/>
            <w:shd w:val="clear" w:color="auto" w:fill="auto"/>
          </w:tcPr>
          <w:p w14:paraId="5B0CD838" w14:textId="77777777" w:rsidR="007A7ABE" w:rsidRDefault="007A7ABE" w:rsidP="007A7ABE">
            <w:pPr>
              <w:pStyle w:val="Sinespaciado"/>
              <w:jc w:val="left"/>
              <w:rPr>
                <w:rFonts w:cstheme="minorHAnsi"/>
                <w:lang w:val="es-CO"/>
              </w:rPr>
            </w:pPr>
            <w:r w:rsidRPr="007A7ABE">
              <w:rPr>
                <w:rFonts w:cstheme="minorHAnsi"/>
                <w:lang w:val="es-CO"/>
              </w:rPr>
              <w:t>1. Suspender inmediatamente la exposición al alérgeno (fármaco, infusión, látex, alimento).</w:t>
            </w:r>
          </w:p>
          <w:p w14:paraId="15C52B4F" w14:textId="77777777" w:rsidR="007A7ABE" w:rsidRDefault="007A7ABE" w:rsidP="007A7ABE">
            <w:pPr>
              <w:pStyle w:val="Sinespaciado"/>
              <w:jc w:val="left"/>
              <w:rPr>
                <w:rFonts w:cstheme="minorHAnsi"/>
                <w:lang w:val="es-CO"/>
              </w:rPr>
            </w:pPr>
            <w:r w:rsidRPr="007A7ABE">
              <w:rPr>
                <w:rFonts w:cstheme="minorHAnsi"/>
                <w:lang w:val="es-CO"/>
              </w:rPr>
              <w:br/>
              <w:t xml:space="preserve">2. Posicionar al paciente: supino con piernas elevadas si hipotenso; </w:t>
            </w:r>
            <w:r w:rsidRPr="007A7ABE">
              <w:rPr>
                <w:rFonts w:cstheme="minorHAnsi"/>
                <w:color w:val="001D35"/>
                <w:shd w:val="clear" w:color="auto" w:fill="FFFFFF"/>
                <w:lang w:val="es-CO"/>
              </w:rPr>
              <w:t xml:space="preserve">semifowler </w:t>
            </w:r>
            <w:r w:rsidRPr="007A7ABE">
              <w:rPr>
                <w:rFonts w:cstheme="minorHAnsi"/>
                <w:lang w:val="es-CO"/>
              </w:rPr>
              <w:t>si predomina dificultad respiratoria; lateral izquierdo en embarazadas (RCUK 2021, ASCIA 2022).</w:t>
            </w:r>
          </w:p>
          <w:p w14:paraId="0A70EF46" w14:textId="48FC6540" w:rsidR="008F0844" w:rsidRPr="007A7ABE" w:rsidRDefault="007A7ABE" w:rsidP="007A7ABE">
            <w:pPr>
              <w:pStyle w:val="Sinespaciado"/>
              <w:jc w:val="left"/>
              <w:rPr>
                <w:rFonts w:cstheme="minorHAnsi"/>
                <w:lang w:val="es-CO"/>
              </w:rPr>
            </w:pPr>
            <w:r w:rsidRPr="007A7ABE">
              <w:rPr>
                <w:rFonts w:cstheme="minorHAnsi"/>
                <w:lang w:val="es-CO"/>
              </w:rPr>
              <w:br/>
              <w:t>3. Activar el equipo de reanimación / código azul</w:t>
            </w:r>
          </w:p>
        </w:tc>
        <w:tc>
          <w:tcPr>
            <w:tcW w:w="1966" w:type="dxa"/>
            <w:shd w:val="clear" w:color="auto" w:fill="auto"/>
          </w:tcPr>
          <w:p w14:paraId="2997FCA4" w14:textId="2A93501B" w:rsidR="008F0844" w:rsidRPr="00F507EC" w:rsidRDefault="007A7ABE" w:rsidP="00C25D15">
            <w:pPr>
              <w:jc w:val="center"/>
              <w:rPr>
                <w:rFonts w:cstheme="minorHAnsi"/>
                <w:b/>
                <w:bCs/>
                <w:sz w:val="24"/>
                <w:szCs w:val="24"/>
                <w:lang w:val="es-CO"/>
              </w:rPr>
            </w:pPr>
            <w:r w:rsidRPr="007A7ABE">
              <w:rPr>
                <w:rFonts w:cstheme="minorHAnsi"/>
                <w:b/>
                <w:bCs/>
                <w:lang w:val="es-CO"/>
              </w:rPr>
              <w:t>Médico general y/o especialista tratante</w:t>
            </w:r>
          </w:p>
        </w:tc>
      </w:tr>
      <w:tr w:rsidR="007A7ABE" w:rsidRPr="00C2342F" w14:paraId="08CF1419" w14:textId="77777777" w:rsidTr="007A7ABE">
        <w:trPr>
          <w:trHeight w:val="277"/>
          <w:tblHeader/>
        </w:trPr>
        <w:tc>
          <w:tcPr>
            <w:tcW w:w="433" w:type="dxa"/>
            <w:shd w:val="clear" w:color="auto" w:fill="auto"/>
            <w:vAlign w:val="center"/>
          </w:tcPr>
          <w:p w14:paraId="072DDE82" w14:textId="0B42AA33" w:rsidR="007A7ABE" w:rsidRDefault="007A7ABE" w:rsidP="00C25D15">
            <w:pPr>
              <w:jc w:val="center"/>
              <w:rPr>
                <w:rFonts w:cstheme="minorHAnsi"/>
                <w:b/>
                <w:bCs/>
                <w:sz w:val="24"/>
                <w:szCs w:val="24"/>
                <w:lang w:val="es-CO"/>
              </w:rPr>
            </w:pPr>
            <w:r>
              <w:rPr>
                <w:rFonts w:cstheme="minorHAnsi"/>
                <w:b/>
                <w:bCs/>
                <w:sz w:val="24"/>
                <w:szCs w:val="24"/>
                <w:lang w:val="es-CO"/>
              </w:rPr>
              <w:t>2</w:t>
            </w:r>
          </w:p>
        </w:tc>
        <w:tc>
          <w:tcPr>
            <w:tcW w:w="2619" w:type="dxa"/>
            <w:shd w:val="clear" w:color="auto" w:fill="auto"/>
          </w:tcPr>
          <w:p w14:paraId="77F1F34C" w14:textId="77777777" w:rsidR="0093228B" w:rsidRDefault="007A7ABE" w:rsidP="007A7ABE">
            <w:pPr>
              <w:jc w:val="center"/>
            </w:pPr>
            <w:r>
              <w:t xml:space="preserve">Administrar </w:t>
            </w:r>
            <w:r>
              <w:rPr>
                <w:rStyle w:val="Textoennegrita"/>
              </w:rPr>
              <w:t>adrenalina intramuscular (IM) de forma inmediata</w:t>
            </w:r>
            <w:r>
              <w:t xml:space="preserve"> ante la sospecha de anafilaxia, repitiendo la dosis cada 5 minutos si persisten los síntomas. </w:t>
            </w:r>
          </w:p>
          <w:p w14:paraId="2C71DB60" w14:textId="77777777" w:rsidR="0093228B" w:rsidRDefault="0093228B" w:rsidP="007A7ABE">
            <w:pPr>
              <w:jc w:val="center"/>
            </w:pPr>
          </w:p>
          <w:p w14:paraId="68262350" w14:textId="77777777" w:rsidR="0093228B" w:rsidRDefault="007A7ABE" w:rsidP="0093228B">
            <w:pPr>
              <w:jc w:val="center"/>
              <w:rPr>
                <w:b/>
                <w:bCs/>
                <w:color w:val="385623" w:themeColor="accent6" w:themeShade="80"/>
              </w:rPr>
            </w:pPr>
            <w:r w:rsidRPr="0093228B">
              <w:rPr>
                <w:b/>
                <w:bCs/>
                <w:color w:val="385623" w:themeColor="accent6" w:themeShade="80"/>
              </w:rPr>
              <w:t xml:space="preserve">La adrenalina es el </w:t>
            </w:r>
            <w:r w:rsidRPr="0093228B">
              <w:rPr>
                <w:rStyle w:val="Textoennegrita"/>
                <w:color w:val="385623" w:themeColor="accent6" w:themeShade="80"/>
              </w:rPr>
              <w:t>tratamiento de primera línea</w:t>
            </w:r>
            <w:r w:rsidRPr="0093228B">
              <w:rPr>
                <w:b/>
                <w:bCs/>
                <w:color w:val="385623" w:themeColor="accent6" w:themeShade="80"/>
              </w:rPr>
              <w:t xml:space="preserve"> y no debe retrasarse ni sustituirse por otros fármacos. </w:t>
            </w:r>
          </w:p>
          <w:p w14:paraId="05BDC93E" w14:textId="485B0D9D" w:rsidR="007A7ABE" w:rsidRPr="0093228B" w:rsidRDefault="007A7ABE" w:rsidP="0093228B">
            <w:pPr>
              <w:jc w:val="center"/>
              <w:rPr>
                <w:b/>
                <w:bCs/>
              </w:rPr>
            </w:pPr>
            <w:r w:rsidRPr="0093228B">
              <w:rPr>
                <w:b/>
                <w:bCs/>
                <w:color w:val="385623" w:themeColor="accent6" w:themeShade="80"/>
                <w:lang w:val="es-CO"/>
              </w:rPr>
              <w:t>(WAO 2020, RCUK 2021, ASCIA 2022).</w:t>
            </w:r>
          </w:p>
        </w:tc>
        <w:tc>
          <w:tcPr>
            <w:tcW w:w="5613" w:type="dxa"/>
            <w:shd w:val="clear" w:color="auto" w:fill="auto"/>
          </w:tcPr>
          <w:p w14:paraId="4C83DBF0" w14:textId="498E7969" w:rsidR="007A7ABE" w:rsidRPr="007A7ABE" w:rsidRDefault="007A7ABE" w:rsidP="007A7ABE">
            <w:pPr>
              <w:rPr>
                <w:u w:val="single"/>
                <w:lang w:val="es-CO"/>
              </w:rPr>
            </w:pPr>
            <w:r w:rsidRPr="007A7ABE">
              <w:rPr>
                <w:b/>
                <w:bCs/>
                <w:u w:val="single"/>
                <w:lang w:val="es-CO"/>
              </w:rPr>
              <w:t>Adrenalina IM (1:1000, 1 mg/mL) en cara anterolateral del muslo así</w:t>
            </w:r>
            <w:r w:rsidRPr="007A7ABE">
              <w:rPr>
                <w:u w:val="single"/>
                <w:lang w:val="es-CO"/>
              </w:rPr>
              <w:t>:</w:t>
            </w:r>
          </w:p>
          <w:p w14:paraId="3FF98BC3" w14:textId="77777777" w:rsidR="007A7ABE" w:rsidRDefault="007A7ABE" w:rsidP="007A7ABE">
            <w:pPr>
              <w:jc w:val="left"/>
              <w:rPr>
                <w:lang w:val="es-CO"/>
              </w:rPr>
            </w:pPr>
            <w:r w:rsidRPr="00573535">
              <w:rPr>
                <w:lang w:val="es-CO"/>
              </w:rPr>
              <w:br/>
              <w:t>- Adultos y &gt;12 años: 0.5 mg.</w:t>
            </w:r>
            <w:r w:rsidRPr="00573535">
              <w:rPr>
                <w:lang w:val="es-CO"/>
              </w:rPr>
              <w:br/>
              <w:t>- 6–12 años: 0.3 mg.</w:t>
            </w:r>
            <w:r w:rsidRPr="00573535">
              <w:rPr>
                <w:lang w:val="es-CO"/>
              </w:rPr>
              <w:br/>
              <w:t>- 6 meses–6 años: 0.15 mg.</w:t>
            </w:r>
            <w:r w:rsidRPr="00573535">
              <w:rPr>
                <w:lang w:val="es-CO"/>
              </w:rPr>
              <w:br/>
              <w:t>- &lt;6 meses: 0.1 mg.</w:t>
            </w:r>
            <w:r w:rsidRPr="00573535">
              <w:rPr>
                <w:lang w:val="es-CO"/>
              </w:rPr>
              <w:br/>
            </w:r>
            <w:r w:rsidRPr="00573535">
              <w:rPr>
                <w:lang w:val="es-CO"/>
              </w:rPr>
              <w:br/>
            </w:r>
            <w:r w:rsidRPr="007A7ABE">
              <w:rPr>
                <w:b/>
                <w:bCs/>
                <w:u w:val="single"/>
                <w:lang w:val="es-CO"/>
              </w:rPr>
              <w:t>Repetición de dosis de adrenalina IM</w:t>
            </w:r>
          </w:p>
          <w:p w14:paraId="1B462F21" w14:textId="68606FDE" w:rsidR="007A7ABE" w:rsidRPr="00573535" w:rsidRDefault="007A7ABE" w:rsidP="007A7ABE">
            <w:pPr>
              <w:jc w:val="left"/>
              <w:rPr>
                <w:lang w:val="es-CO"/>
              </w:rPr>
            </w:pPr>
            <w:r w:rsidRPr="001038BB">
              <w:rPr>
                <w:lang w:val="es-CO"/>
              </w:rPr>
              <w:t>- La adrenalina IM (1:1000, 1 mg/ml) es el tratamiento de primera línea en todas las guías internacionales.</w:t>
            </w:r>
            <w:r w:rsidRPr="001038BB">
              <w:rPr>
                <w:lang w:val="es-CO"/>
              </w:rPr>
              <w:br/>
              <w:t>- Dosis repetidas: cada 5 minutos si los síntomas respiratorios o cardiovasculares persisten o progresan (RCUK 2021, ASCIA 2022).</w:t>
            </w:r>
            <w:r w:rsidRPr="001038BB">
              <w:rPr>
                <w:lang w:val="es-CO"/>
              </w:rPr>
              <w:br/>
              <w:t>- En la práctica clínica se suelen administrar 2–3 dosis IM mientras se activa el manejo avanzado (WAO 2020).</w:t>
            </w:r>
          </w:p>
          <w:p w14:paraId="57D0870D" w14:textId="77777777" w:rsidR="007A7ABE" w:rsidRDefault="007A7ABE" w:rsidP="007A7ABE">
            <w:pPr>
              <w:pStyle w:val="Ttulo2"/>
              <w:jc w:val="left"/>
              <w:outlineLvl w:val="1"/>
              <w:rPr>
                <w:lang w:val="es-CO"/>
              </w:rPr>
            </w:pPr>
          </w:p>
          <w:p w14:paraId="6E8ABD42" w14:textId="4E685FD4" w:rsidR="007A7ABE" w:rsidRDefault="007A7ABE" w:rsidP="007A7ABE">
            <w:pPr>
              <w:pStyle w:val="Ttulo2"/>
              <w:jc w:val="left"/>
              <w:outlineLvl w:val="1"/>
              <w:rPr>
                <w:rFonts w:asciiTheme="minorHAnsi" w:hAnsiTheme="minorHAnsi" w:cstheme="minorHAnsi"/>
                <w:sz w:val="22"/>
                <w:szCs w:val="24"/>
                <w:u w:val="single"/>
                <w:lang w:val="es-CO"/>
              </w:rPr>
            </w:pPr>
            <w:r w:rsidRPr="007A7ABE">
              <w:rPr>
                <w:rFonts w:asciiTheme="minorHAnsi" w:hAnsiTheme="minorHAnsi" w:cstheme="minorHAnsi"/>
                <w:sz w:val="22"/>
                <w:szCs w:val="24"/>
                <w:u w:val="single"/>
                <w:lang w:val="es-CO"/>
              </w:rPr>
              <w:t>Manejo de soporte y medicamentos adyuvantes</w:t>
            </w:r>
          </w:p>
          <w:p w14:paraId="5CDE02D9" w14:textId="1AEB9144" w:rsidR="007A7ABE" w:rsidRPr="007A7ABE" w:rsidRDefault="007A7ABE" w:rsidP="007A7ABE">
            <w:pPr>
              <w:jc w:val="left"/>
              <w:rPr>
                <w:rFonts w:cstheme="minorHAnsi"/>
                <w:lang w:val="es-CO"/>
              </w:rPr>
            </w:pPr>
            <w:r w:rsidRPr="00573535">
              <w:rPr>
                <w:lang w:val="es-CO"/>
              </w:rPr>
              <w:t>Medidas complementarias al uso de adrenalina:</w:t>
            </w:r>
            <w:r w:rsidRPr="00573535">
              <w:rPr>
                <w:lang w:val="es-CO"/>
              </w:rPr>
              <w:br/>
              <w:t>- Oxígeno al 100%.</w:t>
            </w:r>
            <w:r w:rsidRPr="00573535">
              <w:rPr>
                <w:lang w:val="es-CO"/>
              </w:rPr>
              <w:br/>
              <w:t>- Acceso IV grueso y cristaloides 20 ml/kg si hipotensión.</w:t>
            </w:r>
            <w:r w:rsidRPr="00573535">
              <w:rPr>
                <w:lang w:val="es-CO"/>
              </w:rPr>
              <w:br/>
              <w:t>- Broncoespasmo: salbutamol nebulizado.</w:t>
            </w:r>
            <w:r w:rsidRPr="00573535">
              <w:rPr>
                <w:lang w:val="es-CO"/>
              </w:rPr>
              <w:br/>
              <w:t>- Compromiso laríngeo: adrenalina nebulizada.</w:t>
            </w:r>
            <w:r w:rsidRPr="00573535">
              <w:rPr>
                <w:lang w:val="es-CO"/>
              </w:rPr>
              <w:br/>
              <w:t>- Antihistamínicos: solo para síntomas cutáneos, no deben retrasar ni sustituir la adrenalina (RCUK 2021, ASCIA 2022).</w:t>
            </w:r>
            <w:r w:rsidRPr="00573535">
              <w:rPr>
                <w:lang w:val="es-CO"/>
              </w:rPr>
              <w:br/>
              <w:t>- Corticoides: no se recomiendan de rutina en fase aguda, aunque se pueden considerar en reacciones prolongadas o con asma asociado.</w:t>
            </w:r>
            <w:r w:rsidRPr="00573535">
              <w:rPr>
                <w:lang w:val="es-CO"/>
              </w:rPr>
              <w:br/>
              <w:t>- Glucagón IV: considerar en pacientes con beta</w:t>
            </w:r>
            <w:r>
              <w:rPr>
                <w:lang w:val="es-CO"/>
              </w:rPr>
              <w:t>-</w:t>
            </w:r>
            <w:r w:rsidRPr="00573535">
              <w:rPr>
                <w:lang w:val="es-CO"/>
              </w:rPr>
              <w:t>bloqueadores y mala respuesta a adrenalina.</w:t>
            </w:r>
          </w:p>
        </w:tc>
        <w:tc>
          <w:tcPr>
            <w:tcW w:w="1966" w:type="dxa"/>
            <w:shd w:val="clear" w:color="auto" w:fill="auto"/>
          </w:tcPr>
          <w:p w14:paraId="4C2028EE" w14:textId="070F2A78" w:rsidR="007A7ABE" w:rsidRPr="007A7ABE" w:rsidRDefault="004E4292" w:rsidP="00C25D15">
            <w:pPr>
              <w:jc w:val="center"/>
              <w:rPr>
                <w:rFonts w:cstheme="minorHAnsi"/>
                <w:b/>
                <w:bCs/>
                <w:lang w:val="es-CO"/>
              </w:rPr>
            </w:pPr>
            <w:r w:rsidRPr="007A7ABE">
              <w:rPr>
                <w:rFonts w:cstheme="minorHAnsi"/>
                <w:b/>
                <w:bCs/>
                <w:lang w:val="es-CO"/>
              </w:rPr>
              <w:t>Médico general y/o especialista tratante</w:t>
            </w:r>
          </w:p>
        </w:tc>
      </w:tr>
      <w:tr w:rsidR="004E4292" w:rsidRPr="00C2342F" w14:paraId="383CFF18" w14:textId="77777777" w:rsidTr="007A7ABE">
        <w:trPr>
          <w:trHeight w:val="277"/>
          <w:tblHeader/>
        </w:trPr>
        <w:tc>
          <w:tcPr>
            <w:tcW w:w="433" w:type="dxa"/>
            <w:shd w:val="clear" w:color="auto" w:fill="auto"/>
            <w:vAlign w:val="center"/>
          </w:tcPr>
          <w:p w14:paraId="786F6566" w14:textId="171303F4" w:rsidR="004E4292" w:rsidRDefault="004E4292" w:rsidP="00C25D15">
            <w:pPr>
              <w:jc w:val="center"/>
              <w:rPr>
                <w:rFonts w:cstheme="minorHAnsi"/>
                <w:b/>
                <w:bCs/>
                <w:sz w:val="24"/>
                <w:szCs w:val="24"/>
                <w:lang w:val="es-CO"/>
              </w:rPr>
            </w:pPr>
            <w:r>
              <w:rPr>
                <w:rFonts w:cstheme="minorHAnsi"/>
                <w:b/>
                <w:bCs/>
                <w:sz w:val="24"/>
                <w:szCs w:val="24"/>
                <w:lang w:val="es-CO"/>
              </w:rPr>
              <w:lastRenderedPageBreak/>
              <w:t>3</w:t>
            </w:r>
          </w:p>
        </w:tc>
        <w:tc>
          <w:tcPr>
            <w:tcW w:w="2619" w:type="dxa"/>
            <w:shd w:val="clear" w:color="auto" w:fill="auto"/>
          </w:tcPr>
          <w:p w14:paraId="263C7957" w14:textId="1A25A7C1" w:rsidR="004E4292" w:rsidRDefault="004E4292" w:rsidP="007A7ABE">
            <w:pPr>
              <w:jc w:val="center"/>
            </w:pPr>
            <w:r>
              <w:t xml:space="preserve">Sospechar </w:t>
            </w:r>
            <w:r>
              <w:rPr>
                <w:rStyle w:val="Textoennegrita"/>
              </w:rPr>
              <w:t>anafilaxia refractaria</w:t>
            </w:r>
            <w:r>
              <w:t xml:space="preserve"> cuando, tras administrar 2 dosis adecuadas de adrenalina intramuscular, persiste el compromiso respiratorio o circulatorio. En estos casos, se debe </w:t>
            </w:r>
            <w:r>
              <w:rPr>
                <w:rStyle w:val="Textoennegrita"/>
              </w:rPr>
              <w:t>activar el protocolo de manejo avanzado</w:t>
            </w:r>
            <w:r>
              <w:t>.</w:t>
            </w:r>
          </w:p>
          <w:p w14:paraId="6491FA54" w14:textId="7907C795" w:rsidR="004E4292" w:rsidRDefault="004E4292" w:rsidP="007A7ABE">
            <w:pPr>
              <w:jc w:val="center"/>
            </w:pPr>
            <w:r w:rsidRPr="00573535">
              <w:rPr>
                <w:lang w:val="es-CO"/>
              </w:rPr>
              <w:t>(RCUK 2021).</w:t>
            </w:r>
          </w:p>
        </w:tc>
        <w:tc>
          <w:tcPr>
            <w:tcW w:w="5613" w:type="dxa"/>
            <w:shd w:val="clear" w:color="auto" w:fill="auto"/>
          </w:tcPr>
          <w:p w14:paraId="29FB01A3" w14:textId="77777777" w:rsidR="004E4292" w:rsidRPr="004E4292" w:rsidRDefault="004E4292" w:rsidP="004E4292">
            <w:pPr>
              <w:jc w:val="left"/>
              <w:rPr>
                <w:b/>
                <w:bCs/>
                <w:u w:val="single"/>
                <w:lang w:val="es-CO"/>
              </w:rPr>
            </w:pPr>
            <w:r w:rsidRPr="004E4292">
              <w:rPr>
                <w:b/>
                <w:bCs/>
                <w:u w:val="single"/>
                <w:lang w:val="es-CO"/>
              </w:rPr>
              <w:t>Cuando sospechar anafilaxia refractaria</w:t>
            </w:r>
          </w:p>
          <w:p w14:paraId="6CC10DC0" w14:textId="2C53E814" w:rsidR="004E4292" w:rsidRDefault="004E4292" w:rsidP="004E4292">
            <w:pPr>
              <w:jc w:val="left"/>
              <w:rPr>
                <w:lang w:val="es-CO"/>
              </w:rPr>
            </w:pPr>
            <w:r w:rsidRPr="001038BB">
              <w:rPr>
                <w:lang w:val="es-CO"/>
              </w:rPr>
              <w:br/>
              <w:t>- Se define como persistencia de compromiso respiratorio y/o circulatorio después de 2 dosis adecuadas de adrenalina IM (RCUK 2021).</w:t>
            </w:r>
            <w:r w:rsidRPr="001038BB">
              <w:rPr>
                <w:lang w:val="es-CO"/>
              </w:rPr>
              <w:br/>
              <w:t>- ASCIA 2022: si 2–3 dosis IM no son suficientes, se debe iniciar infusión IV.</w:t>
            </w:r>
            <w:r w:rsidRPr="001038BB">
              <w:rPr>
                <w:lang w:val="es-CO"/>
              </w:rPr>
              <w:br/>
              <w:t>- WAO 2020: enfatiza que más de 2 dosis IM deben activar protocolo avanzado con soporte crítico.</w:t>
            </w:r>
          </w:p>
          <w:p w14:paraId="0211C000" w14:textId="77777777" w:rsidR="004E4292" w:rsidRPr="004E4292" w:rsidRDefault="004E4292" w:rsidP="004E4292">
            <w:pPr>
              <w:jc w:val="left"/>
              <w:rPr>
                <w:b/>
                <w:bCs/>
                <w:u w:val="single"/>
                <w:lang w:val="es-CO"/>
              </w:rPr>
            </w:pPr>
            <w:r w:rsidRPr="00573535">
              <w:rPr>
                <w:lang w:val="es-CO"/>
              </w:rPr>
              <w:br/>
            </w:r>
            <w:r w:rsidRPr="004E4292">
              <w:rPr>
                <w:b/>
                <w:bCs/>
                <w:u w:val="single"/>
                <w:lang w:val="es-CO"/>
              </w:rPr>
              <w:t>Conducta:</w:t>
            </w:r>
          </w:p>
          <w:p w14:paraId="45396ADF" w14:textId="1D7A90CD" w:rsidR="004E4292" w:rsidRDefault="004E4292" w:rsidP="004E4292">
            <w:pPr>
              <w:jc w:val="left"/>
              <w:rPr>
                <w:lang w:val="es-CO"/>
              </w:rPr>
            </w:pPr>
            <w:r w:rsidRPr="00573535">
              <w:rPr>
                <w:lang w:val="es-CO"/>
              </w:rPr>
              <w:br/>
              <w:t>- Escalar a adrenalina IV en infusión continua (solo por personal experto, UCI).</w:t>
            </w:r>
            <w:r w:rsidRPr="00573535">
              <w:rPr>
                <w:lang w:val="es-CO"/>
              </w:rPr>
              <w:br/>
              <w:t>- Administrar bolo adicional de cristaloides.</w:t>
            </w:r>
            <w:r w:rsidRPr="00573535">
              <w:rPr>
                <w:lang w:val="es-CO"/>
              </w:rPr>
              <w:br/>
              <w:t>- Considerar vasopresores y glucagón IV.</w:t>
            </w:r>
          </w:p>
          <w:p w14:paraId="0AA37EA2" w14:textId="77777777" w:rsidR="004E4292" w:rsidRDefault="004E4292" w:rsidP="007A7ABE">
            <w:pPr>
              <w:rPr>
                <w:b/>
                <w:bCs/>
                <w:u w:val="single"/>
                <w:lang w:val="es-CO"/>
              </w:rPr>
            </w:pPr>
          </w:p>
          <w:p w14:paraId="03A940EA" w14:textId="77777777" w:rsidR="004E4292" w:rsidRDefault="004E4292" w:rsidP="004E4292">
            <w:pPr>
              <w:jc w:val="left"/>
              <w:rPr>
                <w:b/>
                <w:bCs/>
                <w:u w:val="single"/>
                <w:lang w:val="es-CO"/>
              </w:rPr>
            </w:pPr>
            <w:r w:rsidRPr="004E4292">
              <w:rPr>
                <w:b/>
                <w:bCs/>
                <w:u w:val="single"/>
                <w:lang w:val="es-CO"/>
              </w:rPr>
              <w:t>Escalamiento a terapias avanzadas</w:t>
            </w:r>
            <w:r>
              <w:rPr>
                <w:b/>
                <w:bCs/>
                <w:u w:val="single"/>
                <w:lang w:val="es-CO"/>
              </w:rPr>
              <w:t>:</w:t>
            </w:r>
          </w:p>
          <w:p w14:paraId="1B4E6B46" w14:textId="77777777" w:rsidR="004E4292" w:rsidRDefault="004E4292" w:rsidP="004E4292">
            <w:pPr>
              <w:jc w:val="left"/>
              <w:rPr>
                <w:lang w:val="es-CO"/>
              </w:rPr>
            </w:pPr>
            <w:r w:rsidRPr="001038BB">
              <w:rPr>
                <w:lang w:val="es-CO"/>
              </w:rPr>
              <w:br/>
              <w:t>1.</w:t>
            </w:r>
            <w:r>
              <w:rPr>
                <w:lang w:val="es-CO"/>
              </w:rPr>
              <w:t xml:space="preserve"> </w:t>
            </w:r>
            <w:r w:rsidRPr="001038BB">
              <w:rPr>
                <w:lang w:val="es-CO"/>
              </w:rPr>
              <w:t>Adrenalina IV en infusión continua:</w:t>
            </w:r>
            <w:r w:rsidRPr="001038BB">
              <w:rPr>
                <w:lang w:val="es-CO"/>
              </w:rPr>
              <w:br/>
              <w:t xml:space="preserve">   - Solo por personal entrenado, en sala de reanimación/UCI.</w:t>
            </w:r>
            <w:r w:rsidRPr="001038BB">
              <w:rPr>
                <w:lang w:val="es-CO"/>
              </w:rPr>
              <w:br/>
              <w:t xml:space="preserve">   - Usar bomba de infusión y vía dedicada con válvulas antirreflujo (ASCIA 2022).</w:t>
            </w:r>
            <w:r w:rsidRPr="001038BB">
              <w:rPr>
                <w:lang w:val="es-CO"/>
              </w:rPr>
              <w:br/>
              <w:t xml:space="preserve">   - Se inicia si tras 2–3 dosis IM el paciente sigue con hipotensión, shock o broncoespasmo grave.</w:t>
            </w:r>
            <w:r w:rsidRPr="001038BB">
              <w:rPr>
                <w:lang w:val="es-CO"/>
              </w:rPr>
              <w:br/>
            </w:r>
            <w:r w:rsidRPr="001038BB">
              <w:rPr>
                <w:lang w:val="es-CO"/>
              </w:rPr>
              <w:br/>
            </w:r>
            <w:r w:rsidRPr="00573535">
              <w:rPr>
                <w:lang w:val="es-CO"/>
              </w:rPr>
              <w:t>2. Cristaloides IV:</w:t>
            </w:r>
            <w:r w:rsidRPr="00573535">
              <w:rPr>
                <w:lang w:val="es-CO"/>
              </w:rPr>
              <w:br/>
              <w:t xml:space="preserve">   - Administrar en bolo rápido de 20 ml/kg si hay hipotensión.</w:t>
            </w:r>
            <w:r w:rsidRPr="00573535">
              <w:rPr>
                <w:lang w:val="es-CO"/>
              </w:rPr>
              <w:br/>
              <w:t xml:space="preserve">   - Puede repetirse hasta 50 ml/kg en los primeros 30 min si persiste el shock (ASCIA 2022).</w:t>
            </w:r>
            <w:r w:rsidRPr="00573535">
              <w:rPr>
                <w:lang w:val="es-CO"/>
              </w:rPr>
              <w:br/>
            </w:r>
            <w:r w:rsidRPr="00573535">
              <w:rPr>
                <w:lang w:val="es-CO"/>
              </w:rPr>
              <w:br/>
              <w:t>3.</w:t>
            </w:r>
            <w:r>
              <w:rPr>
                <w:lang w:val="es-CO"/>
              </w:rPr>
              <w:t xml:space="preserve"> </w:t>
            </w:r>
            <w:r w:rsidRPr="00573535">
              <w:rPr>
                <w:lang w:val="es-CO"/>
              </w:rPr>
              <w:t>Glucagón IV:</w:t>
            </w:r>
            <w:r w:rsidRPr="00573535">
              <w:rPr>
                <w:lang w:val="es-CO"/>
              </w:rPr>
              <w:br/>
              <w:t xml:space="preserve">   - Indicado en pacientes que reciben beta</w:t>
            </w:r>
            <w:r>
              <w:rPr>
                <w:lang w:val="es-CO"/>
              </w:rPr>
              <w:t xml:space="preserve"> </w:t>
            </w:r>
            <w:r w:rsidRPr="00573535">
              <w:rPr>
                <w:lang w:val="es-CO"/>
              </w:rPr>
              <w:t>bloqueadores y no responden a adrenalina.</w:t>
            </w:r>
            <w:r w:rsidRPr="00573535">
              <w:rPr>
                <w:lang w:val="es-CO"/>
              </w:rPr>
              <w:br/>
              <w:t xml:space="preserve">   - Dosis: 1–2 mg IV lento, seguido de infusión continua si hay respuesta.</w:t>
            </w:r>
            <w:r w:rsidRPr="00573535">
              <w:rPr>
                <w:lang w:val="es-CO"/>
              </w:rPr>
              <w:br/>
            </w:r>
            <w:r w:rsidRPr="00573535">
              <w:rPr>
                <w:lang w:val="es-CO"/>
              </w:rPr>
              <w:br/>
              <w:t>4. Vasopresores adicionales (noradrenalina, vasopresina):</w:t>
            </w:r>
            <w:r w:rsidRPr="00573535">
              <w:rPr>
                <w:lang w:val="es-CO"/>
              </w:rPr>
              <w:br/>
              <w:t xml:space="preserve">   - Considerados solo en contexto de UCI bajo supervisión de intensivista.</w:t>
            </w:r>
            <w:r w:rsidRPr="00573535">
              <w:rPr>
                <w:lang w:val="es-CO"/>
              </w:rPr>
              <w:br/>
            </w:r>
            <w:r w:rsidRPr="00573535">
              <w:rPr>
                <w:lang w:val="es-CO"/>
              </w:rPr>
              <w:br/>
              <w:t>5. Otras medidas</w:t>
            </w:r>
            <w:r>
              <w:rPr>
                <w:lang w:val="es-CO"/>
              </w:rPr>
              <w:t>:</w:t>
            </w:r>
            <w:r w:rsidRPr="00573535">
              <w:rPr>
                <w:lang w:val="es-CO"/>
              </w:rPr>
              <w:br/>
            </w:r>
            <w:r w:rsidRPr="00573535">
              <w:rPr>
                <w:lang w:val="es-CO"/>
              </w:rPr>
              <w:lastRenderedPageBreak/>
              <w:t xml:space="preserve">   - Nebulizar adrenalina 5 ml (1:1000) si hay estridor o compromiso laríngeo.</w:t>
            </w:r>
            <w:r w:rsidRPr="00573535">
              <w:rPr>
                <w:lang w:val="es-CO"/>
              </w:rPr>
              <w:br/>
              <w:t xml:space="preserve">   - Broncodilatadores (salbutamol) si persiste broncoespasmo.</w:t>
            </w:r>
            <w:r w:rsidRPr="00573535">
              <w:rPr>
                <w:lang w:val="es-CO"/>
              </w:rPr>
              <w:br/>
              <w:t xml:space="preserve">   - Corticoides y antihistamínicos como adyuvantes, pero nunca en lugar de la adrenalina.</w:t>
            </w:r>
          </w:p>
          <w:p w14:paraId="1274991B" w14:textId="77777777" w:rsidR="004E4292" w:rsidRDefault="004E4292" w:rsidP="004E4292">
            <w:pPr>
              <w:jc w:val="left"/>
              <w:rPr>
                <w:b/>
                <w:bCs/>
                <w:u w:val="single"/>
                <w:lang w:val="es-CO"/>
              </w:rPr>
            </w:pPr>
          </w:p>
          <w:p w14:paraId="4F3D6785" w14:textId="3BD3C22B" w:rsidR="004E4292" w:rsidRPr="007A7ABE" w:rsidRDefault="004E4292" w:rsidP="004E4292">
            <w:pPr>
              <w:jc w:val="left"/>
              <w:rPr>
                <w:b/>
                <w:bCs/>
                <w:u w:val="single"/>
                <w:lang w:val="es-CO"/>
              </w:rPr>
            </w:pPr>
            <w:r w:rsidRPr="004E4292">
              <w:rPr>
                <w:b/>
                <w:bCs/>
                <w:u w:val="single"/>
                <w:lang w:val="es-CO"/>
              </w:rPr>
              <w:t>Conclusión práctica para el Hospital Regional de Moniquirá</w:t>
            </w:r>
            <w:r w:rsidRPr="00573535">
              <w:rPr>
                <w:lang w:val="es-CO"/>
              </w:rPr>
              <w:br/>
              <w:t>- Administrar adrenalina IM inmediata y repetir cada 5 minutos si persiste compromiso vital.</w:t>
            </w:r>
            <w:r w:rsidRPr="00573535">
              <w:rPr>
                <w:lang w:val="es-CO"/>
              </w:rPr>
              <w:br/>
              <w:t>- Si tras 2 dosis IM no hay respuesta → considerar anafilaxia refractaria.</w:t>
            </w:r>
            <w:r w:rsidRPr="00573535">
              <w:rPr>
                <w:lang w:val="es-CO"/>
              </w:rPr>
              <w:br/>
              <w:t>- Si tras 2–3 dosis IM no hay mejoría → iniciar infusión IV de adrenalina, líquidos rápidos y glucagón si el paciente usa beta</w:t>
            </w:r>
            <w:r>
              <w:rPr>
                <w:lang w:val="es-CO"/>
              </w:rPr>
              <w:t xml:space="preserve"> </w:t>
            </w:r>
            <w:r w:rsidRPr="00573535">
              <w:rPr>
                <w:lang w:val="es-CO"/>
              </w:rPr>
              <w:t>bloqueadores.</w:t>
            </w:r>
            <w:r w:rsidRPr="00573535">
              <w:rPr>
                <w:lang w:val="es-CO"/>
              </w:rPr>
              <w:br/>
              <w:t>- Involucrar de inmediato a UCI/intensivista para soporte avanzado.</w:t>
            </w:r>
          </w:p>
        </w:tc>
        <w:tc>
          <w:tcPr>
            <w:tcW w:w="1966" w:type="dxa"/>
            <w:shd w:val="clear" w:color="auto" w:fill="auto"/>
          </w:tcPr>
          <w:p w14:paraId="01B92E97" w14:textId="3ABDC14D" w:rsidR="004E4292" w:rsidRPr="007A7ABE" w:rsidRDefault="004E4292" w:rsidP="00C25D15">
            <w:pPr>
              <w:jc w:val="center"/>
              <w:rPr>
                <w:rFonts w:cstheme="minorHAnsi"/>
                <w:b/>
                <w:bCs/>
                <w:lang w:val="es-CO"/>
              </w:rPr>
            </w:pPr>
            <w:r w:rsidRPr="007A7ABE">
              <w:rPr>
                <w:rFonts w:cstheme="minorHAnsi"/>
                <w:b/>
                <w:bCs/>
                <w:lang w:val="es-CO"/>
              </w:rPr>
              <w:lastRenderedPageBreak/>
              <w:t>Médico general y/o especialista tratante</w:t>
            </w:r>
          </w:p>
        </w:tc>
      </w:tr>
      <w:tr w:rsidR="004E4292" w:rsidRPr="00C2342F" w14:paraId="38E769C2" w14:textId="77777777" w:rsidTr="007A7ABE">
        <w:trPr>
          <w:trHeight w:val="277"/>
          <w:tblHeader/>
        </w:trPr>
        <w:tc>
          <w:tcPr>
            <w:tcW w:w="433" w:type="dxa"/>
            <w:shd w:val="clear" w:color="auto" w:fill="auto"/>
            <w:vAlign w:val="center"/>
          </w:tcPr>
          <w:p w14:paraId="4A1FAD44" w14:textId="20D10C39" w:rsidR="004E4292" w:rsidRDefault="004E4292" w:rsidP="00C25D15">
            <w:pPr>
              <w:jc w:val="center"/>
              <w:rPr>
                <w:rFonts w:cstheme="minorHAnsi"/>
                <w:b/>
                <w:bCs/>
                <w:sz w:val="24"/>
                <w:szCs w:val="24"/>
                <w:lang w:val="es-CO"/>
              </w:rPr>
            </w:pPr>
            <w:r>
              <w:rPr>
                <w:rFonts w:cstheme="minorHAnsi"/>
                <w:b/>
                <w:bCs/>
                <w:sz w:val="24"/>
                <w:szCs w:val="24"/>
                <w:lang w:val="es-CO"/>
              </w:rPr>
              <w:t>4</w:t>
            </w:r>
          </w:p>
        </w:tc>
        <w:tc>
          <w:tcPr>
            <w:tcW w:w="2619" w:type="dxa"/>
            <w:shd w:val="clear" w:color="auto" w:fill="auto"/>
          </w:tcPr>
          <w:p w14:paraId="567C9044" w14:textId="77777777" w:rsidR="00AB1528" w:rsidRDefault="004E4292" w:rsidP="007A7ABE">
            <w:pPr>
              <w:jc w:val="center"/>
            </w:pPr>
            <w:r>
              <w:t xml:space="preserve">Mantener en </w:t>
            </w:r>
            <w:r>
              <w:rPr>
                <w:rStyle w:val="Textoennegrita"/>
              </w:rPr>
              <w:t>observación mínima de 6 a 12 horas</w:t>
            </w:r>
            <w:r>
              <w:t xml:space="preserve"> a todo paciente tratado por anafilaxi</w:t>
            </w:r>
            <w:r w:rsidR="00AB1528">
              <w:t>a</w:t>
            </w:r>
            <w:r>
              <w:t>.</w:t>
            </w:r>
          </w:p>
          <w:p w14:paraId="2BD17B67" w14:textId="77777777" w:rsidR="00AB1528" w:rsidRDefault="00AB1528" w:rsidP="007A7ABE">
            <w:pPr>
              <w:jc w:val="center"/>
            </w:pPr>
          </w:p>
          <w:p w14:paraId="3C46DF46" w14:textId="03B758AC" w:rsidR="004E4292" w:rsidRDefault="004E4292" w:rsidP="007A7ABE">
            <w:pPr>
              <w:jc w:val="center"/>
            </w:pPr>
            <w:r>
              <w:t xml:space="preserve"> Indicar </w:t>
            </w:r>
            <w:r>
              <w:rPr>
                <w:rStyle w:val="Textoennegrita"/>
              </w:rPr>
              <w:t>hospitalización</w:t>
            </w:r>
            <w:r>
              <w:t xml:space="preserve"> en casos con compromiso respiratorio o circulatorio grave, necesidad de múltiples dosis de adrenalina, presencia de comorbilidades de riesgo o limitaciones en el acceso a servicios de salud.</w:t>
            </w:r>
          </w:p>
        </w:tc>
        <w:tc>
          <w:tcPr>
            <w:tcW w:w="5613" w:type="dxa"/>
            <w:shd w:val="clear" w:color="auto" w:fill="auto"/>
          </w:tcPr>
          <w:p w14:paraId="06214890" w14:textId="77777777" w:rsidR="004E4292" w:rsidRDefault="004E4292" w:rsidP="004E4292">
            <w:pPr>
              <w:jc w:val="left"/>
              <w:rPr>
                <w:lang w:val="es-CO"/>
              </w:rPr>
            </w:pPr>
            <w:r w:rsidRPr="00573535">
              <w:rPr>
                <w:lang w:val="es-CO"/>
              </w:rPr>
              <w:t xml:space="preserve">Observación mínima de 6–12 horas debido al riesgo de reacciones bifásicas (3–20%). </w:t>
            </w:r>
          </w:p>
          <w:p w14:paraId="26B1D2B9" w14:textId="77777777" w:rsidR="004E4292" w:rsidRDefault="004E4292" w:rsidP="004E4292">
            <w:pPr>
              <w:jc w:val="left"/>
              <w:rPr>
                <w:lang w:val="es-CO"/>
              </w:rPr>
            </w:pPr>
          </w:p>
          <w:p w14:paraId="241A32D3" w14:textId="45E96AC5" w:rsidR="004E4292" w:rsidRPr="00573535" w:rsidRDefault="004E4292" w:rsidP="004E4292">
            <w:pPr>
              <w:jc w:val="left"/>
              <w:rPr>
                <w:lang w:val="es-CO"/>
              </w:rPr>
            </w:pPr>
            <w:r w:rsidRPr="00573535">
              <w:rPr>
                <w:lang w:val="es-CO"/>
              </w:rPr>
              <w:t>Hospitalizar si:</w:t>
            </w:r>
            <w:r w:rsidRPr="00573535">
              <w:rPr>
                <w:lang w:val="es-CO"/>
              </w:rPr>
              <w:br/>
              <w:t>- Paciente requirió más de una dosis de adrenalina.</w:t>
            </w:r>
            <w:r w:rsidRPr="00573535">
              <w:rPr>
                <w:lang w:val="es-CO"/>
              </w:rPr>
              <w:br/>
              <w:t>- Presentó compromiso respiratorio/circulatorio grave.</w:t>
            </w:r>
            <w:r w:rsidRPr="00573535">
              <w:rPr>
                <w:lang w:val="es-CO"/>
              </w:rPr>
              <w:br/>
              <w:t>- Tiene comorbilidades de riesgo (asma, mastocitosis, cardiopatía).</w:t>
            </w:r>
            <w:r w:rsidRPr="00573535">
              <w:rPr>
                <w:lang w:val="es-CO"/>
              </w:rPr>
              <w:br/>
              <w:t>- Presenta difícil acceso a servicios de salud (ASCIA 2022).</w:t>
            </w:r>
          </w:p>
          <w:p w14:paraId="05F0448B" w14:textId="77777777" w:rsidR="004E4292" w:rsidRPr="004E4292" w:rsidRDefault="004E4292" w:rsidP="004E4292">
            <w:pPr>
              <w:jc w:val="left"/>
              <w:rPr>
                <w:b/>
                <w:bCs/>
                <w:u w:val="single"/>
                <w:lang w:val="es-CO"/>
              </w:rPr>
            </w:pPr>
          </w:p>
        </w:tc>
        <w:tc>
          <w:tcPr>
            <w:tcW w:w="1966" w:type="dxa"/>
            <w:shd w:val="clear" w:color="auto" w:fill="auto"/>
          </w:tcPr>
          <w:p w14:paraId="6D82403E" w14:textId="49A46C01" w:rsidR="004E4292" w:rsidRPr="007A7ABE" w:rsidRDefault="0013468C" w:rsidP="00C25D15">
            <w:pPr>
              <w:jc w:val="center"/>
              <w:rPr>
                <w:rFonts w:cstheme="minorHAnsi"/>
                <w:b/>
                <w:bCs/>
                <w:lang w:val="es-CO"/>
              </w:rPr>
            </w:pPr>
            <w:r w:rsidRPr="007A7ABE">
              <w:rPr>
                <w:rFonts w:cstheme="minorHAnsi"/>
                <w:b/>
                <w:bCs/>
                <w:lang w:val="es-CO"/>
              </w:rPr>
              <w:t>Médico general y/o especialista tratante</w:t>
            </w:r>
          </w:p>
        </w:tc>
      </w:tr>
      <w:tr w:rsidR="004E4292" w:rsidRPr="00C2342F" w14:paraId="1045012C" w14:textId="77777777" w:rsidTr="007A7ABE">
        <w:trPr>
          <w:trHeight w:val="277"/>
          <w:tblHeader/>
        </w:trPr>
        <w:tc>
          <w:tcPr>
            <w:tcW w:w="433" w:type="dxa"/>
            <w:shd w:val="clear" w:color="auto" w:fill="auto"/>
            <w:vAlign w:val="center"/>
          </w:tcPr>
          <w:p w14:paraId="7FF6C89F" w14:textId="424AA17E" w:rsidR="004E4292" w:rsidRDefault="004E4292" w:rsidP="00C25D15">
            <w:pPr>
              <w:jc w:val="center"/>
              <w:rPr>
                <w:rFonts w:cstheme="minorHAnsi"/>
                <w:b/>
                <w:bCs/>
                <w:sz w:val="24"/>
                <w:szCs w:val="24"/>
                <w:lang w:val="es-CO"/>
              </w:rPr>
            </w:pPr>
            <w:r>
              <w:rPr>
                <w:rFonts w:cstheme="minorHAnsi"/>
                <w:b/>
                <w:bCs/>
                <w:sz w:val="24"/>
                <w:szCs w:val="24"/>
                <w:lang w:val="es-CO"/>
              </w:rPr>
              <w:t>5</w:t>
            </w:r>
          </w:p>
        </w:tc>
        <w:tc>
          <w:tcPr>
            <w:tcW w:w="2619" w:type="dxa"/>
            <w:shd w:val="clear" w:color="auto" w:fill="auto"/>
          </w:tcPr>
          <w:p w14:paraId="397B6D21" w14:textId="7AEDDFB5" w:rsidR="004E4292" w:rsidRDefault="0013468C" w:rsidP="007A7ABE">
            <w:pPr>
              <w:jc w:val="center"/>
            </w:pPr>
            <w:r>
              <w:t xml:space="preserve">Confirmar el diagnóstico de anafilaxia mediante </w:t>
            </w:r>
            <w:r w:rsidRPr="0013468C">
              <w:rPr>
                <w:rStyle w:val="Textoennegrita"/>
                <w:b w:val="0"/>
                <w:bCs w:val="0"/>
              </w:rPr>
              <w:t>evaluación clínica</w:t>
            </w:r>
            <w:r>
              <w:t xml:space="preserve"> y, cuando sea posible, apoyar con estudios complementarios</w:t>
            </w:r>
          </w:p>
        </w:tc>
        <w:tc>
          <w:tcPr>
            <w:tcW w:w="5613" w:type="dxa"/>
            <w:shd w:val="clear" w:color="auto" w:fill="auto"/>
          </w:tcPr>
          <w:p w14:paraId="067F3F34" w14:textId="77777777" w:rsidR="0013468C" w:rsidRDefault="0013468C" w:rsidP="0013468C">
            <w:pPr>
              <w:jc w:val="left"/>
              <w:rPr>
                <w:lang w:val="es-CO"/>
              </w:rPr>
            </w:pPr>
            <w:r w:rsidRPr="00573535">
              <w:rPr>
                <w:lang w:val="es-CO"/>
              </w:rPr>
              <w:t>El diagnóstico es principalmente clínico (WAO 2020). Estudios de apoyo</w:t>
            </w:r>
            <w:r>
              <w:rPr>
                <w:lang w:val="es-CO"/>
              </w:rPr>
              <w:t xml:space="preserve"> complementario:</w:t>
            </w:r>
          </w:p>
          <w:p w14:paraId="2C6C3E3E" w14:textId="1BAE3DA2" w:rsidR="0013468C" w:rsidRPr="00573535" w:rsidRDefault="0013468C" w:rsidP="0013468C">
            <w:pPr>
              <w:jc w:val="left"/>
              <w:rPr>
                <w:lang w:val="es-CO"/>
              </w:rPr>
            </w:pPr>
            <w:r w:rsidRPr="00573535">
              <w:rPr>
                <w:lang w:val="es-CO"/>
              </w:rPr>
              <w:br/>
              <w:t>- Tryptasa sérica: útil entre 15 min–3 h tras la reacción; un valor normal no excluye anafilaxia.</w:t>
            </w:r>
            <w:r w:rsidRPr="00573535">
              <w:rPr>
                <w:lang w:val="es-CO"/>
              </w:rPr>
              <w:br/>
              <w:t>- Obtener muestra basal ≥24 h tras resolución.</w:t>
            </w:r>
            <w:r w:rsidRPr="00573535">
              <w:rPr>
                <w:lang w:val="es-CO"/>
              </w:rPr>
              <w:br/>
              <w:t>- Remisión a alergología para pruebas cutáneas o específicas IgE.</w:t>
            </w:r>
            <w:r>
              <w:rPr>
                <w:lang w:val="es-CO"/>
              </w:rPr>
              <w:t xml:space="preserve"> </w:t>
            </w:r>
            <w:r w:rsidRPr="00573535">
              <w:rPr>
                <w:lang w:val="es-CO"/>
              </w:rPr>
              <w:t>En algunos casos, considerar desensibilización (betalactámicos) o inmunoterapia (venenos).</w:t>
            </w:r>
          </w:p>
          <w:p w14:paraId="4F165E15" w14:textId="77777777" w:rsidR="004E4292" w:rsidRPr="00573535" w:rsidRDefault="004E4292" w:rsidP="004E4292">
            <w:pPr>
              <w:jc w:val="left"/>
              <w:rPr>
                <w:lang w:val="es-CO"/>
              </w:rPr>
            </w:pPr>
          </w:p>
        </w:tc>
        <w:tc>
          <w:tcPr>
            <w:tcW w:w="1966" w:type="dxa"/>
            <w:shd w:val="clear" w:color="auto" w:fill="auto"/>
          </w:tcPr>
          <w:p w14:paraId="28243654" w14:textId="43D05082" w:rsidR="004E4292" w:rsidRPr="007A7ABE" w:rsidRDefault="0013468C" w:rsidP="00C25D15">
            <w:pPr>
              <w:jc w:val="center"/>
              <w:rPr>
                <w:rFonts w:cstheme="minorHAnsi"/>
                <w:b/>
                <w:bCs/>
                <w:lang w:val="es-CO"/>
              </w:rPr>
            </w:pPr>
            <w:r w:rsidRPr="007A7ABE">
              <w:rPr>
                <w:rFonts w:cstheme="minorHAnsi"/>
                <w:b/>
                <w:bCs/>
                <w:lang w:val="es-CO"/>
              </w:rPr>
              <w:t>Médico general y/o especialista tratante</w:t>
            </w:r>
          </w:p>
        </w:tc>
      </w:tr>
    </w:tbl>
    <w:p w14:paraId="3A0D7075" w14:textId="5AA86F14" w:rsidR="00C25D15" w:rsidRDefault="00C25D15" w:rsidP="00AF1817">
      <w:pPr>
        <w:rPr>
          <w:lang w:val="es-CO"/>
        </w:rPr>
      </w:pPr>
    </w:p>
    <w:p w14:paraId="0ABA2D28" w14:textId="236317AC" w:rsidR="0013468C" w:rsidRDefault="0013468C" w:rsidP="00AF1817">
      <w:pPr>
        <w:rPr>
          <w:lang w:val="es-CO"/>
        </w:rPr>
      </w:pPr>
    </w:p>
    <w:tbl>
      <w:tblPr>
        <w:tblStyle w:val="Tablaconcuadrcula"/>
        <w:tblW w:w="0" w:type="auto"/>
        <w:tblLook w:val="04A0" w:firstRow="1" w:lastRow="0" w:firstColumn="1" w:lastColumn="0" w:noHBand="0" w:noVBand="1"/>
      </w:tblPr>
      <w:tblGrid>
        <w:gridCol w:w="8828"/>
      </w:tblGrid>
      <w:tr w:rsidR="0013468C" w14:paraId="5C262534" w14:textId="77777777" w:rsidTr="0013468C">
        <w:tc>
          <w:tcPr>
            <w:tcW w:w="8828" w:type="dxa"/>
            <w:shd w:val="clear" w:color="auto" w:fill="A8D08D" w:themeFill="accent6" w:themeFillTint="99"/>
          </w:tcPr>
          <w:p w14:paraId="0D8255E7" w14:textId="5DC52AB7" w:rsidR="0013468C" w:rsidRPr="0013468C" w:rsidRDefault="0013468C" w:rsidP="0013468C">
            <w:pPr>
              <w:jc w:val="center"/>
              <w:rPr>
                <w:b/>
                <w:bCs/>
                <w:lang w:val="es-CO"/>
              </w:rPr>
            </w:pPr>
            <w:r w:rsidRPr="0013468C">
              <w:rPr>
                <w:b/>
                <w:bCs/>
                <w:lang w:val="es-CO"/>
              </w:rPr>
              <w:lastRenderedPageBreak/>
              <w:t>CONSIDERACIONES ESPECIALES</w:t>
            </w:r>
          </w:p>
        </w:tc>
      </w:tr>
      <w:tr w:rsidR="0013468C" w14:paraId="24F8E26B" w14:textId="77777777" w:rsidTr="0013468C">
        <w:tc>
          <w:tcPr>
            <w:tcW w:w="8828" w:type="dxa"/>
          </w:tcPr>
          <w:p w14:paraId="3E6E3520" w14:textId="70049AE6" w:rsidR="0013468C" w:rsidRDefault="0013468C" w:rsidP="0013468C">
            <w:pPr>
              <w:jc w:val="left"/>
              <w:rPr>
                <w:lang w:val="es-CO"/>
              </w:rPr>
            </w:pPr>
            <w:r w:rsidRPr="00573535">
              <w:rPr>
                <w:lang w:val="es-CO"/>
              </w:rPr>
              <w:t>- Embarazo: manejo igual que no embarazadas, adrenalina no debe retrasarse, colocar en decúbito lateral izquierdo (ASCIA 2022).</w:t>
            </w:r>
            <w:r w:rsidRPr="00573535">
              <w:rPr>
                <w:lang w:val="es-CO"/>
              </w:rPr>
              <w:br/>
              <w:t>- Niños: ajustar dosis por peso; la palidez tras varias dosis no siempre indica falla terapéutica.</w:t>
            </w:r>
            <w:r w:rsidRPr="00573535">
              <w:rPr>
                <w:lang w:val="es-CO"/>
              </w:rPr>
              <w:br/>
              <w:t>- Perioperatorio: antibióticos IV, relajantes neuromusculares y clorhexidina son causas frecuentes; requiere registro y estudio posterior.</w:t>
            </w:r>
          </w:p>
        </w:tc>
      </w:tr>
    </w:tbl>
    <w:p w14:paraId="3FBCF4E8" w14:textId="65F28DFD" w:rsidR="0013468C" w:rsidRDefault="0013468C" w:rsidP="00AF1817">
      <w:pPr>
        <w:rPr>
          <w:lang w:val="es-CO"/>
        </w:rPr>
      </w:pPr>
    </w:p>
    <w:tbl>
      <w:tblPr>
        <w:tblStyle w:val="Tablaconcuadrcula"/>
        <w:tblW w:w="0" w:type="auto"/>
        <w:tblLook w:val="04A0" w:firstRow="1" w:lastRow="0" w:firstColumn="1" w:lastColumn="0" w:noHBand="0" w:noVBand="1"/>
      </w:tblPr>
      <w:tblGrid>
        <w:gridCol w:w="8828"/>
      </w:tblGrid>
      <w:tr w:rsidR="0013468C" w14:paraId="1BAE17A6" w14:textId="77777777" w:rsidTr="0013468C">
        <w:tc>
          <w:tcPr>
            <w:tcW w:w="8828" w:type="dxa"/>
            <w:shd w:val="clear" w:color="auto" w:fill="A8D08D" w:themeFill="accent6" w:themeFillTint="99"/>
          </w:tcPr>
          <w:p w14:paraId="65A590BA" w14:textId="5D724706" w:rsidR="0013468C" w:rsidRPr="0013468C" w:rsidRDefault="0013468C" w:rsidP="0013468C">
            <w:pPr>
              <w:jc w:val="center"/>
              <w:rPr>
                <w:b/>
                <w:bCs/>
                <w:lang w:val="es-CO"/>
              </w:rPr>
            </w:pPr>
            <w:r w:rsidRPr="0013468C">
              <w:rPr>
                <w:b/>
                <w:bCs/>
                <w:lang w:val="es-CO"/>
              </w:rPr>
              <w:t>DIFERENCIALES Y RAMS NO ANAFILÁCTICAS</w:t>
            </w:r>
          </w:p>
        </w:tc>
      </w:tr>
      <w:tr w:rsidR="0013468C" w14:paraId="79060C8A" w14:textId="77777777" w:rsidTr="0013468C">
        <w:tc>
          <w:tcPr>
            <w:tcW w:w="8828" w:type="dxa"/>
          </w:tcPr>
          <w:p w14:paraId="30FE9B81" w14:textId="4AFA7382" w:rsidR="0013468C" w:rsidRDefault="0013468C" w:rsidP="0013468C">
            <w:pPr>
              <w:jc w:val="left"/>
              <w:rPr>
                <w:lang w:val="es-CO"/>
              </w:rPr>
            </w:pPr>
            <w:r w:rsidRPr="00573535">
              <w:rPr>
                <w:lang w:val="es-CO"/>
              </w:rPr>
              <w:t>Deben considerarse diagnósticos diferenciales (RCUK 2021):</w:t>
            </w:r>
            <w:r w:rsidRPr="00573535">
              <w:rPr>
                <w:lang w:val="es-CO"/>
              </w:rPr>
              <w:br/>
              <w:t>- Crisis de asma grave.</w:t>
            </w:r>
            <w:r w:rsidRPr="00573535">
              <w:rPr>
                <w:lang w:val="es-CO"/>
              </w:rPr>
              <w:br/>
              <w:t>- Síncope vasovagal (bradicardia, respuesta rápida al decúbito).</w:t>
            </w:r>
            <w:r w:rsidRPr="00573535">
              <w:rPr>
                <w:lang w:val="es-CO"/>
              </w:rPr>
              <w:br/>
              <w:t>- Angioedema por IECA (no responde a adrenalina).</w:t>
            </w:r>
            <w:r w:rsidRPr="00573535">
              <w:rPr>
                <w:lang w:val="es-CO"/>
              </w:rPr>
              <w:br/>
              <w:t>- Crisis de pánico.</w:t>
            </w:r>
            <w:r w:rsidRPr="00573535">
              <w:rPr>
                <w:lang w:val="es-CO"/>
              </w:rPr>
              <w:br/>
            </w:r>
            <w:r w:rsidRPr="00573535">
              <w:rPr>
                <w:lang w:val="es-CO"/>
              </w:rPr>
              <w:br/>
              <w:t xml:space="preserve">RAM no anafilácticas incluyen exantemas, urticaria sin compromiso vital, reacciones </w:t>
            </w:r>
            <w:r>
              <w:rPr>
                <w:lang w:val="es-CO"/>
              </w:rPr>
              <w:t>v</w:t>
            </w:r>
            <w:r w:rsidRPr="00573535">
              <w:rPr>
                <w:lang w:val="es-CO"/>
              </w:rPr>
              <w:t>aso</w:t>
            </w:r>
            <w:r w:rsidR="00D55F68">
              <w:rPr>
                <w:lang w:val="es-CO"/>
              </w:rPr>
              <w:t xml:space="preserve">- </w:t>
            </w:r>
            <w:r w:rsidRPr="00573535">
              <w:rPr>
                <w:lang w:val="es-CO"/>
              </w:rPr>
              <w:t>vagales post-medicación.</w:t>
            </w:r>
          </w:p>
          <w:p w14:paraId="00CDFA40" w14:textId="2F35760D" w:rsidR="0013468C" w:rsidRDefault="0013468C" w:rsidP="0013468C">
            <w:pPr>
              <w:jc w:val="left"/>
              <w:rPr>
                <w:lang w:val="es-CO"/>
              </w:rPr>
            </w:pPr>
            <w:r w:rsidRPr="00573535">
              <w:rPr>
                <w:lang w:val="es-CO"/>
              </w:rPr>
              <w:br/>
              <w:t>En caso de duda, siempre administrar adrenalina IM: es segura y salva vidas.</w:t>
            </w:r>
          </w:p>
        </w:tc>
      </w:tr>
    </w:tbl>
    <w:p w14:paraId="18101A95" w14:textId="2E1C25EC" w:rsidR="004E4292" w:rsidRDefault="004E4292" w:rsidP="00AF1817">
      <w:pPr>
        <w:rPr>
          <w:lang w:val="es-CO"/>
        </w:rPr>
      </w:pPr>
    </w:p>
    <w:p w14:paraId="0AB1A728" w14:textId="77777777" w:rsidR="00D55F68" w:rsidRPr="007D4DEB" w:rsidRDefault="00D55F68" w:rsidP="00D55F68">
      <w:pPr>
        <w:pStyle w:val="Ttulo1"/>
        <w:numPr>
          <w:ilvl w:val="0"/>
          <w:numId w:val="23"/>
        </w:numPr>
        <w:rPr>
          <w:rFonts w:asciiTheme="minorHAnsi" w:hAnsiTheme="minorHAnsi" w:cstheme="minorHAnsi"/>
          <w:szCs w:val="24"/>
          <w:lang w:val="es-CO"/>
        </w:rPr>
      </w:pPr>
      <w:r>
        <w:rPr>
          <w:rFonts w:asciiTheme="minorHAnsi" w:hAnsiTheme="minorHAnsi" w:cstheme="minorHAnsi"/>
          <w:szCs w:val="24"/>
          <w:lang w:val="es-CO"/>
        </w:rPr>
        <w:t>BIBLIOGRAFÍA</w:t>
      </w:r>
    </w:p>
    <w:p w14:paraId="5C665151" w14:textId="77777777" w:rsidR="00D55F68" w:rsidRDefault="00D55F68" w:rsidP="00D55F68">
      <w:pPr>
        <w:pStyle w:val="Prrafodelista"/>
        <w:numPr>
          <w:ilvl w:val="0"/>
          <w:numId w:val="44"/>
        </w:numPr>
        <w:jc w:val="left"/>
        <w:rPr>
          <w:lang w:val="en-US"/>
        </w:rPr>
      </w:pPr>
      <w:r w:rsidRPr="00D06130">
        <w:rPr>
          <w:lang w:val="es-CO"/>
        </w:rPr>
        <w:t xml:space="preserve">Cardona V, Ansotegui IJ, et al. </w:t>
      </w:r>
      <w:r w:rsidRPr="00D06130">
        <w:rPr>
          <w:lang w:val="en-US"/>
        </w:rPr>
        <w:t>World Allergy Organization Anaphylaxis Guidance 2020. WAO Journal 2020.</w:t>
      </w:r>
    </w:p>
    <w:p w14:paraId="5C4A7B92" w14:textId="77777777" w:rsidR="00D55F68" w:rsidRDefault="00D55F68" w:rsidP="00D55F68">
      <w:pPr>
        <w:pStyle w:val="Prrafodelista"/>
        <w:numPr>
          <w:ilvl w:val="0"/>
          <w:numId w:val="44"/>
        </w:numPr>
        <w:jc w:val="left"/>
        <w:rPr>
          <w:lang w:val="en-US"/>
        </w:rPr>
      </w:pPr>
      <w:r w:rsidRPr="00D06130">
        <w:rPr>
          <w:lang w:val="en-US"/>
        </w:rPr>
        <w:t>Resuscitation Council UK. Emergency Treatment of Anaphylaxis. May 2021.</w:t>
      </w:r>
      <w:r>
        <w:rPr>
          <w:lang w:val="en-US"/>
        </w:rPr>
        <w:t xml:space="preserve"> </w:t>
      </w:r>
    </w:p>
    <w:p w14:paraId="30738681" w14:textId="77777777" w:rsidR="00D55F68" w:rsidRPr="00D06130" w:rsidRDefault="00D55F68" w:rsidP="00D55F68">
      <w:pPr>
        <w:pStyle w:val="Prrafodelista"/>
        <w:numPr>
          <w:ilvl w:val="0"/>
          <w:numId w:val="44"/>
        </w:numPr>
        <w:jc w:val="left"/>
        <w:rPr>
          <w:lang w:val="en-US"/>
        </w:rPr>
      </w:pPr>
      <w:r w:rsidRPr="00D06130">
        <w:rPr>
          <w:lang w:val="en-US"/>
        </w:rPr>
        <w:t>ASCIA. Acute Management of Anaphylaxis Guidelines. 2022.</w:t>
      </w:r>
    </w:p>
    <w:p w14:paraId="665845A0" w14:textId="148D5219" w:rsidR="000369E5" w:rsidRDefault="000369E5" w:rsidP="0013468C">
      <w:pPr>
        <w:pStyle w:val="Ttulo1"/>
        <w:numPr>
          <w:ilvl w:val="0"/>
          <w:numId w:val="23"/>
        </w:numPr>
        <w:rPr>
          <w:rFonts w:asciiTheme="minorHAnsi" w:hAnsiTheme="minorHAnsi" w:cstheme="minorHAnsi"/>
          <w:szCs w:val="24"/>
          <w:lang w:val="es-CO"/>
        </w:rPr>
      </w:pPr>
      <w:r>
        <w:rPr>
          <w:rFonts w:asciiTheme="minorHAnsi" w:hAnsiTheme="minorHAnsi" w:cstheme="minorHAnsi"/>
          <w:szCs w:val="24"/>
          <w:lang w:val="es-CO"/>
        </w:rPr>
        <w:t>ALGORITMO</w:t>
      </w:r>
    </w:p>
    <w:p w14:paraId="76188AF7" w14:textId="77777777" w:rsidR="00D55F68" w:rsidRPr="00D55F68" w:rsidRDefault="00D55F68" w:rsidP="00D55F68">
      <w:pPr>
        <w:rPr>
          <w:lang w:val="es-CO"/>
        </w:rPr>
      </w:pPr>
    </w:p>
    <w:p w14:paraId="4760C3D8" w14:textId="16ED03D6" w:rsidR="00D55F68" w:rsidRPr="00C25D15" w:rsidRDefault="00D55F68" w:rsidP="00AF1817">
      <w:pPr>
        <w:rPr>
          <w:lang w:val="es-CO"/>
        </w:rPr>
      </w:pPr>
      <w:r>
        <w:rPr>
          <w:noProof/>
          <w:lang w:val="es-CO"/>
        </w:rPr>
        <w:lastRenderedPageBreak/>
        <w:drawing>
          <wp:inline distT="0" distB="0" distL="0" distR="0" wp14:anchorId="644D709F" wp14:editId="451479FC">
            <wp:extent cx="5444034" cy="72390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a:extLst>
                        <a:ext uri="{28A0092B-C50C-407E-A947-70E740481C1C}">
                          <a14:useLocalDpi xmlns:a14="http://schemas.microsoft.com/office/drawing/2010/main" val="0"/>
                        </a:ext>
                      </a:extLst>
                    </a:blip>
                    <a:stretch>
                      <a:fillRect/>
                    </a:stretch>
                  </pic:blipFill>
                  <pic:spPr>
                    <a:xfrm>
                      <a:off x="0" y="0"/>
                      <a:ext cx="5445795" cy="7241342"/>
                    </a:xfrm>
                    <a:prstGeom prst="rect">
                      <a:avLst/>
                    </a:prstGeom>
                  </pic:spPr>
                </pic:pic>
              </a:graphicData>
            </a:graphic>
          </wp:inline>
        </w:drawing>
      </w:r>
    </w:p>
    <w:sectPr w:rsidR="00D55F68" w:rsidRPr="00C25D15" w:rsidSect="00FC185D">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FCB97" w14:textId="77777777" w:rsidR="006615FC" w:rsidRDefault="006615FC" w:rsidP="009939A6">
      <w:pPr>
        <w:spacing w:after="0" w:line="240" w:lineRule="auto"/>
      </w:pPr>
      <w:r>
        <w:separator/>
      </w:r>
    </w:p>
  </w:endnote>
  <w:endnote w:type="continuationSeparator" w:id="0">
    <w:p w14:paraId="033098E7" w14:textId="77777777" w:rsidR="006615FC" w:rsidRDefault="006615FC"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AF729" w14:textId="77777777" w:rsidR="006615FC" w:rsidRDefault="006615FC" w:rsidP="009939A6">
      <w:pPr>
        <w:spacing w:after="0" w:line="240" w:lineRule="auto"/>
      </w:pPr>
      <w:r>
        <w:separator/>
      </w:r>
    </w:p>
  </w:footnote>
  <w:footnote w:type="continuationSeparator" w:id="0">
    <w:p w14:paraId="69353C39" w14:textId="77777777" w:rsidR="006615FC" w:rsidRDefault="006615FC"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3B4F1C6D" w:rsidR="00B675AF" w:rsidRDefault="00B675AF" w:rsidP="00B675AF">
          <w:pPr>
            <w:pStyle w:val="Encabezado"/>
            <w:jc w:val="center"/>
          </w:pPr>
          <w:r w:rsidRPr="00FA0CF5">
            <w:rPr>
              <w:b/>
              <w:bCs/>
              <w:sz w:val="20"/>
              <w:szCs w:val="20"/>
            </w:rPr>
            <w:t>HOSPITAL REGIONAL DE MONIQUIRA E.S.</w:t>
          </w:r>
          <w:r w:rsidR="00C2342F">
            <w:rPr>
              <w:b/>
              <w:bCs/>
              <w:sz w:val="20"/>
              <w:szCs w:val="20"/>
            </w:rPr>
            <w:t xml:space="preserve"> </w:t>
          </w:r>
          <w:r w:rsidRPr="00FA0CF5">
            <w:rPr>
              <w:b/>
              <w:bCs/>
              <w:sz w:val="20"/>
              <w:szCs w:val="20"/>
            </w:rPr>
            <w:t>E</w:t>
          </w:r>
        </w:p>
      </w:tc>
      <w:tc>
        <w:tcPr>
          <w:tcW w:w="1887"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CB65C6">
      <w:trPr>
        <w:jc w:val="center"/>
      </w:trPr>
      <w:tc>
        <w:tcPr>
          <w:tcW w:w="1838" w:type="dxa"/>
          <w:vMerge/>
        </w:tcPr>
        <w:p w14:paraId="3AEF5EBF" w14:textId="77777777" w:rsidR="00B675AF" w:rsidRDefault="00B675AF" w:rsidP="00B675AF">
          <w:pPr>
            <w:pStyle w:val="Encabezado"/>
            <w:jc w:val="center"/>
          </w:pPr>
        </w:p>
      </w:tc>
      <w:tc>
        <w:tcPr>
          <w:tcW w:w="5103" w:type="dxa"/>
        </w:tcPr>
        <w:p w14:paraId="0C1297F6" w14:textId="1365C4AB" w:rsidR="00F638D5" w:rsidRDefault="00B675AF" w:rsidP="00F638D5">
          <w:pPr>
            <w:pStyle w:val="Encabezado"/>
            <w:jc w:val="center"/>
          </w:pPr>
          <w:r w:rsidRPr="00FA0CF5">
            <w:rPr>
              <w:b/>
              <w:bCs/>
              <w:sz w:val="20"/>
              <w:szCs w:val="20"/>
            </w:rPr>
            <w:t>PRO</w:t>
          </w:r>
          <w:r>
            <w:rPr>
              <w:b/>
              <w:bCs/>
              <w:sz w:val="20"/>
              <w:szCs w:val="20"/>
            </w:rPr>
            <w:t xml:space="preserve">TOCOLO </w:t>
          </w:r>
          <w:r w:rsidR="00F638D5">
            <w:rPr>
              <w:b/>
              <w:bCs/>
              <w:sz w:val="20"/>
              <w:szCs w:val="20"/>
            </w:rPr>
            <w:t>MANEJO ANAFILAXIA Y REACCIONES ADVERSAS A MEDICAMENTOS</w:t>
          </w:r>
        </w:p>
      </w:tc>
      <w:tc>
        <w:tcPr>
          <w:tcW w:w="1887" w:type="dxa"/>
        </w:tcPr>
        <w:p w14:paraId="405C7249" w14:textId="77777777" w:rsidR="00B675AF" w:rsidRDefault="00B675AF" w:rsidP="00B675AF">
          <w:pPr>
            <w:pStyle w:val="Encabezado"/>
            <w:jc w:val="center"/>
          </w:pPr>
          <w:r>
            <w:t>XX-X-X-XXX</w:t>
          </w:r>
        </w:p>
      </w:tc>
    </w:tr>
    <w:tr w:rsidR="00B675AF" w14:paraId="4948E601" w14:textId="77777777" w:rsidTr="00CB65C6">
      <w:trPr>
        <w:jc w:val="center"/>
      </w:trPr>
      <w:tc>
        <w:tcPr>
          <w:tcW w:w="1838" w:type="dxa"/>
          <w:vMerge/>
        </w:tcPr>
        <w:p w14:paraId="53D34410" w14:textId="77777777" w:rsidR="00B675AF" w:rsidRDefault="00B675AF" w:rsidP="00B675AF">
          <w:pPr>
            <w:pStyle w:val="Encabezado"/>
            <w:jc w:val="center"/>
          </w:pPr>
        </w:p>
      </w:tc>
      <w:tc>
        <w:tcPr>
          <w:tcW w:w="5103" w:type="dxa"/>
        </w:tcPr>
        <w:p w14:paraId="6AE70841" w14:textId="635769E0" w:rsidR="00B675AF" w:rsidRDefault="00B675AF" w:rsidP="00B675AF">
          <w:pPr>
            <w:pStyle w:val="Encabezado"/>
            <w:jc w:val="center"/>
          </w:pPr>
          <w:r w:rsidRPr="00FA0CF5">
            <w:rPr>
              <w:b/>
              <w:bCs/>
              <w:sz w:val="20"/>
              <w:szCs w:val="20"/>
            </w:rPr>
            <w:t>PROCESO</w:t>
          </w:r>
          <w:r>
            <w:rPr>
              <w:b/>
              <w:bCs/>
              <w:sz w:val="20"/>
              <w:szCs w:val="20"/>
            </w:rPr>
            <w:t>:</w:t>
          </w:r>
          <w:r w:rsidRPr="00FA0CF5">
            <w:rPr>
              <w:b/>
              <w:bCs/>
              <w:sz w:val="20"/>
              <w:szCs w:val="20"/>
            </w:rPr>
            <w:t xml:space="preserve"> </w:t>
          </w:r>
          <w:r w:rsidR="00990658">
            <w:rPr>
              <w:b/>
              <w:bCs/>
              <w:sz w:val="20"/>
              <w:szCs w:val="20"/>
            </w:rPr>
            <w:t>GESTIÓN DEL CONOCIMENTO E INNOVACIÓN</w:t>
          </w:r>
        </w:p>
      </w:tc>
      <w:tc>
        <w:tcPr>
          <w:tcW w:w="1887"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CB65C6">
      <w:trPr>
        <w:jc w:val="center"/>
      </w:trPr>
      <w:tc>
        <w:tcPr>
          <w:tcW w:w="1838" w:type="dxa"/>
          <w:vMerge/>
        </w:tcPr>
        <w:p w14:paraId="0CAC7D7F" w14:textId="77777777" w:rsidR="00B675AF" w:rsidRDefault="00B675AF" w:rsidP="00B675AF">
          <w:pPr>
            <w:pStyle w:val="Encabezado"/>
            <w:jc w:val="center"/>
          </w:pPr>
        </w:p>
      </w:tc>
      <w:tc>
        <w:tcPr>
          <w:tcW w:w="5103" w:type="dxa"/>
        </w:tcPr>
        <w:p w14:paraId="50572F67" w14:textId="6F1BDBE1" w:rsidR="00B675AF" w:rsidRDefault="00B675AF" w:rsidP="00B675AF">
          <w:pPr>
            <w:pStyle w:val="Encabezado"/>
            <w:jc w:val="center"/>
          </w:pPr>
          <w:r w:rsidRPr="00FA0CF5">
            <w:rPr>
              <w:b/>
              <w:bCs/>
              <w:sz w:val="20"/>
              <w:szCs w:val="20"/>
            </w:rPr>
            <w:t>SUBPROCESO</w:t>
          </w:r>
          <w:r w:rsidR="00990658">
            <w:rPr>
              <w:b/>
              <w:bCs/>
              <w:sz w:val="20"/>
              <w:szCs w:val="20"/>
            </w:rPr>
            <w:t>: GPC Y PROTOCOLOS</w:t>
          </w:r>
        </w:p>
      </w:tc>
      <w:tc>
        <w:tcPr>
          <w:tcW w:w="1887"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4E1"/>
    <w:multiLevelType w:val="hybridMultilevel"/>
    <w:tmpl w:val="1EDE797A"/>
    <w:lvl w:ilvl="0" w:tplc="C1F8D57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DC50FC"/>
    <w:multiLevelType w:val="hybridMultilevel"/>
    <w:tmpl w:val="18EA258E"/>
    <w:lvl w:ilvl="0" w:tplc="5538A3D8">
      <w:numFmt w:val="bullet"/>
      <w:lvlText w:val=""/>
      <w:lvlJc w:val="left"/>
      <w:pPr>
        <w:ind w:left="732" w:hanging="372"/>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240FCB"/>
    <w:multiLevelType w:val="hybridMultilevel"/>
    <w:tmpl w:val="1D56B27C"/>
    <w:lvl w:ilvl="0" w:tplc="240A0001">
      <w:start w:val="1"/>
      <w:numFmt w:val="bullet"/>
      <w:lvlText w:val=""/>
      <w:lvlJc w:val="left"/>
      <w:pPr>
        <w:ind w:left="5747" w:hanging="360"/>
      </w:pPr>
      <w:rPr>
        <w:rFonts w:ascii="Symbol" w:hAnsi="Symbol" w:hint="default"/>
      </w:rPr>
    </w:lvl>
    <w:lvl w:ilvl="1" w:tplc="240A0003" w:tentative="1">
      <w:start w:val="1"/>
      <w:numFmt w:val="bullet"/>
      <w:lvlText w:val="o"/>
      <w:lvlJc w:val="left"/>
      <w:pPr>
        <w:ind w:left="6467" w:hanging="360"/>
      </w:pPr>
      <w:rPr>
        <w:rFonts w:ascii="Courier New" w:hAnsi="Courier New" w:cs="Courier New" w:hint="default"/>
      </w:rPr>
    </w:lvl>
    <w:lvl w:ilvl="2" w:tplc="240A0005" w:tentative="1">
      <w:start w:val="1"/>
      <w:numFmt w:val="bullet"/>
      <w:lvlText w:val=""/>
      <w:lvlJc w:val="left"/>
      <w:pPr>
        <w:ind w:left="7187" w:hanging="360"/>
      </w:pPr>
      <w:rPr>
        <w:rFonts w:ascii="Wingdings" w:hAnsi="Wingdings" w:hint="default"/>
      </w:rPr>
    </w:lvl>
    <w:lvl w:ilvl="3" w:tplc="240A0001" w:tentative="1">
      <w:start w:val="1"/>
      <w:numFmt w:val="bullet"/>
      <w:lvlText w:val=""/>
      <w:lvlJc w:val="left"/>
      <w:pPr>
        <w:ind w:left="7907" w:hanging="360"/>
      </w:pPr>
      <w:rPr>
        <w:rFonts w:ascii="Symbol" w:hAnsi="Symbol" w:hint="default"/>
      </w:rPr>
    </w:lvl>
    <w:lvl w:ilvl="4" w:tplc="240A0003" w:tentative="1">
      <w:start w:val="1"/>
      <w:numFmt w:val="bullet"/>
      <w:lvlText w:val="o"/>
      <w:lvlJc w:val="left"/>
      <w:pPr>
        <w:ind w:left="8627" w:hanging="360"/>
      </w:pPr>
      <w:rPr>
        <w:rFonts w:ascii="Courier New" w:hAnsi="Courier New" w:cs="Courier New" w:hint="default"/>
      </w:rPr>
    </w:lvl>
    <w:lvl w:ilvl="5" w:tplc="240A0005" w:tentative="1">
      <w:start w:val="1"/>
      <w:numFmt w:val="bullet"/>
      <w:lvlText w:val=""/>
      <w:lvlJc w:val="left"/>
      <w:pPr>
        <w:ind w:left="9347" w:hanging="360"/>
      </w:pPr>
      <w:rPr>
        <w:rFonts w:ascii="Wingdings" w:hAnsi="Wingdings" w:hint="default"/>
      </w:rPr>
    </w:lvl>
    <w:lvl w:ilvl="6" w:tplc="240A0001" w:tentative="1">
      <w:start w:val="1"/>
      <w:numFmt w:val="bullet"/>
      <w:lvlText w:val=""/>
      <w:lvlJc w:val="left"/>
      <w:pPr>
        <w:ind w:left="10067" w:hanging="360"/>
      </w:pPr>
      <w:rPr>
        <w:rFonts w:ascii="Symbol" w:hAnsi="Symbol" w:hint="default"/>
      </w:rPr>
    </w:lvl>
    <w:lvl w:ilvl="7" w:tplc="240A0003" w:tentative="1">
      <w:start w:val="1"/>
      <w:numFmt w:val="bullet"/>
      <w:lvlText w:val="o"/>
      <w:lvlJc w:val="left"/>
      <w:pPr>
        <w:ind w:left="10787" w:hanging="360"/>
      </w:pPr>
      <w:rPr>
        <w:rFonts w:ascii="Courier New" w:hAnsi="Courier New" w:cs="Courier New" w:hint="default"/>
      </w:rPr>
    </w:lvl>
    <w:lvl w:ilvl="8" w:tplc="240A0005" w:tentative="1">
      <w:start w:val="1"/>
      <w:numFmt w:val="bullet"/>
      <w:lvlText w:val=""/>
      <w:lvlJc w:val="left"/>
      <w:pPr>
        <w:ind w:left="11507" w:hanging="360"/>
      </w:pPr>
      <w:rPr>
        <w:rFonts w:ascii="Wingdings" w:hAnsi="Wingdings" w:hint="default"/>
      </w:rPr>
    </w:lvl>
  </w:abstractNum>
  <w:abstractNum w:abstractNumId="3" w15:restartNumberingAfterBreak="0">
    <w:nsid w:val="0A341DA7"/>
    <w:multiLevelType w:val="hybridMultilevel"/>
    <w:tmpl w:val="E0222E38"/>
    <w:lvl w:ilvl="0" w:tplc="860A95B6">
      <w:start w:val="1"/>
      <w:numFmt w:val="lowerLetter"/>
      <w:lvlText w:val="%1."/>
      <w:lvlJc w:val="left"/>
      <w:pPr>
        <w:ind w:left="360" w:hanging="360"/>
      </w:pPr>
      <w:rPr>
        <w:rFonts w:cstheme="minorHAnsi" w:hint="default"/>
        <w:color w:val="0D0D0D"/>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B306402"/>
    <w:multiLevelType w:val="hybridMultilevel"/>
    <w:tmpl w:val="2A74F014"/>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EF44634"/>
    <w:multiLevelType w:val="hybridMultilevel"/>
    <w:tmpl w:val="1CB49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2A4C35"/>
    <w:multiLevelType w:val="hybridMultilevel"/>
    <w:tmpl w:val="191A46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8C237D"/>
    <w:multiLevelType w:val="multilevel"/>
    <w:tmpl w:val="524E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3646AD"/>
    <w:multiLevelType w:val="multilevel"/>
    <w:tmpl w:val="1228C9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Calibri" w:eastAsiaTheme="minorHAnsi" w:hAnsi="Calibri" w:cs="Calibri" w:hint="default"/>
        <w:sz w:val="22"/>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FBE3ED7"/>
    <w:multiLevelType w:val="hybridMultilevel"/>
    <w:tmpl w:val="577EFC54"/>
    <w:lvl w:ilvl="0" w:tplc="B73E7C36">
      <w:start w:val="5"/>
      <w:numFmt w:val="decimal"/>
      <w:lvlText w:val="%1."/>
      <w:lvlJc w:val="left"/>
      <w:pPr>
        <w:ind w:left="1080" w:hanging="360"/>
      </w:pPr>
      <w:rPr>
        <w:rFonts w:asciiTheme="minorHAnsi" w:hAnsiTheme="minorHAnsi" w:cstheme="minorHAnsi"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2FC96E25"/>
    <w:multiLevelType w:val="multilevel"/>
    <w:tmpl w:val="81B4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3D3BF1"/>
    <w:multiLevelType w:val="hybridMultilevel"/>
    <w:tmpl w:val="AAC02A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317768A5"/>
    <w:multiLevelType w:val="hybridMultilevel"/>
    <w:tmpl w:val="794A7E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34E505E4"/>
    <w:multiLevelType w:val="hybridMultilevel"/>
    <w:tmpl w:val="79169B6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CDC1682"/>
    <w:multiLevelType w:val="hybridMultilevel"/>
    <w:tmpl w:val="44061E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601736"/>
    <w:multiLevelType w:val="hybridMultilevel"/>
    <w:tmpl w:val="2BFCEE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0D747E1"/>
    <w:multiLevelType w:val="hybridMultilevel"/>
    <w:tmpl w:val="92C0374A"/>
    <w:lvl w:ilvl="0" w:tplc="50CC09A6">
      <w:start w:val="1"/>
      <w:numFmt w:val="decimal"/>
      <w:lvlText w:val="%1."/>
      <w:lvlJc w:val="left"/>
      <w:pPr>
        <w:ind w:left="720"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4CC1B8E"/>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6E460D0"/>
    <w:multiLevelType w:val="hybridMultilevel"/>
    <w:tmpl w:val="CEECE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8BD4DD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C521B1"/>
    <w:multiLevelType w:val="hybridMultilevel"/>
    <w:tmpl w:val="A22E2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D020576"/>
    <w:multiLevelType w:val="multilevel"/>
    <w:tmpl w:val="7F0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C1643"/>
    <w:multiLevelType w:val="hybridMultilevel"/>
    <w:tmpl w:val="581207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5747DF9"/>
    <w:multiLevelType w:val="hybridMultilevel"/>
    <w:tmpl w:val="5D2234EA"/>
    <w:lvl w:ilvl="0" w:tplc="44447792">
      <w:start w:val="1"/>
      <w:numFmt w:val="decimal"/>
      <w:lvlText w:val="%1."/>
      <w:lvlJc w:val="left"/>
      <w:pPr>
        <w:ind w:left="360" w:hanging="360"/>
      </w:pPr>
      <w:rPr>
        <w:rFonts w:hint="default"/>
        <w:b/>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57354B65"/>
    <w:multiLevelType w:val="hybridMultilevel"/>
    <w:tmpl w:val="393C28C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8AD1DE3"/>
    <w:multiLevelType w:val="hybridMultilevel"/>
    <w:tmpl w:val="2FD6897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9BF34F1"/>
    <w:multiLevelType w:val="hybridMultilevel"/>
    <w:tmpl w:val="7A7EC8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BE7BBD"/>
    <w:multiLevelType w:val="multilevel"/>
    <w:tmpl w:val="C24A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F86A18"/>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D012A45"/>
    <w:multiLevelType w:val="hybridMultilevel"/>
    <w:tmpl w:val="577EFC54"/>
    <w:lvl w:ilvl="0" w:tplc="B73E7C36">
      <w:start w:val="5"/>
      <w:numFmt w:val="decimal"/>
      <w:lvlText w:val="%1."/>
      <w:lvlJc w:val="left"/>
      <w:pPr>
        <w:ind w:left="1080" w:hanging="360"/>
      </w:pPr>
      <w:rPr>
        <w:rFonts w:asciiTheme="minorHAnsi" w:hAnsiTheme="minorHAnsi" w:cstheme="minorHAnsi"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5D792881"/>
    <w:multiLevelType w:val="hybridMultilevel"/>
    <w:tmpl w:val="8D429CC8"/>
    <w:lvl w:ilvl="0" w:tplc="BF722B04">
      <w:start w:val="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15F5562"/>
    <w:multiLevelType w:val="hybridMultilevel"/>
    <w:tmpl w:val="8D4C0AD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66F77190"/>
    <w:multiLevelType w:val="hybridMultilevel"/>
    <w:tmpl w:val="CD7CB7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A8F2B25"/>
    <w:multiLevelType w:val="multilevel"/>
    <w:tmpl w:val="CE7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204E76"/>
    <w:multiLevelType w:val="hybridMultilevel"/>
    <w:tmpl w:val="5D56147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F2662E5"/>
    <w:multiLevelType w:val="hybridMultilevel"/>
    <w:tmpl w:val="67F493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F8B7F74"/>
    <w:multiLevelType w:val="multilevel"/>
    <w:tmpl w:val="C1C64A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BB64850"/>
    <w:multiLevelType w:val="multilevel"/>
    <w:tmpl w:val="B8B2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B503E"/>
    <w:multiLevelType w:val="hybridMultilevel"/>
    <w:tmpl w:val="0E226B90"/>
    <w:lvl w:ilvl="0" w:tplc="EF06805C">
      <w:start w:val="1"/>
      <w:numFmt w:val="decimal"/>
      <w:lvlText w:val="%1."/>
      <w:lvlJc w:val="left"/>
      <w:pPr>
        <w:ind w:left="360" w:hanging="360"/>
      </w:pPr>
      <w:rPr>
        <w:rFonts w:hint="default"/>
        <w:color w:val="auto"/>
        <w:sz w:val="22"/>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7CB73D86"/>
    <w:multiLevelType w:val="hybridMultilevel"/>
    <w:tmpl w:val="0AC4698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E665D53"/>
    <w:multiLevelType w:val="hybridMultilevel"/>
    <w:tmpl w:val="E6760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28"/>
  </w:num>
  <w:num w:numId="3">
    <w:abstractNumId w:val="37"/>
  </w:num>
  <w:num w:numId="4">
    <w:abstractNumId w:val="8"/>
  </w:num>
  <w:num w:numId="5">
    <w:abstractNumId w:val="31"/>
  </w:num>
  <w:num w:numId="6">
    <w:abstractNumId w:val="19"/>
  </w:num>
  <w:num w:numId="7">
    <w:abstractNumId w:val="21"/>
  </w:num>
  <w:num w:numId="8">
    <w:abstractNumId w:val="9"/>
  </w:num>
  <w:num w:numId="9">
    <w:abstractNumId w:val="3"/>
  </w:num>
  <w:num w:numId="10">
    <w:abstractNumId w:val="39"/>
  </w:num>
  <w:num w:numId="11">
    <w:abstractNumId w:val="33"/>
  </w:num>
  <w:num w:numId="12">
    <w:abstractNumId w:val="4"/>
  </w:num>
  <w:num w:numId="13">
    <w:abstractNumId w:val="24"/>
  </w:num>
  <w:num w:numId="14">
    <w:abstractNumId w:val="43"/>
  </w:num>
  <w:num w:numId="15">
    <w:abstractNumId w:val="18"/>
  </w:num>
  <w:num w:numId="16">
    <w:abstractNumId w:val="5"/>
  </w:num>
  <w:num w:numId="17">
    <w:abstractNumId w:val="22"/>
  </w:num>
  <w:num w:numId="18">
    <w:abstractNumId w:val="36"/>
  </w:num>
  <w:num w:numId="19">
    <w:abstractNumId w:val="27"/>
  </w:num>
  <w:num w:numId="20">
    <w:abstractNumId w:val="30"/>
  </w:num>
  <w:num w:numId="21">
    <w:abstractNumId w:val="38"/>
  </w:num>
  <w:num w:numId="22">
    <w:abstractNumId w:val="1"/>
  </w:num>
  <w:num w:numId="23">
    <w:abstractNumId w:val="11"/>
  </w:num>
  <w:num w:numId="24">
    <w:abstractNumId w:val="23"/>
  </w:num>
  <w:num w:numId="25">
    <w:abstractNumId w:val="17"/>
  </w:num>
  <w:num w:numId="26">
    <w:abstractNumId w:val="35"/>
  </w:num>
  <w:num w:numId="27">
    <w:abstractNumId w:val="42"/>
  </w:num>
  <w:num w:numId="28">
    <w:abstractNumId w:val="34"/>
  </w:num>
  <w:num w:numId="29">
    <w:abstractNumId w:val="7"/>
  </w:num>
  <w:num w:numId="30">
    <w:abstractNumId w:val="40"/>
  </w:num>
  <w:num w:numId="31">
    <w:abstractNumId w:val="25"/>
  </w:num>
  <w:num w:numId="32">
    <w:abstractNumId w:val="20"/>
  </w:num>
  <w:num w:numId="33">
    <w:abstractNumId w:val="14"/>
  </w:num>
  <w:num w:numId="34">
    <w:abstractNumId w:val="26"/>
  </w:num>
  <w:num w:numId="35">
    <w:abstractNumId w:val="15"/>
  </w:num>
  <w:num w:numId="36">
    <w:abstractNumId w:val="29"/>
  </w:num>
  <w:num w:numId="37">
    <w:abstractNumId w:val="41"/>
  </w:num>
  <w:num w:numId="38">
    <w:abstractNumId w:val="12"/>
  </w:num>
  <w:num w:numId="39">
    <w:abstractNumId w:val="10"/>
  </w:num>
  <w:num w:numId="40">
    <w:abstractNumId w:val="13"/>
  </w:num>
  <w:num w:numId="41">
    <w:abstractNumId w:val="16"/>
  </w:num>
  <w:num w:numId="42">
    <w:abstractNumId w:val="0"/>
  </w:num>
  <w:num w:numId="43">
    <w:abstractNumId w:val="32"/>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26EC"/>
    <w:rsid w:val="000369E5"/>
    <w:rsid w:val="00047183"/>
    <w:rsid w:val="000663A8"/>
    <w:rsid w:val="00085131"/>
    <w:rsid w:val="0008680D"/>
    <w:rsid w:val="00092653"/>
    <w:rsid w:val="000A15DA"/>
    <w:rsid w:val="000D3A90"/>
    <w:rsid w:val="000F7C57"/>
    <w:rsid w:val="00105BE2"/>
    <w:rsid w:val="0013468C"/>
    <w:rsid w:val="001509AC"/>
    <w:rsid w:val="00176E7B"/>
    <w:rsid w:val="001C3132"/>
    <w:rsid w:val="001E1E0C"/>
    <w:rsid w:val="001F7F41"/>
    <w:rsid w:val="00201C14"/>
    <w:rsid w:val="002100A6"/>
    <w:rsid w:val="00243257"/>
    <w:rsid w:val="002648DE"/>
    <w:rsid w:val="0027297F"/>
    <w:rsid w:val="002B156F"/>
    <w:rsid w:val="002D37BD"/>
    <w:rsid w:val="002D51E5"/>
    <w:rsid w:val="002E4FBF"/>
    <w:rsid w:val="00315AB7"/>
    <w:rsid w:val="003660DF"/>
    <w:rsid w:val="00390BB8"/>
    <w:rsid w:val="003A57C1"/>
    <w:rsid w:val="003A64BC"/>
    <w:rsid w:val="003B6E34"/>
    <w:rsid w:val="003C6164"/>
    <w:rsid w:val="003D615F"/>
    <w:rsid w:val="004078B4"/>
    <w:rsid w:val="004124D4"/>
    <w:rsid w:val="00434B87"/>
    <w:rsid w:val="004718BE"/>
    <w:rsid w:val="004A521A"/>
    <w:rsid w:val="004A7950"/>
    <w:rsid w:val="004B7806"/>
    <w:rsid w:val="004C5890"/>
    <w:rsid w:val="004E4292"/>
    <w:rsid w:val="004F611F"/>
    <w:rsid w:val="00502281"/>
    <w:rsid w:val="005076C6"/>
    <w:rsid w:val="00512A3C"/>
    <w:rsid w:val="00530D11"/>
    <w:rsid w:val="00560444"/>
    <w:rsid w:val="00575FF5"/>
    <w:rsid w:val="00593BAE"/>
    <w:rsid w:val="005D7B93"/>
    <w:rsid w:val="00602263"/>
    <w:rsid w:val="006037F9"/>
    <w:rsid w:val="00610A3F"/>
    <w:rsid w:val="00616A98"/>
    <w:rsid w:val="00654C64"/>
    <w:rsid w:val="00655986"/>
    <w:rsid w:val="006572D0"/>
    <w:rsid w:val="006615FC"/>
    <w:rsid w:val="006926ED"/>
    <w:rsid w:val="006C30FC"/>
    <w:rsid w:val="006C3431"/>
    <w:rsid w:val="006D6A88"/>
    <w:rsid w:val="00705A17"/>
    <w:rsid w:val="00711ABB"/>
    <w:rsid w:val="00743372"/>
    <w:rsid w:val="00744B2C"/>
    <w:rsid w:val="00763832"/>
    <w:rsid w:val="007A35B3"/>
    <w:rsid w:val="007A7ABE"/>
    <w:rsid w:val="007D41ED"/>
    <w:rsid w:val="007D4DEB"/>
    <w:rsid w:val="007F5420"/>
    <w:rsid w:val="007F55EB"/>
    <w:rsid w:val="00806CD1"/>
    <w:rsid w:val="00810A63"/>
    <w:rsid w:val="0084669C"/>
    <w:rsid w:val="008724E7"/>
    <w:rsid w:val="00893163"/>
    <w:rsid w:val="00893D92"/>
    <w:rsid w:val="008C06F2"/>
    <w:rsid w:val="008C3448"/>
    <w:rsid w:val="008F0844"/>
    <w:rsid w:val="00901D72"/>
    <w:rsid w:val="00922C47"/>
    <w:rsid w:val="0092581B"/>
    <w:rsid w:val="0093228B"/>
    <w:rsid w:val="00963537"/>
    <w:rsid w:val="00980EC1"/>
    <w:rsid w:val="00990658"/>
    <w:rsid w:val="00992FE1"/>
    <w:rsid w:val="009939A6"/>
    <w:rsid w:val="009964EE"/>
    <w:rsid w:val="009B19F9"/>
    <w:rsid w:val="009B1A51"/>
    <w:rsid w:val="009C2181"/>
    <w:rsid w:val="009F1447"/>
    <w:rsid w:val="009F2B36"/>
    <w:rsid w:val="00A019A7"/>
    <w:rsid w:val="00A1488C"/>
    <w:rsid w:val="00A16DF8"/>
    <w:rsid w:val="00A205A8"/>
    <w:rsid w:val="00A206D7"/>
    <w:rsid w:val="00A24E3A"/>
    <w:rsid w:val="00A55AF4"/>
    <w:rsid w:val="00A60E60"/>
    <w:rsid w:val="00A6314D"/>
    <w:rsid w:val="00A64D64"/>
    <w:rsid w:val="00A65146"/>
    <w:rsid w:val="00A826ED"/>
    <w:rsid w:val="00A85847"/>
    <w:rsid w:val="00A90B2E"/>
    <w:rsid w:val="00A95914"/>
    <w:rsid w:val="00AA5C94"/>
    <w:rsid w:val="00AB1528"/>
    <w:rsid w:val="00AD20B9"/>
    <w:rsid w:val="00AD3420"/>
    <w:rsid w:val="00AF1817"/>
    <w:rsid w:val="00B26E9E"/>
    <w:rsid w:val="00B326E1"/>
    <w:rsid w:val="00B36745"/>
    <w:rsid w:val="00B47C09"/>
    <w:rsid w:val="00B63267"/>
    <w:rsid w:val="00B675AF"/>
    <w:rsid w:val="00B80BFC"/>
    <w:rsid w:val="00BB05F8"/>
    <w:rsid w:val="00BB56E4"/>
    <w:rsid w:val="00BC660B"/>
    <w:rsid w:val="00C06406"/>
    <w:rsid w:val="00C2342F"/>
    <w:rsid w:val="00C25D15"/>
    <w:rsid w:val="00C467C2"/>
    <w:rsid w:val="00C64CF2"/>
    <w:rsid w:val="00CA1FF4"/>
    <w:rsid w:val="00CB25C8"/>
    <w:rsid w:val="00CE2CB4"/>
    <w:rsid w:val="00CE7BA4"/>
    <w:rsid w:val="00CF63A8"/>
    <w:rsid w:val="00CF73BB"/>
    <w:rsid w:val="00D00D5A"/>
    <w:rsid w:val="00D024D5"/>
    <w:rsid w:val="00D05762"/>
    <w:rsid w:val="00D05897"/>
    <w:rsid w:val="00D06130"/>
    <w:rsid w:val="00D20199"/>
    <w:rsid w:val="00D444A6"/>
    <w:rsid w:val="00D55F68"/>
    <w:rsid w:val="00D6434A"/>
    <w:rsid w:val="00D9647A"/>
    <w:rsid w:val="00DE04EF"/>
    <w:rsid w:val="00DE3EC2"/>
    <w:rsid w:val="00E01561"/>
    <w:rsid w:val="00E04B46"/>
    <w:rsid w:val="00E06E2B"/>
    <w:rsid w:val="00E34B6E"/>
    <w:rsid w:val="00E52CB2"/>
    <w:rsid w:val="00E70CE2"/>
    <w:rsid w:val="00E75773"/>
    <w:rsid w:val="00E831D2"/>
    <w:rsid w:val="00E841B4"/>
    <w:rsid w:val="00EB1112"/>
    <w:rsid w:val="00EE5487"/>
    <w:rsid w:val="00EF16B0"/>
    <w:rsid w:val="00EF3893"/>
    <w:rsid w:val="00F033F3"/>
    <w:rsid w:val="00F171E8"/>
    <w:rsid w:val="00F411EB"/>
    <w:rsid w:val="00F4377B"/>
    <w:rsid w:val="00F507EC"/>
    <w:rsid w:val="00F61CCB"/>
    <w:rsid w:val="00F638D5"/>
    <w:rsid w:val="00FB600B"/>
    <w:rsid w:val="00FC185D"/>
    <w:rsid w:val="00FC4439"/>
    <w:rsid w:val="00FC497D"/>
    <w:rsid w:val="00FD757D"/>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F50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paragraph" w:styleId="Ttulo">
    <w:name w:val="Title"/>
    <w:basedOn w:val="Normal"/>
    <w:next w:val="Normal"/>
    <w:link w:val="TtuloCar"/>
    <w:uiPriority w:val="10"/>
    <w:qFormat/>
    <w:rsid w:val="00D444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44A6"/>
    <w:rPr>
      <w:rFonts w:asciiTheme="majorHAnsi" w:eastAsiaTheme="majorEastAsia" w:hAnsiTheme="majorHAnsi" w:cstheme="majorBidi"/>
      <w:spacing w:val="-10"/>
      <w:kern w:val="28"/>
      <w:sz w:val="56"/>
      <w:szCs w:val="56"/>
      <w:lang w:val="es-419"/>
    </w:rPr>
  </w:style>
  <w:style w:type="paragraph" w:styleId="Textoindependiente">
    <w:name w:val="Body Text"/>
    <w:basedOn w:val="Normal"/>
    <w:link w:val="TextoindependienteCar"/>
    <w:uiPriority w:val="99"/>
    <w:unhideWhenUsed/>
    <w:rsid w:val="00D444A6"/>
    <w:pPr>
      <w:spacing w:after="120"/>
    </w:pPr>
  </w:style>
  <w:style w:type="character" w:customStyle="1" w:styleId="TextoindependienteCar">
    <w:name w:val="Texto independiente Car"/>
    <w:basedOn w:val="Fuentedeprrafopredeter"/>
    <w:link w:val="Textoindependiente"/>
    <w:uiPriority w:val="99"/>
    <w:rsid w:val="00D444A6"/>
    <w:rPr>
      <w:lang w:val="es-419"/>
    </w:rPr>
  </w:style>
  <w:style w:type="character" w:customStyle="1" w:styleId="Ttulo3Car">
    <w:name w:val="Título 3 Car"/>
    <w:basedOn w:val="Fuentedeprrafopredeter"/>
    <w:link w:val="Ttulo3"/>
    <w:uiPriority w:val="9"/>
    <w:semiHidden/>
    <w:rsid w:val="00F507EC"/>
    <w:rPr>
      <w:rFonts w:asciiTheme="majorHAnsi" w:eastAsiaTheme="majorEastAsia" w:hAnsiTheme="majorHAnsi" w:cstheme="majorBidi"/>
      <w:color w:val="1F3763" w:themeColor="accent1" w:themeShade="7F"/>
      <w:sz w:val="24"/>
      <w:szCs w:val="24"/>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4644">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603460532">
      <w:bodyDiv w:val="1"/>
      <w:marLeft w:val="0"/>
      <w:marRight w:val="0"/>
      <w:marTop w:val="0"/>
      <w:marBottom w:val="0"/>
      <w:divBdr>
        <w:top w:val="none" w:sz="0" w:space="0" w:color="auto"/>
        <w:left w:val="none" w:sz="0" w:space="0" w:color="auto"/>
        <w:bottom w:val="none" w:sz="0" w:space="0" w:color="auto"/>
        <w:right w:val="none" w:sz="0" w:space="0" w:color="auto"/>
      </w:divBdr>
    </w:div>
    <w:div w:id="616448151">
      <w:bodyDiv w:val="1"/>
      <w:marLeft w:val="0"/>
      <w:marRight w:val="0"/>
      <w:marTop w:val="0"/>
      <w:marBottom w:val="0"/>
      <w:divBdr>
        <w:top w:val="none" w:sz="0" w:space="0" w:color="auto"/>
        <w:left w:val="none" w:sz="0" w:space="0" w:color="auto"/>
        <w:bottom w:val="none" w:sz="0" w:space="0" w:color="auto"/>
        <w:right w:val="none" w:sz="0" w:space="0" w:color="auto"/>
      </w:divBdr>
    </w:div>
    <w:div w:id="720834314">
      <w:bodyDiv w:val="1"/>
      <w:marLeft w:val="0"/>
      <w:marRight w:val="0"/>
      <w:marTop w:val="0"/>
      <w:marBottom w:val="0"/>
      <w:divBdr>
        <w:top w:val="none" w:sz="0" w:space="0" w:color="auto"/>
        <w:left w:val="none" w:sz="0" w:space="0" w:color="auto"/>
        <w:bottom w:val="none" w:sz="0" w:space="0" w:color="auto"/>
        <w:right w:val="none" w:sz="0" w:space="0" w:color="auto"/>
      </w:divBdr>
    </w:div>
    <w:div w:id="838038024">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146700313">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879510088">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200937">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10</Pages>
  <Words>2308</Words>
  <Characters>12700</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15</cp:revision>
  <dcterms:created xsi:type="dcterms:W3CDTF">2025-10-30T16:00:00Z</dcterms:created>
  <dcterms:modified xsi:type="dcterms:W3CDTF">2025-11-04T02:01:00Z</dcterms:modified>
</cp:coreProperties>
</file>