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401E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8E7A5EC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49D54592" w14:textId="77777777" w:rsidR="00FD1DD3" w:rsidRDefault="00FD1DD3">
      <w:pPr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15DACF07" w14:textId="77777777" w:rsidR="00FD1DD3" w:rsidRDefault="00000000">
      <w:pPr>
        <w:jc w:val="center"/>
        <w:rPr>
          <w:rFonts w:asciiTheme="minorHAnsi" w:hAnsiTheme="minorHAnsi"/>
          <w:b/>
          <w:bCs/>
          <w:color w:val="FF0000"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PLAN INSTITUCIONAL DE IMPLEMENTACIÓN DE INFARTO AGUDO DE MIOCARDIO</w:t>
      </w:r>
    </w:p>
    <w:p w14:paraId="064502FB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20901CF2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3B32783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1AFF9DE4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B58EA60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7D2447B4" w14:textId="77777777" w:rsidR="00FD1DD3" w:rsidRDefault="00000000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BA545E" wp14:editId="740F2420">
            <wp:simplePos x="0" y="0"/>
            <wp:positionH relativeFrom="column">
              <wp:posOffset>1783077</wp:posOffset>
            </wp:positionH>
            <wp:positionV relativeFrom="page">
              <wp:posOffset>3886200</wp:posOffset>
            </wp:positionV>
            <wp:extent cx="3307081" cy="2647317"/>
            <wp:effectExtent l="0" t="0" r="7620" b="63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  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DFB4A1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68218896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6981C552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327BCB08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228CF7E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2ACE999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3E8A375F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77B1878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2866A616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4FE6274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2E13A20E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423CC97A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310A37B8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700864FC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D16FAE8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45A4445D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49DF7276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1C36E812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171ADCB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1250184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3B7E459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40BFDC92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1B7D9B04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3CB097E2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tbl>
      <w:tblPr>
        <w:tblStyle w:val="Tablaconcuadrcula"/>
        <w:tblW w:w="8805" w:type="dxa"/>
        <w:jc w:val="center"/>
        <w:tblLayout w:type="fixed"/>
        <w:tblLook w:val="04A0" w:firstRow="1" w:lastRow="0" w:firstColumn="1" w:lastColumn="0" w:noHBand="0" w:noVBand="1"/>
      </w:tblPr>
      <w:tblGrid>
        <w:gridCol w:w="1128"/>
        <w:gridCol w:w="3260"/>
        <w:gridCol w:w="2978"/>
        <w:gridCol w:w="1439"/>
      </w:tblGrid>
      <w:tr w:rsidR="00FD1DD3" w14:paraId="6390FB77" w14:textId="77777777">
        <w:trPr>
          <w:trHeight w:val="20"/>
          <w:jc w:val="center"/>
        </w:trPr>
        <w:tc>
          <w:tcPr>
            <w:tcW w:w="1128" w:type="dxa"/>
            <w:tcBorders>
              <w:right w:val="single" w:sz="4" w:space="0" w:color="auto"/>
            </w:tcBorders>
          </w:tcPr>
          <w:p w14:paraId="5DBF921D" w14:textId="77777777" w:rsidR="00FD1DD3" w:rsidRDefault="00FD1DD3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bookmarkStart w:id="0" w:name="_Hlk84255673"/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555AA6" w14:textId="77777777" w:rsidR="00FD1DD3" w:rsidRDefault="00000000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>NOMBRE</w:t>
            </w:r>
          </w:p>
        </w:tc>
        <w:tc>
          <w:tcPr>
            <w:tcW w:w="2978" w:type="dxa"/>
          </w:tcPr>
          <w:p w14:paraId="7A834C4C" w14:textId="77777777" w:rsidR="00FD1DD3" w:rsidRDefault="00000000">
            <w:pPr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>CARGO</w:t>
            </w:r>
          </w:p>
        </w:tc>
        <w:tc>
          <w:tcPr>
            <w:tcW w:w="1439" w:type="dxa"/>
          </w:tcPr>
          <w:p w14:paraId="1A12F014" w14:textId="77777777" w:rsidR="00FD1DD3" w:rsidRDefault="00000000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 xml:space="preserve">FECHA </w:t>
            </w:r>
          </w:p>
        </w:tc>
      </w:tr>
      <w:tr w:rsidR="00FD1DD3" w14:paraId="1FF7BD06" w14:textId="77777777">
        <w:trPr>
          <w:trHeight w:val="20"/>
          <w:jc w:val="center"/>
        </w:trPr>
        <w:tc>
          <w:tcPr>
            <w:tcW w:w="1128" w:type="dxa"/>
          </w:tcPr>
          <w:p w14:paraId="4C0BFA04" w14:textId="77777777" w:rsidR="00FD1DD3" w:rsidRDefault="00000000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>ELABORÓ</w:t>
            </w:r>
          </w:p>
        </w:tc>
        <w:tc>
          <w:tcPr>
            <w:tcW w:w="3260" w:type="dxa"/>
          </w:tcPr>
          <w:p w14:paraId="028359FA" w14:textId="77777777" w:rsidR="00FD1DD3" w:rsidRDefault="00FD1DD3">
            <w:pPr>
              <w:tabs>
                <w:tab w:val="left" w:pos="-3188"/>
                <w:tab w:val="left" w:pos="-3046"/>
                <w:tab w:val="left" w:pos="781"/>
              </w:tabs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2978" w:type="dxa"/>
          </w:tcPr>
          <w:p w14:paraId="041F7C3A" w14:textId="77777777" w:rsidR="00FD1DD3" w:rsidRDefault="00FD1DD3">
            <w:pPr>
              <w:jc w:val="center"/>
              <w:rPr>
                <w:rFonts w:asciiTheme="minorHAnsi" w:hAnsiTheme="minorHAnsi"/>
                <w:szCs w:val="28"/>
              </w:rPr>
            </w:pPr>
          </w:p>
        </w:tc>
        <w:tc>
          <w:tcPr>
            <w:tcW w:w="1439" w:type="dxa"/>
          </w:tcPr>
          <w:p w14:paraId="46ED7D96" w14:textId="77777777" w:rsidR="00FD1DD3" w:rsidRDefault="00000000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sz w:val="20"/>
                <w:szCs w:val="20"/>
              </w:rPr>
              <w:t>01-08-2024</w:t>
            </w:r>
          </w:p>
        </w:tc>
      </w:tr>
      <w:tr w:rsidR="00FD1DD3" w14:paraId="2AADCDB5" w14:textId="77777777">
        <w:trPr>
          <w:trHeight w:val="20"/>
          <w:jc w:val="center"/>
        </w:trPr>
        <w:tc>
          <w:tcPr>
            <w:tcW w:w="1128" w:type="dxa"/>
          </w:tcPr>
          <w:p w14:paraId="7E1B5C0D" w14:textId="77777777" w:rsidR="00FD1DD3" w:rsidRDefault="00000000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>VALIDÓ</w:t>
            </w:r>
          </w:p>
        </w:tc>
        <w:tc>
          <w:tcPr>
            <w:tcW w:w="3260" w:type="dxa"/>
          </w:tcPr>
          <w:p w14:paraId="7AA76CDC" w14:textId="77777777" w:rsidR="00FD1DD3" w:rsidRDefault="00000000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rPr>
                <w:rFonts w:asciiTheme="minorHAnsi" w:hAnsiTheme="minorHAnsi"/>
                <w:szCs w:val="28"/>
              </w:rPr>
            </w:pPr>
            <w:r>
              <w:rPr>
                <w:rFonts w:asciiTheme="minorHAnsi" w:hAnsiTheme="minorHAnsi"/>
              </w:rPr>
              <w:t>Leidy Yibeth Toledo Rojas</w:t>
            </w:r>
          </w:p>
        </w:tc>
        <w:tc>
          <w:tcPr>
            <w:tcW w:w="2978" w:type="dxa"/>
          </w:tcPr>
          <w:p w14:paraId="040823CB" w14:textId="77777777" w:rsidR="00FD1DD3" w:rsidRDefault="00000000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Theme="minorHAnsi" w:hAnsiTheme="minorHAnsi"/>
              </w:rPr>
              <w:t>Referente Clínico de GPC</w:t>
            </w:r>
          </w:p>
        </w:tc>
        <w:tc>
          <w:tcPr>
            <w:tcW w:w="1439" w:type="dxa"/>
          </w:tcPr>
          <w:p w14:paraId="4751DD91" w14:textId="77777777" w:rsidR="00FD1DD3" w:rsidRDefault="00FD1DD3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szCs w:val="28"/>
              </w:rPr>
            </w:pPr>
          </w:p>
        </w:tc>
      </w:tr>
      <w:tr w:rsidR="00FD1DD3" w14:paraId="766DD2F2" w14:textId="77777777">
        <w:trPr>
          <w:trHeight w:val="20"/>
          <w:jc w:val="center"/>
        </w:trPr>
        <w:tc>
          <w:tcPr>
            <w:tcW w:w="1128" w:type="dxa"/>
          </w:tcPr>
          <w:p w14:paraId="68B95DE9" w14:textId="77777777" w:rsidR="00FD1DD3" w:rsidRDefault="00000000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inorHAnsi" w:hAnsiTheme="minorHAnsi"/>
                <w:b/>
                <w:szCs w:val="28"/>
              </w:rPr>
            </w:pPr>
            <w:r>
              <w:rPr>
                <w:rFonts w:asciiTheme="minorHAnsi" w:hAnsiTheme="minorHAnsi"/>
                <w:b/>
              </w:rPr>
              <w:t>APROBÓ</w:t>
            </w:r>
          </w:p>
        </w:tc>
        <w:tc>
          <w:tcPr>
            <w:tcW w:w="3260" w:type="dxa"/>
          </w:tcPr>
          <w:p w14:paraId="2A54A696" w14:textId="77777777" w:rsidR="00FD1DD3" w:rsidRDefault="00000000">
            <w:pPr>
              <w:tabs>
                <w:tab w:val="left" w:pos="567"/>
                <w:tab w:val="left" w:pos="781"/>
                <w:tab w:val="left" w:pos="1134"/>
                <w:tab w:val="left" w:pos="2552"/>
              </w:tabs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sz w:val="20"/>
                <w:szCs w:val="20"/>
              </w:rPr>
              <w:t xml:space="preserve">Karin Milena Gamba </w:t>
            </w:r>
          </w:p>
        </w:tc>
        <w:tc>
          <w:tcPr>
            <w:tcW w:w="2978" w:type="dxa"/>
          </w:tcPr>
          <w:p w14:paraId="0C879466" w14:textId="77777777" w:rsidR="00FD1DD3" w:rsidRDefault="00000000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sz w:val="20"/>
                <w:szCs w:val="20"/>
              </w:rPr>
              <w:t xml:space="preserve">Subgerente científica </w:t>
            </w:r>
          </w:p>
        </w:tc>
        <w:tc>
          <w:tcPr>
            <w:tcW w:w="1439" w:type="dxa"/>
          </w:tcPr>
          <w:p w14:paraId="4854C09B" w14:textId="77777777" w:rsidR="00FD1DD3" w:rsidRDefault="00000000">
            <w:pPr>
              <w:tabs>
                <w:tab w:val="left" w:pos="-3188"/>
                <w:tab w:val="left" w:pos="-3046"/>
              </w:tabs>
              <w:jc w:val="center"/>
              <w:rPr>
                <w:rFonts w:asciiTheme="minorHAnsi" w:hAnsiTheme="minorHAnsi"/>
                <w:szCs w:val="28"/>
              </w:rPr>
            </w:pPr>
            <w:r>
              <w:rPr>
                <w:rFonts w:asciiTheme="minorHAnsi" w:hAnsiTheme="minorHAnsi"/>
              </w:rPr>
              <w:t>01-08-2024</w:t>
            </w:r>
          </w:p>
        </w:tc>
      </w:tr>
      <w:bookmarkEnd w:id="0"/>
    </w:tbl>
    <w:p w14:paraId="6E42898B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09A38E9D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62A2CCEA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1A9C0979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6F241FFA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p w14:paraId="57EB9C6D" w14:textId="77777777" w:rsidR="00FD1DD3" w:rsidRDefault="00FD1DD3">
      <w:pPr>
        <w:rPr>
          <w:rFonts w:asciiTheme="majorHAnsi" w:hAnsiTheme="majorHAnsi"/>
          <w:sz w:val="24"/>
          <w:szCs w:val="24"/>
        </w:rPr>
      </w:pPr>
    </w:p>
    <w:tbl>
      <w:tblPr>
        <w:tblStyle w:val="TableNormal"/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5020"/>
        <w:gridCol w:w="445"/>
        <w:gridCol w:w="390"/>
        <w:gridCol w:w="577"/>
        <w:gridCol w:w="392"/>
      </w:tblGrid>
      <w:tr w:rsidR="00FD1DD3" w14:paraId="2814A6C6" w14:textId="77777777">
        <w:trPr>
          <w:trHeight w:val="275"/>
        </w:trPr>
        <w:tc>
          <w:tcPr>
            <w:tcW w:w="10082" w:type="dxa"/>
            <w:gridSpan w:val="6"/>
            <w:shd w:val="clear" w:color="auto" w:fill="C2D69B"/>
          </w:tcPr>
          <w:p w14:paraId="04DCDCF0" w14:textId="77777777" w:rsidR="00FD1DD3" w:rsidRDefault="00000000">
            <w:pPr>
              <w:pStyle w:val="TableParagraph"/>
              <w:spacing w:line="255" w:lineRule="exact"/>
              <w:ind w:left="441"/>
              <w:jc w:val="center"/>
              <w:rPr>
                <w:rFonts w:asciiTheme="minorHAnsi" w:hAnsiTheme="minorHAnsi"/>
                <w:b/>
                <w:sz w:val="18"/>
                <w:szCs w:val="16"/>
              </w:rPr>
            </w:pPr>
            <w:r>
              <w:rPr>
                <w:rFonts w:asciiTheme="minorHAnsi" w:hAnsiTheme="minorHAnsi"/>
                <w:b/>
              </w:rPr>
              <w:lastRenderedPageBreak/>
              <w:t xml:space="preserve">GUIA DE PRACTICA CLINICA (GPC), LINEAMIENTO O PROTOCOLO </w:t>
            </w:r>
          </w:p>
        </w:tc>
      </w:tr>
      <w:tr w:rsidR="00FD1DD3" w14:paraId="1F7E5884" w14:textId="77777777">
        <w:trPr>
          <w:trHeight w:val="275"/>
        </w:trPr>
        <w:tc>
          <w:tcPr>
            <w:tcW w:w="3258" w:type="dxa"/>
            <w:shd w:val="clear" w:color="auto" w:fill="D6E3BC"/>
          </w:tcPr>
          <w:p w14:paraId="3B4ECDA0" w14:textId="77777777" w:rsidR="00FD1DD3" w:rsidRDefault="00000000">
            <w:pPr>
              <w:pStyle w:val="TableParagraph"/>
              <w:spacing w:line="255" w:lineRule="exact"/>
              <w:rPr>
                <w:rFonts w:asciiTheme="minorHAnsi" w:hAnsiTheme="minorHAnsi"/>
                <w:b/>
                <w:sz w:val="20"/>
                <w:szCs w:val="18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1. SERVICIO</w:t>
            </w:r>
          </w:p>
        </w:tc>
        <w:tc>
          <w:tcPr>
            <w:tcW w:w="6824" w:type="dxa"/>
            <w:gridSpan w:val="5"/>
          </w:tcPr>
          <w:p w14:paraId="593348D7" w14:textId="77777777" w:rsidR="00FD1DD3" w:rsidRDefault="00000000">
            <w:pPr>
              <w:pStyle w:val="TableParagraph"/>
              <w:spacing w:line="255" w:lineRule="exact"/>
              <w:ind w:left="107"/>
              <w:jc w:val="center"/>
              <w:rPr>
                <w:rFonts w:asciiTheme="minorHAnsi" w:hAnsiTheme="minorHAnsi"/>
                <w:sz w:val="20"/>
                <w:szCs w:val="18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Hospitalización - Urgencias</w:t>
            </w:r>
          </w:p>
        </w:tc>
      </w:tr>
      <w:tr w:rsidR="00FD1DD3" w14:paraId="6CFF400E" w14:textId="77777777">
        <w:trPr>
          <w:trHeight w:val="551"/>
        </w:trPr>
        <w:tc>
          <w:tcPr>
            <w:tcW w:w="3258" w:type="dxa"/>
            <w:shd w:val="clear" w:color="auto" w:fill="D6E3BC"/>
          </w:tcPr>
          <w:p w14:paraId="4D1695D2" w14:textId="77777777" w:rsidR="00FD1DD3" w:rsidRDefault="00000000">
            <w:pPr>
              <w:pStyle w:val="TableParagraph"/>
              <w:rPr>
                <w:rFonts w:asciiTheme="minorHAnsi" w:hAnsiTheme="minorHAnsi"/>
                <w:b/>
                <w:sz w:val="20"/>
                <w:szCs w:val="18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2. NOMBRE DE LA GUIA</w:t>
            </w:r>
          </w:p>
        </w:tc>
        <w:tc>
          <w:tcPr>
            <w:tcW w:w="6824" w:type="dxa"/>
            <w:gridSpan w:val="5"/>
          </w:tcPr>
          <w:p w14:paraId="767E7945" w14:textId="77777777" w:rsidR="00FD1DD3" w:rsidRDefault="0000000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  <w:shd w:val="clear" w:color="auto" w:fill="FFFFFF"/>
              </w:rPr>
              <w:t>Guía de práctica clínica Infarto Agudo de Miocardio</w:t>
            </w:r>
          </w:p>
        </w:tc>
      </w:tr>
      <w:tr w:rsidR="00FD1DD3" w14:paraId="5F89DCF5" w14:textId="77777777">
        <w:trPr>
          <w:trHeight w:val="553"/>
        </w:trPr>
        <w:tc>
          <w:tcPr>
            <w:tcW w:w="8278" w:type="dxa"/>
            <w:gridSpan w:val="2"/>
            <w:shd w:val="clear" w:color="auto" w:fill="D6E3BC"/>
          </w:tcPr>
          <w:p w14:paraId="174939D2" w14:textId="77777777" w:rsidR="00FD1DD3" w:rsidRDefault="00000000">
            <w:pPr>
              <w:pStyle w:val="TableParagraph"/>
              <w:spacing w:line="270" w:lineRule="atLeast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3. ¿EXISTE GUIA DE PRACTICA CLINICA EN EL MINISTERIO DE   SALUD Y PROTECCIÓN SOCIAL?</w:t>
            </w:r>
          </w:p>
        </w:tc>
        <w:tc>
          <w:tcPr>
            <w:tcW w:w="445" w:type="dxa"/>
          </w:tcPr>
          <w:p w14:paraId="6F3BF3F2" w14:textId="77777777" w:rsidR="00FD1DD3" w:rsidRDefault="00000000">
            <w:pPr>
              <w:pStyle w:val="TableParagraph"/>
              <w:spacing w:before="2"/>
              <w:ind w:left="107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SI</w:t>
            </w:r>
          </w:p>
        </w:tc>
        <w:tc>
          <w:tcPr>
            <w:tcW w:w="390" w:type="dxa"/>
          </w:tcPr>
          <w:p w14:paraId="6A0A6FC4" w14:textId="77777777" w:rsidR="00FD1DD3" w:rsidRDefault="00000000">
            <w:pPr>
              <w:pStyle w:val="TableParagraph"/>
              <w:spacing w:before="2"/>
              <w:ind w:left="106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77" w:type="dxa"/>
          </w:tcPr>
          <w:p w14:paraId="2D6E9EED" w14:textId="77777777" w:rsidR="00FD1DD3" w:rsidRDefault="00000000">
            <w:pPr>
              <w:pStyle w:val="TableParagraph"/>
              <w:spacing w:before="2"/>
              <w:ind w:left="10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</w:t>
            </w:r>
          </w:p>
        </w:tc>
        <w:tc>
          <w:tcPr>
            <w:tcW w:w="392" w:type="dxa"/>
          </w:tcPr>
          <w:p w14:paraId="07D3B315" w14:textId="77777777" w:rsidR="00FD1DD3" w:rsidRDefault="00FD1DD3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="00FD1DD3" w14:paraId="472111AA" w14:textId="77777777">
        <w:trPr>
          <w:trHeight w:val="553"/>
        </w:trPr>
        <w:tc>
          <w:tcPr>
            <w:tcW w:w="10082" w:type="dxa"/>
            <w:gridSpan w:val="6"/>
            <w:shd w:val="clear" w:color="auto" w:fill="D6E3BC"/>
          </w:tcPr>
          <w:p w14:paraId="46EE82E9" w14:textId="77777777" w:rsidR="00FD1DD3" w:rsidRDefault="00000000">
            <w:pPr>
              <w:pStyle w:val="TableParagraph"/>
              <w:spacing w:line="270" w:lineRule="atLeast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4. EN CASO DE RESPUESTA NEGATIVA DESCRIBIR METODOLOGÍA DE ADOPCIÓN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No aplica</w:t>
            </w:r>
          </w:p>
        </w:tc>
      </w:tr>
    </w:tbl>
    <w:p w14:paraId="5AAF8B9C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49"/>
        <w:gridCol w:w="3119"/>
        <w:gridCol w:w="3739"/>
      </w:tblGrid>
      <w:tr w:rsidR="00FD1DD3" w14:paraId="5D2747EE" w14:textId="77777777">
        <w:trPr>
          <w:trHeight w:val="275"/>
        </w:trPr>
        <w:tc>
          <w:tcPr>
            <w:tcW w:w="10207" w:type="dxa"/>
            <w:gridSpan w:val="3"/>
            <w:shd w:val="clear" w:color="auto" w:fill="C2D69B"/>
          </w:tcPr>
          <w:p w14:paraId="1B8BCC3F" w14:textId="77777777" w:rsidR="00FD1DD3" w:rsidRDefault="00000000">
            <w:pPr>
              <w:pStyle w:val="TableParagraph"/>
              <w:spacing w:line="255" w:lineRule="exact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 xml:space="preserve">                                                               5. GRUPO DE DESARROLLO Y EJECUCIÓN</w:t>
            </w:r>
          </w:p>
        </w:tc>
      </w:tr>
      <w:tr w:rsidR="00FD1DD3" w14:paraId="07DA3DE5" w14:textId="77777777">
        <w:trPr>
          <w:trHeight w:val="276"/>
        </w:trPr>
        <w:tc>
          <w:tcPr>
            <w:tcW w:w="3349" w:type="dxa"/>
            <w:shd w:val="clear" w:color="auto" w:fill="D6E3BC"/>
          </w:tcPr>
          <w:p w14:paraId="46FF5465" w14:textId="77777777" w:rsidR="00FD1DD3" w:rsidRDefault="00000000">
            <w:pPr>
              <w:pStyle w:val="TableParagraph"/>
              <w:spacing w:before="1" w:line="255" w:lineRule="exact"/>
              <w:ind w:left="468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               Nombre</w:t>
            </w:r>
          </w:p>
        </w:tc>
        <w:tc>
          <w:tcPr>
            <w:tcW w:w="3119" w:type="dxa"/>
            <w:shd w:val="clear" w:color="auto" w:fill="D6E3BC"/>
          </w:tcPr>
          <w:p w14:paraId="4C5585DA" w14:textId="77777777" w:rsidR="00FD1DD3" w:rsidRDefault="00000000">
            <w:pPr>
              <w:pStyle w:val="TableParagraph"/>
              <w:spacing w:before="1" w:line="255" w:lineRule="exact"/>
              <w:ind w:left="467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739" w:type="dxa"/>
            <w:shd w:val="clear" w:color="auto" w:fill="D6E3BC"/>
          </w:tcPr>
          <w:p w14:paraId="07FCC9E6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Dependencia</w:t>
            </w:r>
          </w:p>
        </w:tc>
      </w:tr>
      <w:tr w:rsidR="00FD1DD3" w14:paraId="6204607E" w14:textId="77777777">
        <w:trPr>
          <w:trHeight w:val="416"/>
        </w:trPr>
        <w:tc>
          <w:tcPr>
            <w:tcW w:w="3349" w:type="dxa"/>
            <w:vAlign w:val="center"/>
          </w:tcPr>
          <w:p w14:paraId="5A853CA7" w14:textId="77777777" w:rsidR="00FD1DD3" w:rsidRDefault="00000000">
            <w:pPr>
              <w:pStyle w:val="TableParagraph"/>
              <w:spacing w:before="139"/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Fabián Sánchez</w:t>
            </w:r>
          </w:p>
        </w:tc>
        <w:tc>
          <w:tcPr>
            <w:tcW w:w="3119" w:type="dxa"/>
            <w:vAlign w:val="center"/>
          </w:tcPr>
          <w:p w14:paraId="4474B0EE" w14:textId="77777777" w:rsidR="00FD1DD3" w:rsidRDefault="00000000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Médico Internista</w:t>
            </w:r>
          </w:p>
        </w:tc>
        <w:tc>
          <w:tcPr>
            <w:tcW w:w="3739" w:type="dxa"/>
            <w:shd w:val="clear" w:color="auto" w:fill="FFFFFF"/>
            <w:vAlign w:val="center"/>
          </w:tcPr>
          <w:p w14:paraId="4BB46145" w14:textId="77777777" w:rsidR="00FD1DD3" w:rsidRDefault="00000000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Clínico Asistencial</w:t>
            </w:r>
          </w:p>
        </w:tc>
      </w:tr>
    </w:tbl>
    <w:p w14:paraId="5CF6A61A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7"/>
        <w:gridCol w:w="2587"/>
        <w:gridCol w:w="2587"/>
        <w:gridCol w:w="744"/>
        <w:gridCol w:w="425"/>
        <w:gridCol w:w="284"/>
        <w:gridCol w:w="524"/>
        <w:gridCol w:w="610"/>
      </w:tblGrid>
      <w:tr w:rsidR="00FD1DD3" w14:paraId="3CB3CA21" w14:textId="77777777">
        <w:trPr>
          <w:trHeight w:val="275"/>
        </w:trPr>
        <w:tc>
          <w:tcPr>
            <w:tcW w:w="10348" w:type="dxa"/>
            <w:gridSpan w:val="8"/>
            <w:shd w:val="clear" w:color="auto" w:fill="C2D69B"/>
          </w:tcPr>
          <w:p w14:paraId="7D4F1599" w14:textId="77777777" w:rsidR="00FD1DD3" w:rsidRDefault="00000000">
            <w:pPr>
              <w:pStyle w:val="TableParagraph"/>
              <w:spacing w:line="255" w:lineRule="exact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b/>
              </w:rPr>
              <w:t xml:space="preserve">                                           6. REVISIÓN DE RECOMENDACIONES DE GUIA DE PRACTICA CLINICA </w:t>
            </w:r>
          </w:p>
          <w:p w14:paraId="5DFC8CD6" w14:textId="77777777" w:rsidR="00FD1DD3" w:rsidRDefault="00FD1DD3">
            <w:pPr>
              <w:pStyle w:val="Sinespaciado"/>
              <w:jc w:val="both"/>
              <w:rPr>
                <w:rFonts w:asciiTheme="minorHAnsi" w:hAnsiTheme="minorHAnsi"/>
              </w:rPr>
            </w:pPr>
          </w:p>
        </w:tc>
      </w:tr>
      <w:tr w:rsidR="00FD1DD3" w14:paraId="43C52869" w14:textId="77777777">
        <w:trPr>
          <w:trHeight w:val="553"/>
        </w:trPr>
        <w:tc>
          <w:tcPr>
            <w:tcW w:w="8505" w:type="dxa"/>
            <w:gridSpan w:val="4"/>
            <w:shd w:val="clear" w:color="auto" w:fill="D6E3BC"/>
            <w:vAlign w:val="center"/>
          </w:tcPr>
          <w:p w14:paraId="585E2C67" w14:textId="77777777" w:rsidR="00FD1DD3" w:rsidRDefault="00000000">
            <w:pPr>
              <w:pStyle w:val="TableParagraph"/>
              <w:spacing w:line="270" w:lineRule="atLeast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¿ALGUNAS DE LAS RECOMENDACIONES DE LA GPC REQUIERE ACTUALIZACIÓN?</w:t>
            </w:r>
          </w:p>
        </w:tc>
        <w:tc>
          <w:tcPr>
            <w:tcW w:w="425" w:type="dxa"/>
            <w:vAlign w:val="center"/>
          </w:tcPr>
          <w:p w14:paraId="2FDA5225" w14:textId="77777777" w:rsidR="00FD1DD3" w:rsidRDefault="00FD1DD3">
            <w:pPr>
              <w:pStyle w:val="TableParagraph"/>
              <w:spacing w:before="2"/>
              <w:ind w:left="107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658E3067" w14:textId="77777777" w:rsidR="00FD1DD3" w:rsidRDefault="00000000">
            <w:pPr>
              <w:pStyle w:val="TableParagraph"/>
              <w:spacing w:before="2"/>
              <w:ind w:left="107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SI</w:t>
            </w:r>
          </w:p>
        </w:tc>
        <w:tc>
          <w:tcPr>
            <w:tcW w:w="284" w:type="dxa"/>
            <w:vAlign w:val="center"/>
          </w:tcPr>
          <w:p w14:paraId="1AE3CCE4" w14:textId="77777777" w:rsidR="00FD1DD3" w:rsidRDefault="00FD1DD3">
            <w:pPr>
              <w:pStyle w:val="TableParagraph"/>
              <w:spacing w:before="2"/>
              <w:ind w:left="106"/>
              <w:jc w:val="center"/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303808C4" w14:textId="728BB0EB" w:rsidR="00FD1DD3" w:rsidRDefault="00B55AE5">
            <w:pPr>
              <w:pStyle w:val="TableParagraph"/>
              <w:spacing w:before="2"/>
              <w:ind w:left="106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x</w:t>
            </w:r>
          </w:p>
        </w:tc>
        <w:tc>
          <w:tcPr>
            <w:tcW w:w="524" w:type="dxa"/>
            <w:vAlign w:val="center"/>
          </w:tcPr>
          <w:p w14:paraId="70B51B0C" w14:textId="77777777" w:rsidR="00FD1DD3" w:rsidRDefault="00FD1DD3">
            <w:pPr>
              <w:pStyle w:val="TableParagraph"/>
              <w:spacing w:before="2"/>
              <w:ind w:left="104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  <w:p w14:paraId="6EDB7F03" w14:textId="77777777" w:rsidR="00FD1DD3" w:rsidRDefault="00000000">
            <w:pPr>
              <w:pStyle w:val="TableParagraph"/>
              <w:spacing w:before="2"/>
              <w:ind w:left="104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</w:t>
            </w:r>
          </w:p>
        </w:tc>
        <w:tc>
          <w:tcPr>
            <w:tcW w:w="610" w:type="dxa"/>
            <w:vAlign w:val="center"/>
          </w:tcPr>
          <w:p w14:paraId="75A48668" w14:textId="3BD842E9" w:rsidR="00FD1DD3" w:rsidRDefault="00FD1DD3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</w:tr>
      <w:tr w:rsidR="00FD1DD3" w14:paraId="7A5E72E1" w14:textId="77777777">
        <w:trPr>
          <w:trHeight w:val="276"/>
        </w:trPr>
        <w:tc>
          <w:tcPr>
            <w:tcW w:w="2587" w:type="dxa"/>
            <w:shd w:val="clear" w:color="auto" w:fill="D6E3BC"/>
          </w:tcPr>
          <w:p w14:paraId="7DAC1BE2" w14:textId="77777777" w:rsidR="00FD1DD3" w:rsidRDefault="00000000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Recomendación</w:t>
            </w:r>
          </w:p>
        </w:tc>
        <w:tc>
          <w:tcPr>
            <w:tcW w:w="2587" w:type="dxa"/>
            <w:shd w:val="clear" w:color="auto" w:fill="D6E3BC"/>
          </w:tcPr>
          <w:p w14:paraId="4EB6A1D7" w14:textId="77777777" w:rsidR="00FD1DD3" w:rsidRDefault="00000000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¿Cuál es la razón de modificación?</w:t>
            </w:r>
          </w:p>
        </w:tc>
        <w:tc>
          <w:tcPr>
            <w:tcW w:w="2587" w:type="dxa"/>
            <w:shd w:val="clear" w:color="auto" w:fill="D6E3BC"/>
          </w:tcPr>
          <w:p w14:paraId="4F6B8EF2" w14:textId="77777777" w:rsidR="00FD1DD3" w:rsidRDefault="00000000">
            <w:pPr>
              <w:pStyle w:val="TableParagraph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Recomendación actualizada</w:t>
            </w:r>
          </w:p>
        </w:tc>
        <w:tc>
          <w:tcPr>
            <w:tcW w:w="2587" w:type="dxa"/>
            <w:gridSpan w:val="5"/>
            <w:shd w:val="clear" w:color="auto" w:fill="D6E3BC"/>
          </w:tcPr>
          <w:p w14:paraId="6C57AB95" w14:textId="77777777" w:rsidR="00FD1DD3" w:rsidRDefault="00000000">
            <w:pPr>
              <w:pStyle w:val="TableParagraph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 bibliográfica de la nueva recomendación</w:t>
            </w:r>
          </w:p>
        </w:tc>
      </w:tr>
      <w:tr w:rsidR="00FD1DD3" w14:paraId="53CCBCD4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146A1668" w14:textId="21B35DCC" w:rsidR="00FD1DD3" w:rsidRDefault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No aplica </w:t>
            </w:r>
          </w:p>
        </w:tc>
        <w:tc>
          <w:tcPr>
            <w:tcW w:w="2587" w:type="dxa"/>
            <w:shd w:val="clear" w:color="auto" w:fill="auto"/>
          </w:tcPr>
          <w:p w14:paraId="44EA4037" w14:textId="693C11E2" w:rsidR="00FD1DD3" w:rsidRDefault="005900B5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65242D">
              <w:rPr>
                <w:rFonts w:asciiTheme="minorHAnsi" w:hAnsiTheme="minorHAnsi"/>
                <w:sz w:val="20"/>
                <w:szCs w:val="20"/>
              </w:rPr>
              <w:t>No esta descrita en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65242D">
              <w:rPr>
                <w:rFonts w:asciiTheme="minorHAnsi" w:hAnsiTheme="minorHAnsi"/>
                <w:sz w:val="20"/>
                <w:szCs w:val="20"/>
              </w:rPr>
              <w:t>guía colombiana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  <w:tc>
          <w:tcPr>
            <w:tcW w:w="2587" w:type="dxa"/>
            <w:shd w:val="clear" w:color="auto" w:fill="auto"/>
          </w:tcPr>
          <w:p w14:paraId="69AE4CCE" w14:textId="229C19BF" w:rsidR="00FD1DD3" w:rsidRDefault="00F778BB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F778BB">
              <w:rPr>
                <w:rFonts w:asciiTheme="minorHAnsi" w:hAnsiTheme="minorHAnsi"/>
                <w:sz w:val="20"/>
                <w:szCs w:val="20"/>
              </w:rPr>
              <w:t xml:space="preserve">Se recomienda registrar e </w:t>
            </w:r>
            <w:r w:rsidR="0065242D" w:rsidRPr="00F778BB">
              <w:rPr>
                <w:rFonts w:asciiTheme="minorHAnsi" w:hAnsiTheme="minorHAnsi"/>
                <w:sz w:val="20"/>
                <w:szCs w:val="20"/>
              </w:rPr>
              <w:t>interpretar el</w:t>
            </w:r>
            <w:r w:rsidRPr="00F778BB">
              <w:rPr>
                <w:rFonts w:asciiTheme="minorHAnsi" w:hAnsiTheme="minorHAnsi"/>
                <w:sz w:val="20"/>
                <w:szCs w:val="20"/>
              </w:rPr>
              <w:t xml:space="preserve"> ECG de 12 derivaciones lo antes posible, con el </w:t>
            </w:r>
            <w:r w:rsidR="0065242D" w:rsidRPr="00F778BB">
              <w:rPr>
                <w:rFonts w:asciiTheme="minorHAnsi" w:hAnsiTheme="minorHAnsi"/>
                <w:sz w:val="20"/>
                <w:szCs w:val="20"/>
              </w:rPr>
              <w:t>objetivo que</w:t>
            </w:r>
            <w:r w:rsidRPr="00F778BB">
              <w:rPr>
                <w:rFonts w:asciiTheme="minorHAnsi" w:hAnsiTheme="minorHAnsi"/>
                <w:sz w:val="20"/>
                <w:szCs w:val="20"/>
              </w:rPr>
              <w:t xml:space="preserve"> sea menor de 10 minutos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04BE342E" w14:textId="77777777" w:rsidR="00494277" w:rsidRPr="00494277" w:rsidRDefault="00494277" w:rsidP="00494277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5EC557F8" w14:textId="77777777" w:rsidR="00FD1DD3" w:rsidRDefault="00FD1DD3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F778BB" w14:paraId="1079BFC5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7FC33C6E" w14:textId="2E3C9822" w:rsidR="00F778BB" w:rsidRDefault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7FF23CEC" w14:textId="2A5C06DF" w:rsidR="00F778BB" w:rsidRDefault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0B181868" w14:textId="4236A173" w:rsidR="00F778BB" w:rsidRDefault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125C">
              <w:rPr>
                <w:rFonts w:asciiTheme="minorHAnsi" w:hAnsiTheme="minorHAnsi"/>
                <w:sz w:val="20"/>
                <w:szCs w:val="20"/>
              </w:rPr>
              <w:t xml:space="preserve">Se recomienda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medir las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troponinas cardiacas con ensayos de alta sensibilidad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inmediatamente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después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de la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presentación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y obtener los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resultados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en los siguientes 60 minutos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553CDC8C" w14:textId="77777777" w:rsidR="0065125C" w:rsidRPr="00494277" w:rsidRDefault="0065125C" w:rsidP="0065125C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366D0C33" w14:textId="77777777" w:rsidR="00F778BB" w:rsidRDefault="00F778BB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125C" w14:paraId="7E9D5E3D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29BEA7BC" w14:textId="65A52D30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12358F7F" w14:textId="038120DE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2BCEB775" w14:textId="1A878AAA" w:rsidR="0065125C" w:rsidRDefault="0065125C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125C">
              <w:rPr>
                <w:rFonts w:asciiTheme="minorHAnsi" w:hAnsiTheme="minorHAnsi"/>
                <w:sz w:val="20"/>
                <w:szCs w:val="20"/>
              </w:rPr>
              <w:t xml:space="preserve">se recomienda utilizar el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enfoque algorítmico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de la ESC con mediciones </w:t>
            </w:r>
            <w:r w:rsidR="0065242D" w:rsidRPr="0065125C">
              <w:rPr>
                <w:rFonts w:asciiTheme="minorHAnsi" w:hAnsiTheme="minorHAnsi"/>
                <w:sz w:val="20"/>
                <w:szCs w:val="20"/>
              </w:rPr>
              <w:t>seriadas de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 xml:space="preserve"> Hs-cTn (oh/ 1h o 0h/2h) para descartar IAM</w:t>
            </w:r>
            <w:r>
              <w:rPr>
                <w:rFonts w:asciiTheme="minorHAnsi" w:hAnsiTheme="minorHAnsi"/>
                <w:sz w:val="20"/>
                <w:szCs w:val="20"/>
              </w:rPr>
              <w:t>S</w:t>
            </w:r>
            <w:r w:rsidRPr="0065125C">
              <w:rPr>
                <w:rFonts w:asciiTheme="minorHAnsi" w:hAnsiTheme="minorHAnsi"/>
                <w:sz w:val="20"/>
                <w:szCs w:val="20"/>
              </w:rPr>
              <w:t>EST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1AE5C678" w14:textId="77777777" w:rsidR="0065125C" w:rsidRPr="00494277" w:rsidRDefault="0065125C" w:rsidP="0065125C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3460BF73" w14:textId="77777777" w:rsidR="0065125C" w:rsidRDefault="0065125C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125C" w14:paraId="3B629261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76354497" w14:textId="0CC3664E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74954D90" w14:textId="404711A6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No esta descrita en guía colombiana </w:t>
            </w:r>
          </w:p>
        </w:tc>
        <w:tc>
          <w:tcPr>
            <w:tcW w:w="2587" w:type="dxa"/>
            <w:shd w:val="clear" w:color="auto" w:fill="auto"/>
          </w:tcPr>
          <w:p w14:paraId="1ECD7F22" w14:textId="6CC2EA2E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recomienda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el uso de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derivaciones adicionales en el EKG </w:t>
            </w:r>
            <w:proofErr w:type="gramStart"/>
            <w:r w:rsidRPr="0065242D">
              <w:rPr>
                <w:rFonts w:asciiTheme="minorHAnsi" w:hAnsiTheme="minorHAnsi"/>
                <w:sz w:val="20"/>
                <w:szCs w:val="20"/>
              </w:rPr>
              <w:t>( V</w:t>
            </w:r>
            <w:proofErr w:type="gramEnd"/>
            <w:r w:rsidRPr="0065242D">
              <w:rPr>
                <w:rFonts w:asciiTheme="minorHAnsi" w:hAnsiTheme="minorHAnsi"/>
                <w:sz w:val="20"/>
                <w:szCs w:val="20"/>
              </w:rPr>
              <w:t xml:space="preserve">3R, V4R, V7, V9)  en casos de IAMCEST inferior  o  si se sospecha de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oclusión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vascular  total  y si las derivaciones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estándar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no  son concluyentes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5A06AE88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4C92EB88" w14:textId="77777777" w:rsidR="0065125C" w:rsidRDefault="0065125C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125C" w14:paraId="64CB9427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4F966223" w14:textId="3F3865F9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573FBCD1" w14:textId="23EEB9EF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433B918A" w14:textId="32E3D69E" w:rsidR="0065125C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recomienda u recurrentes un ECG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adicional de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12 derivaciones en casos con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síntomas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recurrentes o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lastRenderedPageBreak/>
              <w:t>diagnostico incierto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4D627571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lastRenderedPageBreak/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5F4B3F63" w14:textId="77777777" w:rsidR="0065125C" w:rsidRDefault="0065125C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4F1B72B4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77EC1E9B" w14:textId="71ACDEAA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385F2768" w14:textId="42513D2A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35778771" w14:textId="38C3848B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No se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recomienda oxigeno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sistemático en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pacientes sin hipoxemia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(SaO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2 &gt;90%)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55404851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4593B88A" w14:textId="77777777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1AA5786B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4A906B06" w14:textId="0FE71E77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2166AE62" w14:textId="2D0633E8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7B3C99F9" w14:textId="416A132E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recomienda que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todos los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hospitales y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SEM que participen en la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atención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a pacientes con sospecha de SCACEST registren y auditen los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tiempos de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demora y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colaboren para alcanzar y mantener los objetivos de calidad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1E232438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5EEBE462" w14:textId="77777777" w:rsidR="0065242D" w:rsidRDefault="0065242D" w:rsidP="0065125C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72384326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7CAE8902" w14:textId="308874B4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4ECB0FC1" w14:textId="1A674A9A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5F284D08" w14:textId="178C7D9D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recomienda realizar pruebas adicionales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después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de 3 horas si las dos primeras mediciones de hs-cTn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del algoritmo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0h/ 1h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no son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concluyentes y no se han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realizado diagnósticos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alternativos que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expliquen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la afeccion.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4531352F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282017A8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4AE87A89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227F96DB" w14:textId="7DF1DD14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13CB17A5" w14:textId="4605BC33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7156BE60" w14:textId="621D2F8D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En pacientes con SCA de edad avanzada, especialmente si presentan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alto riesgo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hemorrágico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, puede considerarse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el uso de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clopidogrel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como inhibidor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del receptor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P2Y12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0BD238CC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27D253E0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485953C2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4CC3CE17" w14:textId="42BB313E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0EC62711" w14:textId="6511D0BC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62D5816E" w14:textId="4F4E4C55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En paciente con alto riesgo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hemorrágico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, puede considerarse la monoterapia con aspirina o con un inhibidor de los receptores P2Y2 tras un mes de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antiagregación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plaquetaria dual.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1AD9B318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33D33307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79B7FC99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377172F6" w14:textId="225CDD6F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aplica</w:t>
            </w:r>
          </w:p>
        </w:tc>
        <w:tc>
          <w:tcPr>
            <w:tcW w:w="2587" w:type="dxa"/>
            <w:shd w:val="clear" w:color="auto" w:fill="auto"/>
          </w:tcPr>
          <w:p w14:paraId="16540AA8" w14:textId="77819ED3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312986DB" w14:textId="1676C310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En paciente que este libres de eventos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después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de 3-6 meses de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antiagregación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plaquetaria dual que no presentan un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riesgo isquémico elevado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, el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tratamiento antiplaquetario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>único (preferiblemente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con un inhibidor de los receptores P2Y2) puede considerarse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2CB8500D" w14:textId="77777777" w:rsidR="0065242D" w:rsidRPr="00494277" w:rsidRDefault="0065242D" w:rsidP="0065242D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21273F66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486E9A75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0678CECF" w14:textId="546FD9C8" w:rsidR="0065242D" w:rsidRDefault="0088122E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No aplica </w:t>
            </w:r>
          </w:p>
        </w:tc>
        <w:tc>
          <w:tcPr>
            <w:tcW w:w="2587" w:type="dxa"/>
            <w:shd w:val="clear" w:color="auto" w:fill="auto"/>
          </w:tcPr>
          <w:p w14:paraId="63A281DC" w14:textId="484EF366" w:rsidR="0065242D" w:rsidRDefault="0088122E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 esta descrita en guía colombiana</w:t>
            </w:r>
          </w:p>
        </w:tc>
        <w:tc>
          <w:tcPr>
            <w:tcW w:w="2587" w:type="dxa"/>
            <w:shd w:val="clear" w:color="auto" w:fill="auto"/>
          </w:tcPr>
          <w:p w14:paraId="6C5CCAA2" w14:textId="3B62A139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recomienda </w:t>
            </w:r>
            <w:r w:rsidR="0088122E" w:rsidRPr="0065242D">
              <w:rPr>
                <w:rFonts w:asciiTheme="minorHAnsi" w:hAnsiTheme="minorHAnsi"/>
                <w:sz w:val="20"/>
                <w:szCs w:val="20"/>
              </w:rPr>
              <w:t>el traslado de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88122E" w:rsidRPr="0065242D">
              <w:rPr>
                <w:rFonts w:asciiTheme="minorHAnsi" w:hAnsiTheme="minorHAnsi"/>
                <w:sz w:val="20"/>
                <w:szCs w:val="20"/>
              </w:rPr>
              <w:t>pacientes con</w:t>
            </w:r>
            <w:r w:rsidRPr="0065242D">
              <w:rPr>
                <w:rFonts w:asciiTheme="minorHAnsi" w:hAnsiTheme="minorHAnsi"/>
                <w:sz w:val="20"/>
                <w:szCs w:val="20"/>
              </w:rPr>
              <w:t xml:space="preserve"> sospecha de SCACEST a un </w:t>
            </w:r>
            <w:proofErr w:type="gramStart"/>
            <w:r w:rsidRPr="0065242D">
              <w:rPr>
                <w:rFonts w:asciiTheme="minorHAnsi" w:hAnsiTheme="minorHAnsi"/>
                <w:sz w:val="20"/>
                <w:szCs w:val="20"/>
              </w:rPr>
              <w:t>centro  con</w:t>
            </w:r>
            <w:proofErr w:type="gramEnd"/>
            <w:r w:rsidRPr="0065242D">
              <w:rPr>
                <w:rFonts w:asciiTheme="minorHAnsi" w:hAnsiTheme="minorHAnsi"/>
                <w:sz w:val="20"/>
                <w:szCs w:val="20"/>
              </w:rPr>
              <w:t xml:space="preserve"> capacidad de ICP, evitando los centros sin ICP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42E0C055" w14:textId="77777777" w:rsidR="0088122E" w:rsidRPr="00494277" w:rsidRDefault="0088122E" w:rsidP="0088122E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3ED69067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65242D" w14:paraId="19C0BF5C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553F91E4" w14:textId="6C6BFBF0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65242D">
              <w:rPr>
                <w:rFonts w:asciiTheme="minorHAnsi" w:hAnsiTheme="minorHAnsi"/>
                <w:sz w:val="20"/>
                <w:szCs w:val="20"/>
              </w:rPr>
              <w:t xml:space="preserve">Se recomienda la intervención </w:t>
            </w:r>
            <w:r w:rsidRPr="0065242D"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coronaria percutánea primaria con angioplastia y </w:t>
            </w:r>
            <w:proofErr w:type="spellStart"/>
            <w:r w:rsidRPr="0065242D">
              <w:rPr>
                <w:rFonts w:asciiTheme="minorHAnsi" w:hAnsiTheme="minorHAnsi"/>
                <w:sz w:val="20"/>
                <w:szCs w:val="20"/>
              </w:rPr>
              <w:t>stent</w:t>
            </w:r>
            <w:proofErr w:type="spellEnd"/>
            <w:r w:rsidRPr="0065242D">
              <w:rPr>
                <w:rFonts w:asciiTheme="minorHAnsi" w:hAnsiTheme="minorHAnsi"/>
                <w:sz w:val="20"/>
                <w:szCs w:val="20"/>
              </w:rPr>
              <w:t xml:space="preserve"> en los pacientes con SCA con ST con menos de 12 horas de evolución. Se requiere para la implementación de esta recomendación que el paciente sea llevado a la sala de hemodinamia en los primeros 90 minutos del primer contacto médico</w:t>
            </w:r>
          </w:p>
        </w:tc>
        <w:tc>
          <w:tcPr>
            <w:tcW w:w="2587" w:type="dxa"/>
            <w:shd w:val="clear" w:color="auto" w:fill="auto"/>
          </w:tcPr>
          <w:p w14:paraId="02CCC800" w14:textId="0AC6B46D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Ajuste de los tiempos de </w:t>
            </w:r>
            <w:r w:rsidR="0088122E">
              <w:rPr>
                <w:rFonts w:asciiTheme="minorHAnsi" w:hAnsiTheme="minorHAnsi"/>
                <w:sz w:val="20"/>
                <w:szCs w:val="20"/>
              </w:rPr>
              <w:lastRenderedPageBreak/>
              <w:t>intervención</w:t>
            </w:r>
          </w:p>
        </w:tc>
        <w:tc>
          <w:tcPr>
            <w:tcW w:w="2587" w:type="dxa"/>
            <w:shd w:val="clear" w:color="auto" w:fill="auto"/>
          </w:tcPr>
          <w:p w14:paraId="3F08F0BE" w14:textId="77777777" w:rsidR="0088122E" w:rsidRPr="0088122E" w:rsidRDefault="0088122E" w:rsidP="0088122E">
            <w:pPr>
              <w:pStyle w:val="TableParagraph"/>
              <w:rPr>
                <w:rFonts w:asciiTheme="minorHAnsi" w:hAnsiTheme="minorHAnsi"/>
                <w:sz w:val="20"/>
                <w:szCs w:val="20"/>
                <w:lang w:val="es-CO"/>
              </w:rPr>
            </w:pPr>
            <w:r w:rsidRPr="0088122E">
              <w:rPr>
                <w:rFonts w:asciiTheme="minorHAnsi" w:hAnsiTheme="minorHAnsi"/>
                <w:sz w:val="20"/>
                <w:szCs w:val="20"/>
              </w:rPr>
              <w:lastRenderedPageBreak/>
              <w:t xml:space="preserve">Se recomienda una estrategia </w:t>
            </w:r>
            <w:r w:rsidRPr="0088122E">
              <w:rPr>
                <w:rFonts w:asciiTheme="minorHAnsi" w:hAnsiTheme="minorHAnsi"/>
                <w:sz w:val="20"/>
                <w:szCs w:val="20"/>
              </w:rPr>
              <w:lastRenderedPageBreak/>
              <w:t>de ICPP en lugar de fibrinólisis si el tiempo previsto desde el diagnóstico hasta la PCI es &lt;120 min</w:t>
            </w:r>
          </w:p>
          <w:p w14:paraId="05215842" w14:textId="77777777" w:rsidR="0065242D" w:rsidRP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587" w:type="dxa"/>
            <w:gridSpan w:val="5"/>
            <w:shd w:val="clear" w:color="auto" w:fill="auto"/>
          </w:tcPr>
          <w:p w14:paraId="433F60E9" w14:textId="77777777" w:rsidR="0088122E" w:rsidRPr="00494277" w:rsidRDefault="0088122E" w:rsidP="0088122E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lastRenderedPageBreak/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lastRenderedPageBreak/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6B438E8E" w14:textId="77777777" w:rsidR="0065242D" w:rsidRDefault="0065242D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88122E" w14:paraId="5E0B8C84" w14:textId="77777777" w:rsidTr="00F778BB">
        <w:trPr>
          <w:trHeight w:val="276"/>
        </w:trPr>
        <w:tc>
          <w:tcPr>
            <w:tcW w:w="2587" w:type="dxa"/>
            <w:shd w:val="clear" w:color="auto" w:fill="auto"/>
          </w:tcPr>
          <w:p w14:paraId="0F8B9013" w14:textId="25D5A1EC" w:rsidR="0088122E" w:rsidRPr="0065242D" w:rsidRDefault="0088122E" w:rsidP="0088122E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 w:rsidRPr="0088122E">
              <w:rPr>
                <w:rFonts w:asciiTheme="minorHAnsi" w:hAnsiTheme="minorHAnsi"/>
                <w:sz w:val="20"/>
                <w:szCs w:val="20"/>
              </w:rPr>
              <w:t>No se recomienda el uso de ecocardiografía para el diagnóstico de SCA en pacientes mayores de 18 años con sospecha de SCA, con electrocardiograma no diagnóstico y biomarcadores de necrosis miocárdica negativos</w:t>
            </w:r>
          </w:p>
        </w:tc>
        <w:tc>
          <w:tcPr>
            <w:tcW w:w="2587" w:type="dxa"/>
            <w:shd w:val="clear" w:color="auto" w:fill="auto"/>
          </w:tcPr>
          <w:p w14:paraId="7822F241" w14:textId="40FA7894" w:rsidR="0088122E" w:rsidRDefault="0088122E" w:rsidP="0065242D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Utilidad diagnostica adicional </w:t>
            </w:r>
          </w:p>
        </w:tc>
        <w:tc>
          <w:tcPr>
            <w:tcW w:w="2587" w:type="dxa"/>
            <w:shd w:val="clear" w:color="auto" w:fill="auto"/>
          </w:tcPr>
          <w:p w14:paraId="40CAB9D2" w14:textId="77777777" w:rsidR="0088122E" w:rsidRPr="0088122E" w:rsidRDefault="0088122E" w:rsidP="0088122E">
            <w:pPr>
              <w:pStyle w:val="TableParagraph"/>
              <w:rPr>
                <w:rFonts w:asciiTheme="minorHAnsi" w:hAnsiTheme="minorHAnsi"/>
                <w:sz w:val="20"/>
                <w:szCs w:val="20"/>
                <w:lang w:val="es-CO"/>
              </w:rPr>
            </w:pPr>
            <w:r w:rsidRPr="0088122E">
              <w:rPr>
                <w:rFonts w:asciiTheme="minorHAnsi" w:hAnsiTheme="minorHAnsi"/>
                <w:sz w:val="20"/>
                <w:szCs w:val="20"/>
              </w:rPr>
              <w:t xml:space="preserve">Se debe considerar la ETT de emergencia en el </w:t>
            </w:r>
            <w:proofErr w:type="spellStart"/>
            <w:r w:rsidRPr="0088122E">
              <w:rPr>
                <w:rFonts w:asciiTheme="minorHAnsi" w:hAnsiTheme="minorHAnsi"/>
                <w:sz w:val="20"/>
                <w:szCs w:val="20"/>
              </w:rPr>
              <w:t>triaje</w:t>
            </w:r>
            <w:proofErr w:type="spellEnd"/>
            <w:r w:rsidRPr="0088122E">
              <w:rPr>
                <w:rFonts w:asciiTheme="minorHAnsi" w:hAnsiTheme="minorHAnsi"/>
                <w:sz w:val="20"/>
                <w:szCs w:val="20"/>
              </w:rPr>
              <w:t xml:space="preserve"> en casos de incertidumbre diagnóstica, pero esto no debe resultar en retrasos en el traslado al laboratorio de cateterismo cardíaco si se sospecha una oclusión aguda de la arteria coronaria.</w:t>
            </w:r>
          </w:p>
          <w:p w14:paraId="6FB4A125" w14:textId="77777777" w:rsidR="0088122E" w:rsidRPr="0088122E" w:rsidRDefault="0088122E" w:rsidP="0088122E">
            <w:pPr>
              <w:pStyle w:val="TableParagraph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587" w:type="dxa"/>
            <w:gridSpan w:val="5"/>
            <w:shd w:val="clear" w:color="auto" w:fill="auto"/>
          </w:tcPr>
          <w:p w14:paraId="70DCE52F" w14:textId="77777777" w:rsidR="0088122E" w:rsidRPr="00494277" w:rsidRDefault="0088122E" w:rsidP="0088122E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2023 ESC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Guidelines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for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the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management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of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acute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coronary</w:t>
            </w:r>
            <w:proofErr w:type="spellEnd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494277"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  <w:t>syndromes</w:t>
            </w:r>
            <w:proofErr w:type="spellEnd"/>
          </w:p>
          <w:p w14:paraId="7F96FA41" w14:textId="77777777" w:rsidR="0088122E" w:rsidRPr="00494277" w:rsidRDefault="0088122E" w:rsidP="0088122E">
            <w:pPr>
              <w:pStyle w:val="TableParagraph"/>
              <w:rPr>
                <w:rFonts w:asciiTheme="minorHAnsi" w:hAnsiTheme="minorHAnsi"/>
                <w:b/>
                <w:bCs/>
                <w:sz w:val="20"/>
                <w:szCs w:val="20"/>
                <w:lang w:val="es-CO"/>
              </w:rPr>
            </w:pPr>
          </w:p>
        </w:tc>
      </w:tr>
    </w:tbl>
    <w:p w14:paraId="7074F4E4" w14:textId="25BBCE14" w:rsidR="00FD1DD3" w:rsidRDefault="00B55AE5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   </w:t>
      </w:r>
    </w:p>
    <w:p w14:paraId="080F5F33" w14:textId="77777777" w:rsidR="00FD1DD3" w:rsidRDefault="00000000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</w:r>
    </w:p>
    <w:p w14:paraId="50C3DF46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05595FAB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50B7D16D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337A450A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tbl>
      <w:tblPr>
        <w:tblStyle w:val="TableNormal"/>
        <w:tblpPr w:horzAnchor="margin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5"/>
      </w:tblGrid>
      <w:tr w:rsidR="0065242D" w14:paraId="727FC1CE" w14:textId="77777777" w:rsidTr="009F5D65">
        <w:trPr>
          <w:trHeight w:val="274"/>
        </w:trPr>
        <w:tc>
          <w:tcPr>
            <w:tcW w:w="10485" w:type="dxa"/>
            <w:shd w:val="clear" w:color="auto" w:fill="D6E3BC"/>
          </w:tcPr>
          <w:p w14:paraId="2B04CED6" w14:textId="77777777" w:rsidR="0065242D" w:rsidRDefault="0065242D" w:rsidP="009F5D65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7. RECOMENDACIONES TRAZADORAS</w:t>
            </w:r>
          </w:p>
        </w:tc>
      </w:tr>
      <w:tr w:rsidR="0065242D" w14:paraId="300CC99C" w14:textId="77777777" w:rsidTr="009F5D65">
        <w:trPr>
          <w:trHeight w:val="274"/>
        </w:trPr>
        <w:tc>
          <w:tcPr>
            <w:tcW w:w="10485" w:type="dxa"/>
            <w:shd w:val="clear" w:color="auto" w:fill="FFFFFF"/>
          </w:tcPr>
          <w:p w14:paraId="2A3AE26A" w14:textId="77777777" w:rsidR="0065242D" w:rsidRDefault="0065242D" w:rsidP="009F5D65">
            <w:pPr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Uso de troponina de alta sensibilidad en SCA no ST</w:t>
            </w:r>
            <w:r>
              <w:rPr>
                <w:rFonts w:asciiTheme="minorHAnsi" w:hAnsiTheme="minorHAnsi"/>
              </w:rPr>
              <w:t>. Se recomienda la utilización de troponinas de alta sensibilidad en pacientes mayores de 18 años con dolor torácico y sospecha de SCA sin elevación del segmento ST, para descartar el diagnóstico de infarto en las primeras horas después del ingreso.</w:t>
            </w:r>
          </w:p>
        </w:tc>
      </w:tr>
      <w:tr w:rsidR="0065242D" w14:paraId="78CD3C56" w14:textId="77777777" w:rsidTr="009F5D65">
        <w:trPr>
          <w:trHeight w:val="274"/>
        </w:trPr>
        <w:tc>
          <w:tcPr>
            <w:tcW w:w="10485" w:type="dxa"/>
            <w:shd w:val="clear" w:color="auto" w:fill="FFFFFF"/>
          </w:tcPr>
          <w:p w14:paraId="759F3BFC" w14:textId="77777777" w:rsidR="0065242D" w:rsidRDefault="0065242D" w:rsidP="009F5D65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ASA + ticagrelor en pacientes con SCA con ST</w:t>
            </w:r>
            <w:r>
              <w:rPr>
                <w:rFonts w:asciiTheme="minorHAnsi" w:hAnsiTheme="minorHAnsi"/>
              </w:rPr>
              <w:t>. Se recomienda el uso de ticagrelor más ASA, en pacientes con SCA con ST que no hayan recibido terapia fibrinolítica en las 24 horas previas y se planee intervención coronaria percutánea primaria.</w:t>
            </w:r>
          </w:p>
        </w:tc>
      </w:tr>
      <w:tr w:rsidR="0065242D" w14:paraId="6DE0F792" w14:textId="77777777" w:rsidTr="009F5D65">
        <w:trPr>
          <w:trHeight w:val="274"/>
        </w:trPr>
        <w:tc>
          <w:tcPr>
            <w:tcW w:w="10485" w:type="dxa"/>
            <w:shd w:val="clear" w:color="auto" w:fill="FFFFFF"/>
          </w:tcPr>
          <w:p w14:paraId="7490B0F1" w14:textId="77777777" w:rsidR="0065242D" w:rsidRDefault="0065242D" w:rsidP="009F5D65">
            <w:pPr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Beta- bloqueadores en pacientes con SCA.</w:t>
            </w:r>
            <w:r>
              <w:rPr>
                <w:rFonts w:asciiTheme="minorHAnsi" w:hAnsiTheme="minorHAnsi"/>
              </w:rPr>
              <w:t xml:space="preserve"> No se recomienda el uso temprano de beta- bloqueadores en forma rutinaria en pacientes con SCA.</w:t>
            </w:r>
          </w:p>
        </w:tc>
      </w:tr>
      <w:tr w:rsidR="0065242D" w14:paraId="494746B8" w14:textId="77777777" w:rsidTr="009F5D65">
        <w:trPr>
          <w:trHeight w:val="274"/>
        </w:trPr>
        <w:tc>
          <w:tcPr>
            <w:tcW w:w="10485" w:type="dxa"/>
            <w:shd w:val="clear" w:color="auto" w:fill="FFFFFF"/>
          </w:tcPr>
          <w:p w14:paraId="6A869D23" w14:textId="77777777" w:rsidR="0065242D" w:rsidRDefault="0065242D" w:rsidP="009F5D65">
            <w:pPr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Estatinas desde la sala de urgencias</w:t>
            </w:r>
            <w:r>
              <w:rPr>
                <w:rFonts w:asciiTheme="minorHAnsi" w:hAnsiTheme="minorHAnsi"/>
              </w:rPr>
              <w:t>. Se recomienda administrar estatinas después de un SCA en el servicio de urgencias</w:t>
            </w:r>
          </w:p>
        </w:tc>
      </w:tr>
      <w:tr w:rsidR="0065242D" w14:paraId="59D2E522" w14:textId="77777777" w:rsidTr="009F5D65">
        <w:trPr>
          <w:trHeight w:val="771"/>
        </w:trPr>
        <w:tc>
          <w:tcPr>
            <w:tcW w:w="10485" w:type="dxa"/>
            <w:shd w:val="clear" w:color="auto" w:fill="FFFFFF"/>
          </w:tcPr>
          <w:p w14:paraId="4E70D61D" w14:textId="77777777" w:rsidR="0065242D" w:rsidRDefault="0065242D" w:rsidP="009F5D65">
            <w:pPr>
              <w:jc w:val="both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Estrategia invasiva temprana comparada con la estrategia invasiva selectiva</w:t>
            </w:r>
            <w:r>
              <w:rPr>
                <w:rFonts w:asciiTheme="minorHAnsi" w:hAnsiTheme="minorHAnsi"/>
              </w:rPr>
              <w:t xml:space="preserve"> Se recomienda iniciar la estrategia invasiva temprana (&lt; 72 horas del ingreso) en lugar de la selectiva, en pacientes con SCA sin ST de riesgo intermedio y alto</w:t>
            </w:r>
          </w:p>
        </w:tc>
      </w:tr>
    </w:tbl>
    <w:p w14:paraId="3A460399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36EA262E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4FC7758C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31F55699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2C080426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4A93F41B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29088288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46846343" w14:textId="77777777" w:rsidR="00FD1DD3" w:rsidRDefault="00FD1DD3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3695FF0D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7B42FF73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6D1E3F59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5B4C5609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3FE2A937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p w14:paraId="27F8CD1D" w14:textId="77777777" w:rsidR="0065242D" w:rsidRDefault="0065242D">
      <w:pPr>
        <w:tabs>
          <w:tab w:val="left" w:pos="1536"/>
        </w:tabs>
        <w:rPr>
          <w:rFonts w:asciiTheme="minorHAnsi" w:hAnsiTheme="minorHAnsi"/>
          <w:sz w:val="20"/>
          <w:szCs w:val="20"/>
        </w:rPr>
      </w:pPr>
    </w:p>
    <w:tbl>
      <w:tblPr>
        <w:tblStyle w:val="TableNormal"/>
        <w:tblpPr w:horzAnchor="margin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8"/>
        <w:gridCol w:w="529"/>
        <w:gridCol w:w="2268"/>
        <w:gridCol w:w="307"/>
        <w:gridCol w:w="2103"/>
        <w:gridCol w:w="536"/>
        <w:gridCol w:w="2870"/>
      </w:tblGrid>
      <w:tr w:rsidR="00FD1DD3" w14:paraId="5161D894" w14:textId="77777777">
        <w:trPr>
          <w:trHeight w:val="557"/>
        </w:trPr>
        <w:tc>
          <w:tcPr>
            <w:tcW w:w="10631" w:type="dxa"/>
            <w:gridSpan w:val="7"/>
            <w:tcBorders>
              <w:bottom w:val="single" w:sz="4" w:space="0" w:color="000000"/>
            </w:tcBorders>
            <w:shd w:val="clear" w:color="auto" w:fill="D6E3BC"/>
          </w:tcPr>
          <w:p w14:paraId="5FE0E298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9. ESTRATEGIA DE IMPLEMENTACIÓN</w:t>
            </w:r>
          </w:p>
        </w:tc>
      </w:tr>
      <w:tr w:rsidR="00FD1DD3" w14:paraId="763A7792" w14:textId="77777777">
        <w:trPr>
          <w:trHeight w:val="557"/>
        </w:trPr>
        <w:tc>
          <w:tcPr>
            <w:tcW w:w="10631" w:type="dxa"/>
            <w:gridSpan w:val="7"/>
            <w:tcBorders>
              <w:bottom w:val="single" w:sz="4" w:space="0" w:color="000000"/>
            </w:tcBorders>
            <w:shd w:val="clear" w:color="auto" w:fill="D6E3BC"/>
          </w:tcPr>
          <w:p w14:paraId="31BE8D2B" w14:textId="77777777" w:rsidR="00FD1DD3" w:rsidRDefault="00FD1DD3">
            <w:pPr>
              <w:pStyle w:val="Sinespaciado"/>
              <w:jc w:val="center"/>
              <w:rPr>
                <w:rFonts w:asciiTheme="minorHAnsi" w:hAnsiTheme="minorHAnsi"/>
                <w:b/>
                <w:bCs/>
              </w:rPr>
            </w:pPr>
          </w:p>
        </w:tc>
      </w:tr>
      <w:tr w:rsidR="00FD1DD3" w14:paraId="2AE6EABF" w14:textId="77777777">
        <w:trPr>
          <w:trHeight w:val="249"/>
        </w:trPr>
        <w:tc>
          <w:tcPr>
            <w:tcW w:w="2547" w:type="dxa"/>
            <w:gridSpan w:val="2"/>
            <w:shd w:val="clear" w:color="auto" w:fill="EAF1DD"/>
          </w:tcPr>
          <w:p w14:paraId="3C0A0AC9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Estrategia educativa </w:t>
            </w:r>
          </w:p>
        </w:tc>
        <w:tc>
          <w:tcPr>
            <w:tcW w:w="2268" w:type="dxa"/>
            <w:shd w:val="clear" w:color="auto" w:fill="EAF1DD"/>
          </w:tcPr>
          <w:p w14:paraId="684C867A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Actividades </w:t>
            </w:r>
          </w:p>
        </w:tc>
        <w:tc>
          <w:tcPr>
            <w:tcW w:w="2410" w:type="dxa"/>
            <w:gridSpan w:val="2"/>
            <w:shd w:val="clear" w:color="auto" w:fill="EAF1DD"/>
          </w:tcPr>
          <w:p w14:paraId="5ACFDEC5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Recursos </w:t>
            </w:r>
          </w:p>
        </w:tc>
        <w:tc>
          <w:tcPr>
            <w:tcW w:w="3406" w:type="dxa"/>
            <w:gridSpan w:val="2"/>
            <w:shd w:val="clear" w:color="auto" w:fill="EAF1DD"/>
          </w:tcPr>
          <w:p w14:paraId="73A20D58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Método de evaluación</w:t>
            </w:r>
          </w:p>
        </w:tc>
      </w:tr>
      <w:tr w:rsidR="00FD1DD3" w14:paraId="1D36738F" w14:textId="77777777">
        <w:trPr>
          <w:trHeight w:val="249"/>
        </w:trPr>
        <w:tc>
          <w:tcPr>
            <w:tcW w:w="254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77C86BF0" w14:textId="77777777" w:rsidR="00FD1DD3" w:rsidRDefault="00000000">
            <w:pPr>
              <w:jc w:val="center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Distribución de materiales educativos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</w:tcPr>
          <w:p w14:paraId="5EE1CC20" w14:textId="77777777" w:rsidR="00FD1DD3" w:rsidRDefault="0000000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Realización de vía clínica (obligatorio)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760BDDF" w14:textId="77777777" w:rsidR="00FD1DD3" w:rsidRDefault="00000000">
            <w:pPr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color w:val="FF0000"/>
              </w:rPr>
              <w:t>Humano, técnico y/o económico</w:t>
            </w:r>
          </w:p>
        </w:tc>
        <w:tc>
          <w:tcPr>
            <w:tcW w:w="3406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7560CA1B" w14:textId="77777777" w:rsidR="00FD1DD3" w:rsidRDefault="0000000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FF0000"/>
                <w:sz w:val="20"/>
                <w:szCs w:val="20"/>
              </w:rPr>
              <w:t>Evaluación pre y pos-test en plataforma institucional, etc,</w:t>
            </w:r>
          </w:p>
        </w:tc>
      </w:tr>
      <w:tr w:rsidR="00FD1DD3" w14:paraId="5EC71019" w14:textId="77777777">
        <w:trPr>
          <w:trHeight w:val="238"/>
        </w:trPr>
        <w:tc>
          <w:tcPr>
            <w:tcW w:w="2018" w:type="dxa"/>
            <w:shd w:val="clear" w:color="auto" w:fill="C2D69B"/>
          </w:tcPr>
          <w:p w14:paraId="4CFBF144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ESTRATEGIA</w:t>
            </w:r>
          </w:p>
        </w:tc>
        <w:tc>
          <w:tcPr>
            <w:tcW w:w="3104" w:type="dxa"/>
            <w:gridSpan w:val="3"/>
            <w:shd w:val="clear" w:color="auto" w:fill="C2D69B"/>
          </w:tcPr>
          <w:p w14:paraId="7863A002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ACTIVIDADES</w:t>
            </w:r>
          </w:p>
        </w:tc>
        <w:tc>
          <w:tcPr>
            <w:tcW w:w="2639" w:type="dxa"/>
            <w:gridSpan w:val="2"/>
            <w:shd w:val="clear" w:color="auto" w:fill="C2D69B"/>
          </w:tcPr>
          <w:p w14:paraId="20FE528E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RECURSOS</w:t>
            </w:r>
          </w:p>
        </w:tc>
        <w:tc>
          <w:tcPr>
            <w:tcW w:w="2866" w:type="dxa"/>
            <w:shd w:val="clear" w:color="auto" w:fill="C2D69B"/>
          </w:tcPr>
          <w:p w14:paraId="57B1E5BB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EVALUACIÓN</w:t>
            </w:r>
          </w:p>
        </w:tc>
      </w:tr>
      <w:tr w:rsidR="00FD1DD3" w14:paraId="72F54CC4" w14:textId="77777777">
        <w:trPr>
          <w:trHeight w:val="238"/>
        </w:trPr>
        <w:tc>
          <w:tcPr>
            <w:tcW w:w="2018" w:type="dxa"/>
            <w:shd w:val="clear" w:color="auto" w:fill="FFFFFF"/>
          </w:tcPr>
          <w:p w14:paraId="15C16EC5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Distribución de materiales educativos</w:t>
            </w:r>
          </w:p>
        </w:tc>
        <w:tc>
          <w:tcPr>
            <w:tcW w:w="3104" w:type="dxa"/>
            <w:gridSpan w:val="3"/>
            <w:shd w:val="clear" w:color="auto" w:fill="FFFFFF"/>
          </w:tcPr>
          <w:p w14:paraId="38C32D52" w14:textId="77777777" w:rsidR="00FD1DD3" w:rsidRDefault="00000000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Vía clínica abordaje de SCA</w:t>
            </w:r>
          </w:p>
          <w:p w14:paraId="32AE6DA5" w14:textId="77777777" w:rsidR="00FD1DD3" w:rsidRDefault="00000000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Algoritmo interpretación de troponinas</w:t>
            </w:r>
          </w:p>
          <w:p w14:paraId="68B11806" w14:textId="77777777" w:rsidR="00FD1DD3" w:rsidRDefault="00FD1DD3">
            <w:p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639" w:type="dxa"/>
            <w:gridSpan w:val="2"/>
            <w:shd w:val="clear" w:color="auto" w:fill="FFFFFF"/>
          </w:tcPr>
          <w:p w14:paraId="6CF38A26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Programa draw.io</w:t>
            </w:r>
          </w:p>
          <w:p w14:paraId="5607CA31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Plataforma institucional</w:t>
            </w:r>
          </w:p>
        </w:tc>
        <w:tc>
          <w:tcPr>
            <w:tcW w:w="2866" w:type="dxa"/>
            <w:shd w:val="clear" w:color="auto" w:fill="FFFFFF"/>
          </w:tcPr>
          <w:p w14:paraId="03E49358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Evaluación pre y pos-test en plataforma institucional con casos clínicos</w:t>
            </w:r>
          </w:p>
        </w:tc>
      </w:tr>
      <w:tr w:rsidR="00FD1DD3" w14:paraId="5454AA47" w14:textId="77777777">
        <w:trPr>
          <w:trHeight w:val="238"/>
        </w:trPr>
        <w:tc>
          <w:tcPr>
            <w:tcW w:w="2018" w:type="dxa"/>
            <w:shd w:val="clear" w:color="auto" w:fill="FFFFFF"/>
          </w:tcPr>
          <w:p w14:paraId="478EE514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Reunión educativa de socialización</w:t>
            </w:r>
          </w:p>
        </w:tc>
        <w:tc>
          <w:tcPr>
            <w:tcW w:w="3104" w:type="dxa"/>
            <w:gridSpan w:val="3"/>
            <w:shd w:val="clear" w:color="auto" w:fill="FFFFFF"/>
          </w:tcPr>
          <w:p w14:paraId="4FF6FD11" w14:textId="77777777" w:rsidR="00FD1DD3" w:rsidRDefault="00000000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Socializar GPC </w:t>
            </w:r>
          </w:p>
          <w:p w14:paraId="515755FB" w14:textId="77777777" w:rsidR="00FD1DD3" w:rsidRDefault="00000000">
            <w:pPr>
              <w:pStyle w:val="Prrafodelista"/>
              <w:numPr>
                <w:ilvl w:val="0"/>
                <w:numId w:val="9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Explicar recomendaciones trazadoras </w:t>
            </w:r>
            <w:r>
              <w:rPr>
                <w:sz w:val="18"/>
                <w:szCs w:val="18"/>
              </w:rPr>
              <w:t>promoviendo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 aplicación en la práctica diaria a través de sesiones educativas y materiales de apoyo.</w:t>
            </w:r>
          </w:p>
        </w:tc>
        <w:tc>
          <w:tcPr>
            <w:tcW w:w="2639" w:type="dxa"/>
            <w:gridSpan w:val="2"/>
            <w:shd w:val="clear" w:color="auto" w:fill="FFFFFF"/>
          </w:tcPr>
          <w:p w14:paraId="1E8A721A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Presentación Power Point </w:t>
            </w:r>
          </w:p>
          <w:p w14:paraId="404802D9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Auditorio</w:t>
            </w:r>
          </w:p>
        </w:tc>
        <w:tc>
          <w:tcPr>
            <w:tcW w:w="2866" w:type="dxa"/>
            <w:shd w:val="clear" w:color="auto" w:fill="FFFFFF"/>
          </w:tcPr>
          <w:p w14:paraId="25A2098A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Asistencia y evaluación pre y pos presentación de GPC y vía clínica</w:t>
            </w:r>
          </w:p>
        </w:tc>
      </w:tr>
      <w:tr w:rsidR="00FD1DD3" w14:paraId="4B4729AC" w14:textId="77777777">
        <w:trPr>
          <w:trHeight w:val="1036"/>
        </w:trPr>
        <w:tc>
          <w:tcPr>
            <w:tcW w:w="2018" w:type="dxa"/>
            <w:shd w:val="clear" w:color="auto" w:fill="FFFFFF"/>
          </w:tcPr>
          <w:p w14:paraId="4F155A02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Recordatorios</w:t>
            </w:r>
          </w:p>
        </w:tc>
        <w:tc>
          <w:tcPr>
            <w:tcW w:w="3104" w:type="dxa"/>
            <w:gridSpan w:val="3"/>
            <w:shd w:val="clear" w:color="auto" w:fill="FFFFFF"/>
          </w:tcPr>
          <w:p w14:paraId="012ACE01" w14:textId="77777777" w:rsidR="00FD1DD3" w:rsidRDefault="00000000">
            <w:pPr>
              <w:pStyle w:val="Prrafodelista"/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inorHAnsi" w:eastAsia="Times New Roman" w:hAnsiTheme="minorHAnsi"/>
                <w:sz w:val="20"/>
                <w:szCs w:val="20"/>
              </w:rPr>
              <w:t>Enviar al correo corporativo la vía clínica, algoritmo y las fichas nemotécnicas relacionadas con recomendaciones trazadoras de la GPC</w:t>
            </w:r>
          </w:p>
          <w:p w14:paraId="622DB695" w14:textId="77777777" w:rsidR="00FD1DD3" w:rsidRDefault="00FD1DD3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639" w:type="dxa"/>
            <w:gridSpan w:val="2"/>
            <w:shd w:val="clear" w:color="auto" w:fill="FFFFFF"/>
          </w:tcPr>
          <w:p w14:paraId="0EC25124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Programa draw. Io</w:t>
            </w:r>
          </w:p>
          <w:p w14:paraId="4FAF9D4E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Canva</w:t>
            </w:r>
          </w:p>
          <w:p w14:paraId="1F32A144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Power Point </w:t>
            </w:r>
          </w:p>
          <w:p w14:paraId="74615EB4" w14:textId="77777777" w:rsidR="00FD1DD3" w:rsidRDefault="00000000">
            <w:pPr>
              <w:pStyle w:val="Prrafodelista"/>
              <w:ind w:left="360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66" w:type="dxa"/>
            <w:shd w:val="clear" w:color="auto" w:fill="FFFFFF"/>
          </w:tcPr>
          <w:p w14:paraId="567B17A6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Firma lista de asistencia que confirma revisión y entrega de materiales pedagógicos</w:t>
            </w:r>
          </w:p>
        </w:tc>
      </w:tr>
      <w:tr w:rsidR="00FD1DD3" w14:paraId="5330C985" w14:textId="77777777">
        <w:trPr>
          <w:trHeight w:val="238"/>
        </w:trPr>
        <w:tc>
          <w:tcPr>
            <w:tcW w:w="2018" w:type="dxa"/>
            <w:tcBorders>
              <w:bottom w:val="single" w:sz="4" w:space="0" w:color="auto"/>
            </w:tcBorders>
            <w:shd w:val="clear" w:color="auto" w:fill="FFFFFF"/>
          </w:tcPr>
          <w:p w14:paraId="04169AAF" w14:textId="77777777" w:rsidR="00FD1DD3" w:rsidRDefault="00000000">
            <w:pPr>
              <w:jc w:val="center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Auditoría y retroalimentación</w:t>
            </w:r>
          </w:p>
        </w:tc>
        <w:tc>
          <w:tcPr>
            <w:tcW w:w="3104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7238CDF7" w14:textId="77777777" w:rsidR="00FD1DD3" w:rsidRDefault="00000000">
            <w:pPr>
              <w:pStyle w:val="Prrafodelista"/>
              <w:numPr>
                <w:ilvl w:val="0"/>
                <w:numId w:val="4"/>
              </w:numPr>
              <w:rPr>
                <w:rFonts w:asciiTheme="minorHAnsi" w:eastAsia="Times New Roman" w:hAnsi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hAnsiTheme="minorHAnsi"/>
                <w:b w:val="0"/>
                <w:bCs w:val="0"/>
                <w:sz w:val="20"/>
                <w:szCs w:val="20"/>
              </w:rPr>
              <w:t>Revisar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las historias clínicas con código CIE-10 en la muestra asignada.</w:t>
            </w:r>
          </w:p>
          <w:p w14:paraId="084264E2" w14:textId="77777777" w:rsidR="00FD1DD3" w:rsidRDefault="00000000">
            <w:pPr>
              <w:pStyle w:val="Prrafodelista"/>
              <w:numPr>
                <w:ilvl w:val="0"/>
                <w:numId w:val="4"/>
              </w:num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Style w:val="Textoennegrita"/>
                <w:rFonts w:asciiTheme="minorHAnsi" w:hAnsiTheme="minorHAnsi"/>
                <w:b w:val="0"/>
                <w:bCs w:val="0"/>
                <w:sz w:val="20"/>
                <w:szCs w:val="20"/>
              </w:rPr>
              <w:t>Medir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la adherencia según los ítems propuestos en las recomendaciones trazadoras.</w:t>
            </w:r>
          </w:p>
          <w:p w14:paraId="7624F828" w14:textId="77777777" w:rsidR="00FD1DD3" w:rsidRDefault="00000000">
            <w:pPr>
              <w:pStyle w:val="Ttulo3"/>
              <w:numPr>
                <w:ilvl w:val="0"/>
                <w:numId w:val="4"/>
              </w:numPr>
              <w:spacing w:before="0" w:after="0"/>
              <w:rPr>
                <w:rFonts w:asciiTheme="minorHAnsi" w:hAnsiTheme="minorHAnsi"/>
                <w:b w:val="0"/>
                <w:bCs w:val="0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Elaborar </w:t>
            </w:r>
            <w:r>
              <w:rPr>
                <w:rFonts w:asciiTheme="minorHAnsi" w:hAnsiTheme="minorHAnsi"/>
                <w:b w:val="0"/>
                <w:bCs w:val="0"/>
                <w:sz w:val="20"/>
                <w:szCs w:val="20"/>
              </w:rPr>
              <w:t xml:space="preserve">informe de resultado de medición de adherencia junto con plan de mejoramiento </w:t>
            </w:r>
          </w:p>
        </w:tc>
        <w:tc>
          <w:tcPr>
            <w:tcW w:w="2639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351105E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Herramienta de selección aleatoria </w:t>
            </w:r>
          </w:p>
        </w:tc>
        <w:tc>
          <w:tcPr>
            <w:tcW w:w="2866" w:type="dxa"/>
            <w:tcBorders>
              <w:bottom w:val="single" w:sz="4" w:space="0" w:color="auto"/>
            </w:tcBorders>
            <w:shd w:val="clear" w:color="auto" w:fill="FFFFFF"/>
          </w:tcPr>
          <w:p w14:paraId="57EDA71C" w14:textId="77777777" w:rsidR="00FD1DD3" w:rsidRDefault="00000000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Medición adherencia a GPC</w:t>
            </w:r>
          </w:p>
        </w:tc>
      </w:tr>
    </w:tbl>
    <w:p w14:paraId="11AFD6D3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tbl>
      <w:tblPr>
        <w:tblStyle w:val="TableNormal"/>
        <w:tblpPr w:horzAnchor="margin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31"/>
      </w:tblGrid>
      <w:tr w:rsidR="00FD1DD3" w14:paraId="6DA6852C" w14:textId="77777777">
        <w:trPr>
          <w:trHeight w:val="249"/>
        </w:trPr>
        <w:tc>
          <w:tcPr>
            <w:tcW w:w="10631" w:type="dxa"/>
            <w:shd w:val="clear" w:color="auto" w:fill="D6E3BC"/>
          </w:tcPr>
          <w:p w14:paraId="21D11886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10. CRONOGRAMA</w:t>
            </w:r>
          </w:p>
        </w:tc>
      </w:tr>
    </w:tbl>
    <w:tbl>
      <w:tblPr>
        <w:tblStyle w:val="Tablaconcuadrcula"/>
        <w:tblW w:w="10627" w:type="dxa"/>
        <w:shd w:val="clear" w:color="auto" w:fill="C2D69B"/>
        <w:tblLayout w:type="fixed"/>
        <w:tblLook w:val="0600" w:firstRow="0" w:lastRow="0" w:firstColumn="0" w:lastColumn="0" w:noHBand="1" w:noVBand="1"/>
      </w:tblPr>
      <w:tblGrid>
        <w:gridCol w:w="2195"/>
        <w:gridCol w:w="359"/>
        <w:gridCol w:w="393"/>
        <w:gridCol w:w="415"/>
        <w:gridCol w:w="351"/>
        <w:gridCol w:w="317"/>
        <w:gridCol w:w="319"/>
        <w:gridCol w:w="317"/>
        <w:gridCol w:w="349"/>
        <w:gridCol w:w="370"/>
        <w:gridCol w:w="352"/>
        <w:gridCol w:w="349"/>
        <w:gridCol w:w="350"/>
        <w:gridCol w:w="349"/>
        <w:gridCol w:w="370"/>
        <w:gridCol w:w="306"/>
        <w:gridCol w:w="331"/>
        <w:gridCol w:w="380"/>
        <w:gridCol w:w="361"/>
        <w:gridCol w:w="360"/>
        <w:gridCol w:w="360"/>
        <w:gridCol w:w="338"/>
        <w:gridCol w:w="327"/>
        <w:gridCol w:w="347"/>
        <w:gridCol w:w="362"/>
      </w:tblGrid>
      <w:tr w:rsidR="00FD1DD3" w14:paraId="5B100DBD" w14:textId="77777777">
        <w:trPr>
          <w:trHeight w:val="280"/>
        </w:trPr>
        <w:tc>
          <w:tcPr>
            <w:tcW w:w="2195" w:type="dxa"/>
            <w:shd w:val="clear" w:color="auto" w:fill="C2D69B"/>
          </w:tcPr>
          <w:p w14:paraId="284FE78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  </w:t>
            </w:r>
          </w:p>
        </w:tc>
        <w:tc>
          <w:tcPr>
            <w:tcW w:w="2154" w:type="dxa"/>
            <w:gridSpan w:val="6"/>
            <w:shd w:val="clear" w:color="auto" w:fill="EAF1DD"/>
          </w:tcPr>
          <w:p w14:paraId="1C726B08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SEMESTRE 1 2023</w:t>
            </w:r>
          </w:p>
        </w:tc>
        <w:tc>
          <w:tcPr>
            <w:tcW w:w="2087" w:type="dxa"/>
            <w:gridSpan w:val="6"/>
            <w:shd w:val="clear" w:color="auto" w:fill="C2D69B"/>
          </w:tcPr>
          <w:p w14:paraId="6C80D9D6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SEMESTRE 2   2023</w:t>
            </w:r>
          </w:p>
        </w:tc>
        <w:tc>
          <w:tcPr>
            <w:tcW w:w="2097" w:type="dxa"/>
            <w:gridSpan w:val="6"/>
            <w:shd w:val="clear" w:color="auto" w:fill="EAF1DD"/>
          </w:tcPr>
          <w:p w14:paraId="2631CEF8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SEMESTRE 1   2024</w:t>
            </w:r>
          </w:p>
        </w:tc>
        <w:tc>
          <w:tcPr>
            <w:tcW w:w="2094" w:type="dxa"/>
            <w:gridSpan w:val="6"/>
            <w:shd w:val="clear" w:color="auto" w:fill="C2D69B"/>
          </w:tcPr>
          <w:p w14:paraId="5FDDCD0B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/>
                <w:sz w:val="20"/>
                <w:szCs w:val="20"/>
              </w:rPr>
              <w:t>SEMESTRE 2 2024</w:t>
            </w:r>
          </w:p>
        </w:tc>
      </w:tr>
      <w:tr w:rsidR="00FD1DD3" w14:paraId="3413F28C" w14:textId="77777777">
        <w:trPr>
          <w:trHeight w:val="219"/>
        </w:trPr>
        <w:tc>
          <w:tcPr>
            <w:tcW w:w="2195" w:type="dxa"/>
            <w:shd w:val="clear" w:color="auto" w:fill="C2D69B"/>
          </w:tcPr>
          <w:p w14:paraId="11EBF756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Estrategia educativa</w:t>
            </w:r>
          </w:p>
        </w:tc>
        <w:tc>
          <w:tcPr>
            <w:tcW w:w="359" w:type="dxa"/>
            <w:shd w:val="clear" w:color="auto" w:fill="EAF1DD"/>
          </w:tcPr>
          <w:p w14:paraId="247C5265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93" w:type="dxa"/>
            <w:shd w:val="clear" w:color="auto" w:fill="EAF1DD"/>
          </w:tcPr>
          <w:p w14:paraId="5071B05A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5" w:type="dxa"/>
            <w:shd w:val="clear" w:color="auto" w:fill="EAF1DD"/>
          </w:tcPr>
          <w:p w14:paraId="3487475C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51" w:type="dxa"/>
            <w:shd w:val="clear" w:color="auto" w:fill="EAF1DD"/>
          </w:tcPr>
          <w:p w14:paraId="44C96605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17" w:type="dxa"/>
            <w:shd w:val="clear" w:color="auto" w:fill="EAF1DD"/>
          </w:tcPr>
          <w:p w14:paraId="7D5BA03C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19" w:type="dxa"/>
            <w:shd w:val="clear" w:color="auto" w:fill="EAF1DD"/>
          </w:tcPr>
          <w:p w14:paraId="3F1F1682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17" w:type="dxa"/>
            <w:shd w:val="clear" w:color="auto" w:fill="C2D69B"/>
          </w:tcPr>
          <w:p w14:paraId="26AF44AE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49" w:type="dxa"/>
            <w:shd w:val="clear" w:color="auto" w:fill="C2D69B"/>
          </w:tcPr>
          <w:p w14:paraId="2CEA9DAE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70" w:type="dxa"/>
            <w:shd w:val="clear" w:color="auto" w:fill="C2D69B"/>
          </w:tcPr>
          <w:p w14:paraId="3FAFE737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52" w:type="dxa"/>
            <w:shd w:val="clear" w:color="auto" w:fill="C2D69B"/>
          </w:tcPr>
          <w:p w14:paraId="5A45FC00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49" w:type="dxa"/>
            <w:shd w:val="clear" w:color="auto" w:fill="C2D69B"/>
          </w:tcPr>
          <w:p w14:paraId="49E16FBB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50" w:type="dxa"/>
            <w:shd w:val="clear" w:color="auto" w:fill="C2D69B"/>
          </w:tcPr>
          <w:p w14:paraId="688829B4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49" w:type="dxa"/>
            <w:shd w:val="clear" w:color="auto" w:fill="EAF1DD"/>
          </w:tcPr>
          <w:p w14:paraId="4AB4D740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70" w:type="dxa"/>
            <w:shd w:val="clear" w:color="auto" w:fill="EAF1DD"/>
          </w:tcPr>
          <w:p w14:paraId="16B28B91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06" w:type="dxa"/>
            <w:shd w:val="clear" w:color="auto" w:fill="EAF1DD"/>
          </w:tcPr>
          <w:p w14:paraId="5AA100EE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31" w:type="dxa"/>
            <w:shd w:val="clear" w:color="auto" w:fill="EAF1DD"/>
          </w:tcPr>
          <w:p w14:paraId="6DADA0B2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80" w:type="dxa"/>
            <w:shd w:val="clear" w:color="auto" w:fill="EAF1DD"/>
          </w:tcPr>
          <w:p w14:paraId="38FABEA1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61" w:type="dxa"/>
            <w:shd w:val="clear" w:color="auto" w:fill="EAF1DD"/>
          </w:tcPr>
          <w:p w14:paraId="06700AF9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360" w:type="dxa"/>
            <w:shd w:val="clear" w:color="auto" w:fill="C2D69B"/>
          </w:tcPr>
          <w:p w14:paraId="136195D4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60" w:type="dxa"/>
            <w:shd w:val="clear" w:color="auto" w:fill="C2D69B"/>
          </w:tcPr>
          <w:p w14:paraId="21BD8F4E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38" w:type="dxa"/>
            <w:shd w:val="clear" w:color="auto" w:fill="C2D69B"/>
          </w:tcPr>
          <w:p w14:paraId="002F5A0A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27" w:type="dxa"/>
            <w:shd w:val="clear" w:color="auto" w:fill="C2D69B"/>
          </w:tcPr>
          <w:p w14:paraId="339DD5AD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47" w:type="dxa"/>
            <w:shd w:val="clear" w:color="auto" w:fill="C2D69B"/>
          </w:tcPr>
          <w:p w14:paraId="491B0F7C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62" w:type="dxa"/>
            <w:shd w:val="clear" w:color="auto" w:fill="C2D69B"/>
          </w:tcPr>
          <w:p w14:paraId="2E2DF4C5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FD1DD3" w14:paraId="38FAAC06" w14:textId="77777777">
        <w:trPr>
          <w:trHeight w:val="308"/>
        </w:trPr>
        <w:tc>
          <w:tcPr>
            <w:tcW w:w="2195" w:type="dxa"/>
            <w:shd w:val="clear" w:color="auto" w:fill="C2D69B"/>
          </w:tcPr>
          <w:p w14:paraId="7C4CBB8C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szCs w:val="20"/>
              </w:rPr>
              <w:t>Distribución de materiales educativos</w:t>
            </w:r>
          </w:p>
        </w:tc>
        <w:tc>
          <w:tcPr>
            <w:tcW w:w="359" w:type="dxa"/>
            <w:shd w:val="clear" w:color="auto" w:fill="EAF1DD"/>
          </w:tcPr>
          <w:p w14:paraId="26C3F022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93" w:type="dxa"/>
            <w:shd w:val="clear" w:color="auto" w:fill="EAF1DD"/>
          </w:tcPr>
          <w:p w14:paraId="45E00F02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shd w:val="clear" w:color="auto" w:fill="EAF1DD"/>
          </w:tcPr>
          <w:p w14:paraId="3FACA495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1" w:type="dxa"/>
            <w:shd w:val="clear" w:color="auto" w:fill="EAF1DD"/>
          </w:tcPr>
          <w:p w14:paraId="5D32AE5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7" w:type="dxa"/>
            <w:shd w:val="clear" w:color="auto" w:fill="EAF1DD"/>
          </w:tcPr>
          <w:p w14:paraId="7C56FAA5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9" w:type="dxa"/>
            <w:shd w:val="clear" w:color="auto" w:fill="EAF1DD"/>
          </w:tcPr>
          <w:p w14:paraId="2FDA913D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7" w:type="dxa"/>
            <w:shd w:val="clear" w:color="auto" w:fill="C2D69B"/>
          </w:tcPr>
          <w:p w14:paraId="6F02B064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5535E75C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C2D69B"/>
          </w:tcPr>
          <w:p w14:paraId="0FF99828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2" w:type="dxa"/>
            <w:shd w:val="clear" w:color="auto" w:fill="C2D69B"/>
          </w:tcPr>
          <w:p w14:paraId="754EE0F0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6E18500B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50" w:type="dxa"/>
            <w:shd w:val="clear" w:color="auto" w:fill="C2D69B"/>
          </w:tcPr>
          <w:p w14:paraId="35C3B5C0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49" w:type="dxa"/>
            <w:shd w:val="clear" w:color="auto" w:fill="EAF1DD"/>
          </w:tcPr>
          <w:p w14:paraId="3020550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70" w:type="dxa"/>
            <w:shd w:val="clear" w:color="auto" w:fill="EAF1DD"/>
          </w:tcPr>
          <w:p w14:paraId="636BA671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06" w:type="dxa"/>
            <w:shd w:val="clear" w:color="auto" w:fill="EAF1DD"/>
          </w:tcPr>
          <w:p w14:paraId="33DD2B45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31" w:type="dxa"/>
            <w:shd w:val="clear" w:color="auto" w:fill="EAF1DD"/>
          </w:tcPr>
          <w:p w14:paraId="46D1D753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80" w:type="dxa"/>
            <w:shd w:val="clear" w:color="auto" w:fill="EAF1DD"/>
          </w:tcPr>
          <w:p w14:paraId="7B3E5C2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61" w:type="dxa"/>
            <w:shd w:val="clear" w:color="auto" w:fill="EAF1DD"/>
          </w:tcPr>
          <w:p w14:paraId="22620535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2D69B"/>
          </w:tcPr>
          <w:p w14:paraId="256E8F35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  <w:shd w:val="clear" w:color="auto" w:fill="C2D69B"/>
          </w:tcPr>
          <w:p w14:paraId="1D78ACA3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8" w:type="dxa"/>
            <w:shd w:val="clear" w:color="auto" w:fill="C2D69B"/>
          </w:tcPr>
          <w:p w14:paraId="3983AE8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7" w:type="dxa"/>
            <w:shd w:val="clear" w:color="auto" w:fill="C2D69B"/>
          </w:tcPr>
          <w:p w14:paraId="0BCB2532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7" w:type="dxa"/>
            <w:shd w:val="clear" w:color="auto" w:fill="C2D69B"/>
          </w:tcPr>
          <w:p w14:paraId="0B5EB2D4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shd w:val="clear" w:color="auto" w:fill="C2D69B"/>
          </w:tcPr>
          <w:p w14:paraId="4AFF2351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1DD3" w14:paraId="10DEEFCA" w14:textId="77777777">
        <w:trPr>
          <w:trHeight w:val="690"/>
        </w:trPr>
        <w:tc>
          <w:tcPr>
            <w:tcW w:w="2195" w:type="dxa"/>
            <w:shd w:val="clear" w:color="auto" w:fill="C2D69B"/>
          </w:tcPr>
          <w:p w14:paraId="03A6349B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Reunión educativa de socialización</w:t>
            </w:r>
          </w:p>
        </w:tc>
        <w:tc>
          <w:tcPr>
            <w:tcW w:w="359" w:type="dxa"/>
            <w:shd w:val="clear" w:color="auto" w:fill="EAF1DD"/>
          </w:tcPr>
          <w:p w14:paraId="1A3CCA4B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93" w:type="dxa"/>
            <w:shd w:val="clear" w:color="auto" w:fill="EAF1DD"/>
          </w:tcPr>
          <w:p w14:paraId="29296AA0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shd w:val="clear" w:color="auto" w:fill="EAF1DD"/>
          </w:tcPr>
          <w:p w14:paraId="34EC4BA0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1" w:type="dxa"/>
            <w:shd w:val="clear" w:color="auto" w:fill="EAF1DD"/>
          </w:tcPr>
          <w:p w14:paraId="681E083F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7" w:type="dxa"/>
            <w:shd w:val="clear" w:color="auto" w:fill="EAF1DD"/>
          </w:tcPr>
          <w:p w14:paraId="632F51E5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9" w:type="dxa"/>
            <w:shd w:val="clear" w:color="auto" w:fill="EAF1DD"/>
          </w:tcPr>
          <w:p w14:paraId="2965A572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7" w:type="dxa"/>
            <w:shd w:val="clear" w:color="auto" w:fill="C2D69B"/>
          </w:tcPr>
          <w:p w14:paraId="3B88C56E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090ADD9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C2D69B"/>
          </w:tcPr>
          <w:p w14:paraId="00E3880E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2" w:type="dxa"/>
            <w:shd w:val="clear" w:color="auto" w:fill="C2D69B"/>
          </w:tcPr>
          <w:p w14:paraId="33E73C48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49005CA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50" w:type="dxa"/>
            <w:shd w:val="clear" w:color="auto" w:fill="C2D69B"/>
          </w:tcPr>
          <w:p w14:paraId="2DEFC82D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9" w:type="dxa"/>
            <w:shd w:val="clear" w:color="auto" w:fill="EAF1DD"/>
          </w:tcPr>
          <w:p w14:paraId="62DF4368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EAF1DD"/>
          </w:tcPr>
          <w:p w14:paraId="2A29DD8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6" w:type="dxa"/>
            <w:shd w:val="clear" w:color="auto" w:fill="EAF1DD"/>
          </w:tcPr>
          <w:p w14:paraId="23252BD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1" w:type="dxa"/>
            <w:shd w:val="clear" w:color="auto" w:fill="EAF1DD"/>
          </w:tcPr>
          <w:p w14:paraId="64107541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80" w:type="dxa"/>
            <w:shd w:val="clear" w:color="auto" w:fill="EAF1DD"/>
          </w:tcPr>
          <w:p w14:paraId="666F32C0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1" w:type="dxa"/>
            <w:shd w:val="clear" w:color="auto" w:fill="EAF1DD"/>
          </w:tcPr>
          <w:p w14:paraId="52FADE6B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2D69B"/>
          </w:tcPr>
          <w:p w14:paraId="7D339392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  <w:shd w:val="clear" w:color="auto" w:fill="C2D69B"/>
          </w:tcPr>
          <w:p w14:paraId="3EB14D0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8" w:type="dxa"/>
            <w:shd w:val="clear" w:color="auto" w:fill="C2D69B"/>
          </w:tcPr>
          <w:p w14:paraId="32E53BFF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7" w:type="dxa"/>
            <w:shd w:val="clear" w:color="auto" w:fill="C2D69B"/>
          </w:tcPr>
          <w:p w14:paraId="1F3B646E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7" w:type="dxa"/>
            <w:shd w:val="clear" w:color="auto" w:fill="C2D69B"/>
          </w:tcPr>
          <w:p w14:paraId="44888BAE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shd w:val="clear" w:color="auto" w:fill="C2D69B"/>
          </w:tcPr>
          <w:p w14:paraId="45636322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D1DD3" w14:paraId="381EDCA8" w14:textId="77777777">
        <w:trPr>
          <w:trHeight w:val="420"/>
        </w:trPr>
        <w:tc>
          <w:tcPr>
            <w:tcW w:w="2195" w:type="dxa"/>
            <w:shd w:val="clear" w:color="auto" w:fill="C2D69B"/>
          </w:tcPr>
          <w:p w14:paraId="53A1C317" w14:textId="77777777" w:rsidR="00FD1DD3" w:rsidRDefault="00000000">
            <w:pPr>
              <w:spacing w:after="200" w:line="276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lastRenderedPageBreak/>
              <w:t>Recordatorios</w:t>
            </w:r>
          </w:p>
        </w:tc>
        <w:tc>
          <w:tcPr>
            <w:tcW w:w="359" w:type="dxa"/>
            <w:shd w:val="clear" w:color="auto" w:fill="EAF1DD"/>
          </w:tcPr>
          <w:p w14:paraId="7FC637B9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93" w:type="dxa"/>
            <w:shd w:val="clear" w:color="auto" w:fill="EAF1DD"/>
          </w:tcPr>
          <w:p w14:paraId="7254A36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shd w:val="clear" w:color="auto" w:fill="EAF1DD"/>
          </w:tcPr>
          <w:p w14:paraId="340D6F2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1" w:type="dxa"/>
            <w:shd w:val="clear" w:color="auto" w:fill="EAF1DD"/>
          </w:tcPr>
          <w:p w14:paraId="026ED337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7" w:type="dxa"/>
            <w:shd w:val="clear" w:color="auto" w:fill="EAF1DD"/>
          </w:tcPr>
          <w:p w14:paraId="70A98B7E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9" w:type="dxa"/>
            <w:shd w:val="clear" w:color="auto" w:fill="EAF1DD"/>
          </w:tcPr>
          <w:p w14:paraId="3359488D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17" w:type="dxa"/>
            <w:shd w:val="clear" w:color="auto" w:fill="C2D69B"/>
          </w:tcPr>
          <w:p w14:paraId="034129A9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75E7E31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C2D69B"/>
          </w:tcPr>
          <w:p w14:paraId="5C004AD1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52" w:type="dxa"/>
            <w:shd w:val="clear" w:color="auto" w:fill="C2D69B"/>
          </w:tcPr>
          <w:p w14:paraId="124313C3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49" w:type="dxa"/>
            <w:shd w:val="clear" w:color="auto" w:fill="C2D69B"/>
          </w:tcPr>
          <w:p w14:paraId="3259DF88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0" w:type="dxa"/>
            <w:shd w:val="clear" w:color="auto" w:fill="C2D69B"/>
          </w:tcPr>
          <w:p w14:paraId="3CE12705" w14:textId="77777777" w:rsidR="00FD1DD3" w:rsidRDefault="00FD1DD3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9" w:type="dxa"/>
            <w:shd w:val="clear" w:color="auto" w:fill="EAF1DD"/>
          </w:tcPr>
          <w:p w14:paraId="24A2B0A7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0" w:type="dxa"/>
            <w:shd w:val="clear" w:color="auto" w:fill="EAF1DD"/>
          </w:tcPr>
          <w:p w14:paraId="105FB53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6" w:type="dxa"/>
            <w:shd w:val="clear" w:color="auto" w:fill="EAF1DD"/>
          </w:tcPr>
          <w:p w14:paraId="42B88BF9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31" w:type="dxa"/>
            <w:shd w:val="clear" w:color="auto" w:fill="EAF1DD"/>
          </w:tcPr>
          <w:p w14:paraId="3CDEACBE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80" w:type="dxa"/>
            <w:shd w:val="clear" w:color="auto" w:fill="EAF1DD"/>
          </w:tcPr>
          <w:p w14:paraId="4595D455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61" w:type="dxa"/>
            <w:shd w:val="clear" w:color="auto" w:fill="EAF1DD"/>
          </w:tcPr>
          <w:p w14:paraId="1FFF9C85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60" w:type="dxa"/>
            <w:shd w:val="clear" w:color="auto" w:fill="C2D69B"/>
          </w:tcPr>
          <w:p w14:paraId="2C24536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60" w:type="dxa"/>
            <w:shd w:val="clear" w:color="auto" w:fill="C2D69B"/>
          </w:tcPr>
          <w:p w14:paraId="08A0CCB9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38" w:type="dxa"/>
            <w:shd w:val="clear" w:color="auto" w:fill="C2D69B"/>
          </w:tcPr>
          <w:p w14:paraId="1BDA8610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27" w:type="dxa"/>
            <w:shd w:val="clear" w:color="auto" w:fill="C2D69B"/>
          </w:tcPr>
          <w:p w14:paraId="2955D7C6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 xml:space="preserve">X </w:t>
            </w:r>
          </w:p>
        </w:tc>
        <w:tc>
          <w:tcPr>
            <w:tcW w:w="347" w:type="dxa"/>
            <w:shd w:val="clear" w:color="auto" w:fill="C2D69B"/>
          </w:tcPr>
          <w:p w14:paraId="5D43971A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362" w:type="dxa"/>
            <w:shd w:val="clear" w:color="auto" w:fill="C2D69B"/>
          </w:tcPr>
          <w:p w14:paraId="0508A7ED" w14:textId="77777777" w:rsidR="00FD1DD3" w:rsidRDefault="00000000">
            <w:pPr>
              <w:spacing w:after="200" w:line="276" w:lineRule="auto"/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20"/>
                <w:szCs w:val="20"/>
              </w:rPr>
              <w:t>X</w:t>
            </w:r>
          </w:p>
        </w:tc>
      </w:tr>
      <w:tr w:rsidR="00FD1DD3" w14:paraId="309331CB" w14:textId="77777777">
        <w:trPr>
          <w:trHeight w:val="609"/>
        </w:trPr>
        <w:tc>
          <w:tcPr>
            <w:tcW w:w="2195" w:type="dxa"/>
            <w:shd w:val="clear" w:color="auto" w:fill="C2D69B"/>
          </w:tcPr>
          <w:p w14:paraId="1303DD4B" w14:textId="77777777" w:rsidR="00FD1DD3" w:rsidRDefault="00000000">
            <w:pPr>
              <w:spacing w:after="200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>Auditoría y retroalimentación</w:t>
            </w:r>
          </w:p>
        </w:tc>
        <w:tc>
          <w:tcPr>
            <w:tcW w:w="359" w:type="dxa"/>
            <w:shd w:val="clear" w:color="auto" w:fill="EAF1DD"/>
          </w:tcPr>
          <w:p w14:paraId="164D4BEF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93" w:type="dxa"/>
            <w:shd w:val="clear" w:color="auto" w:fill="EAF1DD"/>
          </w:tcPr>
          <w:p w14:paraId="2E66C074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415" w:type="dxa"/>
            <w:shd w:val="clear" w:color="auto" w:fill="EAF1DD"/>
          </w:tcPr>
          <w:p w14:paraId="36F1F78F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51" w:type="dxa"/>
            <w:shd w:val="clear" w:color="auto" w:fill="EAF1DD"/>
          </w:tcPr>
          <w:p w14:paraId="7BB3057B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17" w:type="dxa"/>
            <w:shd w:val="clear" w:color="auto" w:fill="EAF1DD"/>
          </w:tcPr>
          <w:p w14:paraId="1DE64C67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19" w:type="dxa"/>
            <w:shd w:val="clear" w:color="auto" w:fill="EAF1DD"/>
          </w:tcPr>
          <w:p w14:paraId="270DC3B1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17" w:type="dxa"/>
            <w:shd w:val="clear" w:color="auto" w:fill="C2D69B"/>
          </w:tcPr>
          <w:p w14:paraId="56192096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49" w:type="dxa"/>
            <w:shd w:val="clear" w:color="auto" w:fill="C2D69B"/>
          </w:tcPr>
          <w:p w14:paraId="1D03F8AE" w14:textId="77777777" w:rsidR="00FD1DD3" w:rsidRDefault="00FD1DD3">
            <w:pPr>
              <w:spacing w:line="360" w:lineRule="auto"/>
              <w:jc w:val="center"/>
            </w:pPr>
          </w:p>
        </w:tc>
        <w:tc>
          <w:tcPr>
            <w:tcW w:w="370" w:type="dxa"/>
            <w:shd w:val="clear" w:color="auto" w:fill="C2D69B"/>
          </w:tcPr>
          <w:p w14:paraId="3C67EB0D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52" w:type="dxa"/>
            <w:shd w:val="clear" w:color="auto" w:fill="C2D69B"/>
          </w:tcPr>
          <w:p w14:paraId="79B12244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49" w:type="dxa"/>
            <w:shd w:val="clear" w:color="auto" w:fill="C2D69B"/>
          </w:tcPr>
          <w:p w14:paraId="1B7C9506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50" w:type="dxa"/>
            <w:shd w:val="clear" w:color="auto" w:fill="C2D69B"/>
          </w:tcPr>
          <w:p w14:paraId="156DC6A6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49" w:type="dxa"/>
            <w:shd w:val="clear" w:color="auto" w:fill="EAF1DD"/>
          </w:tcPr>
          <w:p w14:paraId="2F6A7C03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70" w:type="dxa"/>
            <w:shd w:val="clear" w:color="auto" w:fill="EAF1DD"/>
          </w:tcPr>
          <w:p w14:paraId="2324514A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06" w:type="dxa"/>
            <w:shd w:val="clear" w:color="auto" w:fill="EAF1DD"/>
          </w:tcPr>
          <w:p w14:paraId="434F4153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31" w:type="dxa"/>
            <w:shd w:val="clear" w:color="auto" w:fill="EAF1DD"/>
          </w:tcPr>
          <w:p w14:paraId="5289E4E4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80" w:type="dxa"/>
            <w:shd w:val="clear" w:color="auto" w:fill="EAF1DD"/>
          </w:tcPr>
          <w:p w14:paraId="0F1EF392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61" w:type="dxa"/>
            <w:shd w:val="clear" w:color="auto" w:fill="EAF1DD"/>
          </w:tcPr>
          <w:p w14:paraId="3172DB5E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2D69B"/>
          </w:tcPr>
          <w:p w14:paraId="1E5668E3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60" w:type="dxa"/>
            <w:shd w:val="clear" w:color="auto" w:fill="C2D69B"/>
          </w:tcPr>
          <w:p w14:paraId="740287BB" w14:textId="77777777" w:rsidR="00FD1DD3" w:rsidRDefault="00FD1DD3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338" w:type="dxa"/>
            <w:shd w:val="clear" w:color="auto" w:fill="C2D69B"/>
          </w:tcPr>
          <w:p w14:paraId="201E04C6" w14:textId="77777777" w:rsidR="00FD1DD3" w:rsidRDefault="0000000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27" w:type="dxa"/>
            <w:shd w:val="clear" w:color="auto" w:fill="C2D69B"/>
          </w:tcPr>
          <w:p w14:paraId="3AA9F2E0" w14:textId="77777777" w:rsidR="00FD1DD3" w:rsidRDefault="0000000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47" w:type="dxa"/>
            <w:shd w:val="clear" w:color="auto" w:fill="C2D69B"/>
          </w:tcPr>
          <w:p w14:paraId="24D75823" w14:textId="77777777" w:rsidR="00FD1DD3" w:rsidRDefault="0000000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362" w:type="dxa"/>
            <w:shd w:val="clear" w:color="auto" w:fill="C2D69B"/>
          </w:tcPr>
          <w:p w14:paraId="745D0B9B" w14:textId="77777777" w:rsidR="00FD1DD3" w:rsidRDefault="0000000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X</w:t>
            </w:r>
          </w:p>
        </w:tc>
      </w:tr>
    </w:tbl>
    <w:p w14:paraId="19EA1596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444AD0FE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05406E47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13D350A5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2CC97BEC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48A3C621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4DF4BF12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p w14:paraId="415302A3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tbl>
      <w:tblPr>
        <w:tblStyle w:val="TableNormal"/>
        <w:tblpPr w:horzAnchor="margin"/>
        <w:tblW w:w="106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5244"/>
        <w:gridCol w:w="2698"/>
      </w:tblGrid>
      <w:tr w:rsidR="00FD1DD3" w14:paraId="0DBC6AF0" w14:textId="77777777">
        <w:trPr>
          <w:trHeight w:val="280"/>
        </w:trPr>
        <w:tc>
          <w:tcPr>
            <w:tcW w:w="10631" w:type="dxa"/>
            <w:gridSpan w:val="3"/>
            <w:shd w:val="clear" w:color="auto" w:fill="D6E3BC"/>
          </w:tcPr>
          <w:p w14:paraId="2898ECAD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>11. INDICADORES DE IMPLEMENTACIÓN</w:t>
            </w:r>
          </w:p>
        </w:tc>
      </w:tr>
      <w:tr w:rsidR="00FD1DD3" w14:paraId="28A5206A" w14:textId="77777777">
        <w:trPr>
          <w:trHeight w:val="249"/>
        </w:trPr>
        <w:tc>
          <w:tcPr>
            <w:tcW w:w="2689" w:type="dxa"/>
            <w:shd w:val="clear" w:color="auto" w:fill="9BBB59"/>
          </w:tcPr>
          <w:p w14:paraId="105F349C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INDICADOR</w:t>
            </w:r>
          </w:p>
        </w:tc>
        <w:tc>
          <w:tcPr>
            <w:tcW w:w="5244" w:type="dxa"/>
            <w:shd w:val="clear" w:color="auto" w:fill="9BBB59"/>
          </w:tcPr>
          <w:p w14:paraId="2F71F9B9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FÓRMULA</w:t>
            </w:r>
          </w:p>
        </w:tc>
        <w:tc>
          <w:tcPr>
            <w:tcW w:w="2698" w:type="dxa"/>
            <w:shd w:val="clear" w:color="auto" w:fill="9BBB59"/>
          </w:tcPr>
          <w:p w14:paraId="4285F8C3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META</w:t>
            </w:r>
          </w:p>
        </w:tc>
      </w:tr>
      <w:tr w:rsidR="00FD1DD3" w14:paraId="3404E733" w14:textId="77777777">
        <w:trPr>
          <w:trHeight w:val="249"/>
        </w:trPr>
        <w:tc>
          <w:tcPr>
            <w:tcW w:w="2689" w:type="dxa"/>
            <w:shd w:val="clear" w:color="auto" w:fill="FFFFFF"/>
            <w:vAlign w:val="center"/>
          </w:tcPr>
          <w:p w14:paraId="61D95899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% Historias clínicas con calificación mayor o igual a 4.5 en evaluación de adherencia de GPC</w:t>
            </w:r>
          </w:p>
        </w:tc>
        <w:tc>
          <w:tcPr>
            <w:tcW w:w="5244" w:type="dxa"/>
            <w:shd w:val="clear" w:color="auto" w:fill="FFFFFF"/>
            <w:vAlign w:val="center"/>
          </w:tcPr>
          <w:p w14:paraId="6A28DA78" w14:textId="77777777" w:rsidR="00FD1DD3" w:rsidRDefault="00FD1DD3">
            <w:pPr>
              <w:pStyle w:val="Sinespaciado"/>
              <w:jc w:val="center"/>
              <w:rPr>
                <w:rFonts w:asciiTheme="majorHAnsi" w:hAnsiTheme="majorHAnsi"/>
                <w:iCs/>
                <w:sz w:val="16"/>
                <w:szCs w:val="16"/>
              </w:rPr>
            </w:pPr>
          </w:p>
        </w:tc>
        <w:tc>
          <w:tcPr>
            <w:tcW w:w="2698" w:type="dxa"/>
            <w:shd w:val="clear" w:color="auto" w:fill="FFFFFF"/>
          </w:tcPr>
          <w:p w14:paraId="3C521538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90% de las historias clínicas tiene una calificación mayor o igual a 4.5</w:t>
            </w:r>
          </w:p>
        </w:tc>
      </w:tr>
      <w:tr w:rsidR="00FD1DD3" w14:paraId="38B4718D" w14:textId="77777777">
        <w:trPr>
          <w:trHeight w:val="955"/>
        </w:trPr>
        <w:tc>
          <w:tcPr>
            <w:tcW w:w="2689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B2671E9" w14:textId="77777777" w:rsidR="00FD1DD3" w:rsidRDefault="00000000">
            <w:pPr>
              <w:pStyle w:val="Sinespaciado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Oportunidad en la atención específica de pacientes con IAM</w:t>
            </w:r>
          </w:p>
        </w:tc>
        <w:tc>
          <w:tcPr>
            <w:tcW w:w="524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CECBE14" w14:textId="77777777" w:rsidR="00FD1DD3" w:rsidRDefault="00FD1DD3">
            <w:pPr>
              <w:pStyle w:val="Sinespaciado"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698" w:type="dxa"/>
            <w:tcBorders>
              <w:bottom w:val="single" w:sz="4" w:space="0" w:color="000000"/>
            </w:tcBorders>
            <w:shd w:val="clear" w:color="auto" w:fill="FFFFFF"/>
          </w:tcPr>
          <w:p w14:paraId="3144D537" w14:textId="77777777" w:rsidR="00FD1DD3" w:rsidRDefault="00000000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Igual o mayor al 90% de los pacientes reciben terapia específica en la primera hora 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>posterior a la realización del diagnóstico</w:t>
            </w:r>
          </w:p>
        </w:tc>
      </w:tr>
    </w:tbl>
    <w:p w14:paraId="7D750E81" w14:textId="77777777" w:rsidR="00FD1DD3" w:rsidRDefault="00FD1DD3">
      <w:pPr>
        <w:pStyle w:val="Textoindependiente"/>
        <w:rPr>
          <w:rFonts w:asciiTheme="minorHAnsi" w:hAnsiTheme="minorHAnsi"/>
          <w:sz w:val="20"/>
          <w:szCs w:val="20"/>
        </w:rPr>
      </w:pPr>
    </w:p>
    <w:sectPr w:rsidR="00FD1DD3">
      <w:headerReference w:type="default" r:id="rId9"/>
      <w:footerReference w:type="default" r:id="rId10"/>
      <w:pgSz w:w="12240" w:h="15840"/>
      <w:pgMar w:top="1840" w:right="680" w:bottom="940" w:left="900" w:header="713" w:footer="6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CDFD6" w14:textId="77777777" w:rsidR="00B71D07" w:rsidRDefault="00B71D07">
      <w:r>
        <w:separator/>
      </w:r>
    </w:p>
  </w:endnote>
  <w:endnote w:type="continuationSeparator" w:id="0">
    <w:p w14:paraId="78C41F6B" w14:textId="77777777" w:rsidR="00B71D07" w:rsidRDefault="00B7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2F7D" w14:textId="77777777" w:rsidR="00FD1DD3" w:rsidRDefault="00FD1DD3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EF98" w14:textId="77777777" w:rsidR="00B71D07" w:rsidRDefault="00B71D07">
      <w:r>
        <w:separator/>
      </w:r>
    </w:p>
  </w:footnote>
  <w:footnote w:type="continuationSeparator" w:id="0">
    <w:p w14:paraId="5E2D3D57" w14:textId="77777777" w:rsidR="00B71D07" w:rsidRDefault="00B71D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02"/>
      <w:gridCol w:w="1956"/>
      <w:gridCol w:w="239"/>
      <w:gridCol w:w="1032"/>
      <w:gridCol w:w="4715"/>
    </w:tblGrid>
    <w:tr w:rsidR="00FD1DD3" w14:paraId="4BBB7D57" w14:textId="77777777">
      <w:trPr>
        <w:trHeight w:val="252"/>
        <w:jc w:val="center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F6B47B8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noProof/>
              <w:color w:val="000000"/>
            </w:rPr>
            <w:drawing>
              <wp:inline distT="0" distB="0" distL="0" distR="0" wp14:anchorId="3EA238A5" wp14:editId="7063EE1A">
                <wp:extent cx="891545" cy="723904"/>
                <wp:effectExtent l="0" t="0" r="381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tipo, nombre de la empresa  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154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1AB17C3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t>HOSPITAL REGIONAL DE MONIQUIRA E.S. E</w:t>
          </w:r>
        </w:p>
      </w:tc>
    </w:tr>
    <w:tr w:rsidR="00FD1DD3" w14:paraId="7E3DCA86" w14:textId="77777777">
      <w:trPr>
        <w:trHeight w:val="282"/>
        <w:jc w:val="center"/>
      </w:trPr>
      <w:tc>
        <w:tcPr>
          <w:tcW w:w="210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2C442DA" w14:textId="77777777" w:rsidR="00FD1DD3" w:rsidRDefault="00FD1DD3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7942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E4593A3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t>FORMATO PLAN INSTITUCIONAL DE IMPLEMENTACIÓN</w:t>
          </w:r>
        </w:p>
      </w:tc>
    </w:tr>
    <w:tr w:rsidR="00FD1DD3" w14:paraId="6E76E8AF" w14:textId="77777777">
      <w:trPr>
        <w:trHeight w:val="495"/>
        <w:jc w:val="center"/>
      </w:trPr>
      <w:tc>
        <w:tcPr>
          <w:tcW w:w="210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38F6FB1" w14:textId="77777777" w:rsidR="00FD1DD3" w:rsidRDefault="00FD1DD3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7942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0BC9A43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t>PROCESO DE GESTIÓN DE CALIDAD</w:t>
          </w: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br/>
            <w:t>SUBPROCESO: AUDITORÍA DE HC Y GPC </w:t>
          </w:r>
        </w:p>
      </w:tc>
    </w:tr>
    <w:tr w:rsidR="00FD1DD3" w14:paraId="38FF9042" w14:textId="77777777">
      <w:trPr>
        <w:trHeight w:val="261"/>
        <w:jc w:val="center"/>
      </w:trPr>
      <w:tc>
        <w:tcPr>
          <w:tcW w:w="210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C97470" w14:textId="77777777" w:rsidR="00FD1DD3" w:rsidRDefault="00FD1DD3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8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584D80F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t>CÓDIGO: </w:t>
          </w:r>
        </w:p>
      </w:tc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4619C74" w14:textId="77777777" w:rsidR="00FD1DD3" w:rsidRDefault="00FD1DD3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0" w:type="auto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FBBE24A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20"/>
              <w:szCs w:val="20"/>
            </w:rPr>
            <w:t>VERSIÓN</w:t>
          </w:r>
        </w:p>
      </w:tc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5E4E3B0" w14:textId="77777777" w:rsidR="00FD1DD3" w:rsidRDefault="00000000">
          <w:pPr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Calibri" w:eastAsia="Times New Roman" w:hAnsi="Calibri" w:cs="Calibri"/>
              <w:color w:val="000000"/>
              <w:sz w:val="20"/>
              <w:szCs w:val="20"/>
            </w:rPr>
            <w:t>V1-2024</w:t>
          </w:r>
        </w:p>
      </w:tc>
    </w:tr>
  </w:tbl>
  <w:p w14:paraId="3F4E0C18" w14:textId="77777777" w:rsidR="00FD1DD3" w:rsidRDefault="00FD1DD3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5938"/>
    <w:multiLevelType w:val="hybridMultilevel"/>
    <w:tmpl w:val="E292A7B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7313CE"/>
    <w:multiLevelType w:val="hybridMultilevel"/>
    <w:tmpl w:val="0324E684"/>
    <w:lvl w:ilvl="0" w:tplc="129C4276">
      <w:start w:val="33"/>
      <w:numFmt w:val="bullet"/>
      <w:lvlText w:val=""/>
      <w:lvlJc w:val="left"/>
      <w:pPr>
        <w:ind w:left="720" w:hanging="360"/>
      </w:pPr>
      <w:rPr>
        <w:rFonts w:ascii="Wingdings" w:eastAsia="Arial MT" w:hAnsi="Wingdings" w:cs="Arial MT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53398"/>
    <w:multiLevelType w:val="hybridMultilevel"/>
    <w:tmpl w:val="388A770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CB611A"/>
    <w:multiLevelType w:val="multilevel"/>
    <w:tmpl w:val="F41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0625C"/>
    <w:multiLevelType w:val="hybridMultilevel"/>
    <w:tmpl w:val="5B240AD0"/>
    <w:lvl w:ilvl="0" w:tplc="3C525F3E">
      <w:start w:val="2"/>
      <w:numFmt w:val="decimal"/>
      <w:lvlText w:val="%1."/>
      <w:lvlJc w:val="left"/>
      <w:pPr>
        <w:ind w:left="107" w:hanging="240"/>
      </w:pPr>
      <w:rPr>
        <w:rFonts w:ascii="Arial MT" w:eastAsia="Arial MT" w:hAnsi="Arial MT" w:cs="Arial MT" w:hint="default"/>
        <w:sz w:val="22"/>
        <w:szCs w:val="22"/>
      </w:rPr>
    </w:lvl>
    <w:lvl w:ilvl="1" w:tplc="344CB584">
      <w:numFmt w:val="bullet"/>
      <w:lvlText w:val="•"/>
      <w:lvlJc w:val="left"/>
      <w:pPr>
        <w:ind w:left="772" w:hanging="240"/>
      </w:pPr>
      <w:rPr>
        <w:rFonts w:hint="default"/>
      </w:rPr>
    </w:lvl>
    <w:lvl w:ilvl="2" w:tplc="348E8310">
      <w:numFmt w:val="bullet"/>
      <w:lvlText w:val="•"/>
      <w:lvlJc w:val="left"/>
      <w:pPr>
        <w:ind w:left="1445" w:hanging="240"/>
      </w:pPr>
      <w:rPr>
        <w:rFonts w:hint="default"/>
      </w:rPr>
    </w:lvl>
    <w:lvl w:ilvl="3" w:tplc="6DCA54A6">
      <w:numFmt w:val="bullet"/>
      <w:lvlText w:val="•"/>
      <w:lvlJc w:val="left"/>
      <w:pPr>
        <w:ind w:left="2117" w:hanging="240"/>
      </w:pPr>
      <w:rPr>
        <w:rFonts w:hint="default"/>
      </w:rPr>
    </w:lvl>
    <w:lvl w:ilvl="4" w:tplc="CF9E8EA6">
      <w:numFmt w:val="bullet"/>
      <w:lvlText w:val="•"/>
      <w:lvlJc w:val="left"/>
      <w:pPr>
        <w:ind w:left="2790" w:hanging="240"/>
      </w:pPr>
      <w:rPr>
        <w:rFonts w:hint="default"/>
      </w:rPr>
    </w:lvl>
    <w:lvl w:ilvl="5" w:tplc="21DAFC20">
      <w:numFmt w:val="bullet"/>
      <w:lvlText w:val="•"/>
      <w:lvlJc w:val="left"/>
      <w:pPr>
        <w:ind w:left="3463" w:hanging="240"/>
      </w:pPr>
      <w:rPr>
        <w:rFonts w:hint="default"/>
      </w:rPr>
    </w:lvl>
    <w:lvl w:ilvl="6" w:tplc="E830FA8A">
      <w:numFmt w:val="bullet"/>
      <w:lvlText w:val="•"/>
      <w:lvlJc w:val="left"/>
      <w:pPr>
        <w:ind w:left="4135" w:hanging="240"/>
      </w:pPr>
      <w:rPr>
        <w:rFonts w:hint="default"/>
      </w:rPr>
    </w:lvl>
    <w:lvl w:ilvl="7" w:tplc="2960A1DE">
      <w:numFmt w:val="bullet"/>
      <w:lvlText w:val="•"/>
      <w:lvlJc w:val="left"/>
      <w:pPr>
        <w:ind w:left="4808" w:hanging="240"/>
      </w:pPr>
      <w:rPr>
        <w:rFonts w:hint="default"/>
      </w:rPr>
    </w:lvl>
    <w:lvl w:ilvl="8" w:tplc="717ABD70">
      <w:numFmt w:val="bullet"/>
      <w:lvlText w:val="•"/>
      <w:lvlJc w:val="left"/>
      <w:pPr>
        <w:ind w:left="5480" w:hanging="240"/>
      </w:pPr>
      <w:rPr>
        <w:rFonts w:hint="default"/>
      </w:rPr>
    </w:lvl>
  </w:abstractNum>
  <w:abstractNum w:abstractNumId="5" w15:restartNumberingAfterBreak="0">
    <w:nsid w:val="4DCC6378"/>
    <w:multiLevelType w:val="hybridMultilevel"/>
    <w:tmpl w:val="A0B49B7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5B0237"/>
    <w:multiLevelType w:val="hybridMultilevel"/>
    <w:tmpl w:val="6C8CCF22"/>
    <w:lvl w:ilvl="0" w:tplc="BB68F82C">
      <w:start w:val="33"/>
      <w:numFmt w:val="bullet"/>
      <w:lvlText w:val=""/>
      <w:lvlJc w:val="left"/>
      <w:pPr>
        <w:ind w:left="720" w:hanging="360"/>
      </w:pPr>
      <w:rPr>
        <w:rFonts w:ascii="Wingdings" w:eastAsia="Arial MT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CF4BB3"/>
    <w:multiLevelType w:val="hybridMultilevel"/>
    <w:tmpl w:val="A9883970"/>
    <w:lvl w:ilvl="0" w:tplc="05C6D2DA">
      <w:numFmt w:val="bullet"/>
      <w:lvlText w:val=""/>
      <w:lvlJc w:val="left"/>
      <w:pPr>
        <w:ind w:left="720" w:hanging="360"/>
      </w:pPr>
      <w:rPr>
        <w:rFonts w:ascii="Calibri" w:eastAsia="Arial MT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F3A77"/>
    <w:multiLevelType w:val="hybridMultilevel"/>
    <w:tmpl w:val="DB3C0F8A"/>
    <w:lvl w:ilvl="0" w:tplc="43CA2160">
      <w:start w:val="33"/>
      <w:numFmt w:val="bullet"/>
      <w:lvlText w:val=""/>
      <w:lvlJc w:val="left"/>
      <w:pPr>
        <w:ind w:left="408" w:hanging="360"/>
      </w:pPr>
      <w:rPr>
        <w:rFonts w:ascii="Wingdings" w:eastAsia="Arial MT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6A242FBB"/>
    <w:multiLevelType w:val="hybridMultilevel"/>
    <w:tmpl w:val="10BA364E"/>
    <w:lvl w:ilvl="0" w:tplc="7D16174C">
      <w:start w:val="3"/>
      <w:numFmt w:val="decimal"/>
      <w:lvlText w:val="%1."/>
      <w:lvlJc w:val="left"/>
      <w:pPr>
        <w:ind w:left="1161" w:hanging="360"/>
      </w:pPr>
      <w:rPr>
        <w:rFonts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881" w:hanging="360"/>
      </w:pPr>
    </w:lvl>
    <w:lvl w:ilvl="2" w:tplc="240A001B" w:tentative="1">
      <w:start w:val="1"/>
      <w:numFmt w:val="lowerRoman"/>
      <w:lvlText w:val="%3."/>
      <w:lvlJc w:val="right"/>
      <w:pPr>
        <w:ind w:left="2601" w:hanging="180"/>
      </w:pPr>
    </w:lvl>
    <w:lvl w:ilvl="3" w:tplc="240A000F" w:tentative="1">
      <w:start w:val="1"/>
      <w:numFmt w:val="decimal"/>
      <w:lvlText w:val="%4."/>
      <w:lvlJc w:val="left"/>
      <w:pPr>
        <w:ind w:left="3321" w:hanging="360"/>
      </w:pPr>
    </w:lvl>
    <w:lvl w:ilvl="4" w:tplc="240A0019" w:tentative="1">
      <w:start w:val="1"/>
      <w:numFmt w:val="lowerLetter"/>
      <w:lvlText w:val="%5."/>
      <w:lvlJc w:val="left"/>
      <w:pPr>
        <w:ind w:left="4041" w:hanging="360"/>
      </w:pPr>
    </w:lvl>
    <w:lvl w:ilvl="5" w:tplc="240A001B" w:tentative="1">
      <w:start w:val="1"/>
      <w:numFmt w:val="lowerRoman"/>
      <w:lvlText w:val="%6."/>
      <w:lvlJc w:val="right"/>
      <w:pPr>
        <w:ind w:left="4761" w:hanging="180"/>
      </w:pPr>
    </w:lvl>
    <w:lvl w:ilvl="6" w:tplc="240A000F" w:tentative="1">
      <w:start w:val="1"/>
      <w:numFmt w:val="decimal"/>
      <w:lvlText w:val="%7."/>
      <w:lvlJc w:val="left"/>
      <w:pPr>
        <w:ind w:left="5481" w:hanging="360"/>
      </w:pPr>
    </w:lvl>
    <w:lvl w:ilvl="7" w:tplc="240A0019" w:tentative="1">
      <w:start w:val="1"/>
      <w:numFmt w:val="lowerLetter"/>
      <w:lvlText w:val="%8."/>
      <w:lvlJc w:val="left"/>
      <w:pPr>
        <w:ind w:left="6201" w:hanging="360"/>
      </w:pPr>
    </w:lvl>
    <w:lvl w:ilvl="8" w:tplc="240A001B" w:tentative="1">
      <w:start w:val="1"/>
      <w:numFmt w:val="lowerRoman"/>
      <w:lvlText w:val="%9."/>
      <w:lvlJc w:val="right"/>
      <w:pPr>
        <w:ind w:left="6921" w:hanging="180"/>
      </w:pPr>
    </w:lvl>
  </w:abstractNum>
  <w:abstractNum w:abstractNumId="10" w15:restartNumberingAfterBreak="0">
    <w:nsid w:val="6F167A6A"/>
    <w:multiLevelType w:val="hybridMultilevel"/>
    <w:tmpl w:val="28E0861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244F06"/>
    <w:multiLevelType w:val="hybridMultilevel"/>
    <w:tmpl w:val="B3CC4CE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6B7C65"/>
    <w:multiLevelType w:val="hybridMultilevel"/>
    <w:tmpl w:val="2284AE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804898">
    <w:abstractNumId w:val="4"/>
  </w:num>
  <w:num w:numId="2" w16cid:durableId="1427767961">
    <w:abstractNumId w:val="9"/>
  </w:num>
  <w:num w:numId="3" w16cid:durableId="1465469229">
    <w:abstractNumId w:val="12"/>
  </w:num>
  <w:num w:numId="4" w16cid:durableId="325864219">
    <w:abstractNumId w:val="0"/>
  </w:num>
  <w:num w:numId="5" w16cid:durableId="981010013">
    <w:abstractNumId w:val="7"/>
  </w:num>
  <w:num w:numId="6" w16cid:durableId="894858239">
    <w:abstractNumId w:val="3"/>
  </w:num>
  <w:num w:numId="7" w16cid:durableId="518785436">
    <w:abstractNumId w:val="11"/>
  </w:num>
  <w:num w:numId="8" w16cid:durableId="307395237">
    <w:abstractNumId w:val="5"/>
  </w:num>
  <w:num w:numId="9" w16cid:durableId="1289509543">
    <w:abstractNumId w:val="2"/>
  </w:num>
  <w:num w:numId="10" w16cid:durableId="1784572400">
    <w:abstractNumId w:val="10"/>
  </w:num>
  <w:num w:numId="11" w16cid:durableId="541358718">
    <w:abstractNumId w:val="6"/>
  </w:num>
  <w:num w:numId="12" w16cid:durableId="599411140">
    <w:abstractNumId w:val="8"/>
  </w:num>
  <w:num w:numId="13" w16cid:durableId="454836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1B"/>
    <w:rsid w:val="00002474"/>
    <w:rsid w:val="0003474E"/>
    <w:rsid w:val="000415CA"/>
    <w:rsid w:val="00086511"/>
    <w:rsid w:val="000906BF"/>
    <w:rsid w:val="0009350F"/>
    <w:rsid w:val="000B5CB7"/>
    <w:rsid w:val="000C1269"/>
    <w:rsid w:val="000C6ADD"/>
    <w:rsid w:val="000E662A"/>
    <w:rsid w:val="000F6D9D"/>
    <w:rsid w:val="00104E2E"/>
    <w:rsid w:val="001A29F9"/>
    <w:rsid w:val="001B323B"/>
    <w:rsid w:val="001B4B25"/>
    <w:rsid w:val="002117A7"/>
    <w:rsid w:val="002150A0"/>
    <w:rsid w:val="0023748E"/>
    <w:rsid w:val="002746C5"/>
    <w:rsid w:val="00276D94"/>
    <w:rsid w:val="002B0E39"/>
    <w:rsid w:val="002D4693"/>
    <w:rsid w:val="002E3FC1"/>
    <w:rsid w:val="002E6B5A"/>
    <w:rsid w:val="003862FD"/>
    <w:rsid w:val="003E190F"/>
    <w:rsid w:val="004367D0"/>
    <w:rsid w:val="004755CB"/>
    <w:rsid w:val="0049163F"/>
    <w:rsid w:val="00494277"/>
    <w:rsid w:val="004B402B"/>
    <w:rsid w:val="004B40B5"/>
    <w:rsid w:val="004B42E5"/>
    <w:rsid w:val="004B60B8"/>
    <w:rsid w:val="004E1D4A"/>
    <w:rsid w:val="004E7913"/>
    <w:rsid w:val="00526E5D"/>
    <w:rsid w:val="00544699"/>
    <w:rsid w:val="00573DC8"/>
    <w:rsid w:val="005900B5"/>
    <w:rsid w:val="005908C2"/>
    <w:rsid w:val="00596B43"/>
    <w:rsid w:val="005A040A"/>
    <w:rsid w:val="005A587C"/>
    <w:rsid w:val="005B5983"/>
    <w:rsid w:val="005B5DC3"/>
    <w:rsid w:val="00606CFD"/>
    <w:rsid w:val="0064542A"/>
    <w:rsid w:val="0065125C"/>
    <w:rsid w:val="0065242D"/>
    <w:rsid w:val="00673CD2"/>
    <w:rsid w:val="006815F4"/>
    <w:rsid w:val="006A3C0B"/>
    <w:rsid w:val="006A7DB7"/>
    <w:rsid w:val="006D5EF0"/>
    <w:rsid w:val="00720AEC"/>
    <w:rsid w:val="00737121"/>
    <w:rsid w:val="00760562"/>
    <w:rsid w:val="0076484F"/>
    <w:rsid w:val="00764FE9"/>
    <w:rsid w:val="007653B2"/>
    <w:rsid w:val="0077619F"/>
    <w:rsid w:val="007C01CE"/>
    <w:rsid w:val="008031F4"/>
    <w:rsid w:val="00815BD6"/>
    <w:rsid w:val="008633AD"/>
    <w:rsid w:val="0088122E"/>
    <w:rsid w:val="00891C7D"/>
    <w:rsid w:val="008A6204"/>
    <w:rsid w:val="008B2D6C"/>
    <w:rsid w:val="008F5790"/>
    <w:rsid w:val="009159EF"/>
    <w:rsid w:val="00935AFE"/>
    <w:rsid w:val="009414A1"/>
    <w:rsid w:val="009C6868"/>
    <w:rsid w:val="00A30FDD"/>
    <w:rsid w:val="00A61201"/>
    <w:rsid w:val="00A629BC"/>
    <w:rsid w:val="00A77E85"/>
    <w:rsid w:val="00A841FB"/>
    <w:rsid w:val="00AA2D4A"/>
    <w:rsid w:val="00AA7EAB"/>
    <w:rsid w:val="00AD2C59"/>
    <w:rsid w:val="00AE2558"/>
    <w:rsid w:val="00AF24FB"/>
    <w:rsid w:val="00B32E8F"/>
    <w:rsid w:val="00B55AE5"/>
    <w:rsid w:val="00B57B75"/>
    <w:rsid w:val="00B71D07"/>
    <w:rsid w:val="00B75196"/>
    <w:rsid w:val="00BA13D4"/>
    <w:rsid w:val="00BC0896"/>
    <w:rsid w:val="00BC400D"/>
    <w:rsid w:val="00BF3048"/>
    <w:rsid w:val="00C1425D"/>
    <w:rsid w:val="00C20B2C"/>
    <w:rsid w:val="00C35313"/>
    <w:rsid w:val="00C62565"/>
    <w:rsid w:val="00C82E47"/>
    <w:rsid w:val="00CB52E0"/>
    <w:rsid w:val="00CB5786"/>
    <w:rsid w:val="00CC2B6B"/>
    <w:rsid w:val="00D15B1B"/>
    <w:rsid w:val="00D15D50"/>
    <w:rsid w:val="00D1762E"/>
    <w:rsid w:val="00D21B89"/>
    <w:rsid w:val="00D325F8"/>
    <w:rsid w:val="00D366E4"/>
    <w:rsid w:val="00D629B2"/>
    <w:rsid w:val="00DA4728"/>
    <w:rsid w:val="00DC1EE1"/>
    <w:rsid w:val="00DD228B"/>
    <w:rsid w:val="00DE142B"/>
    <w:rsid w:val="00DF2BD9"/>
    <w:rsid w:val="00DF7CCF"/>
    <w:rsid w:val="00E04B87"/>
    <w:rsid w:val="00E07D65"/>
    <w:rsid w:val="00E31EDC"/>
    <w:rsid w:val="00E34E15"/>
    <w:rsid w:val="00E45558"/>
    <w:rsid w:val="00E57997"/>
    <w:rsid w:val="00E63EFE"/>
    <w:rsid w:val="00E65E6F"/>
    <w:rsid w:val="00E71160"/>
    <w:rsid w:val="00EA6D2A"/>
    <w:rsid w:val="00F1237A"/>
    <w:rsid w:val="00F246E0"/>
    <w:rsid w:val="00F30CF2"/>
    <w:rsid w:val="00F465A7"/>
    <w:rsid w:val="00F778BB"/>
    <w:rsid w:val="00F925F3"/>
    <w:rsid w:val="00FD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1A2798"/>
  <w15:docId w15:val="{F87C2305-BC11-4E0D-ADEE-7E452D820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68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94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EA6D2A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B40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40B5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B40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0B5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4B40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5B5DC3"/>
    <w:rPr>
      <w:rFonts w:ascii="Arial MT" w:eastAsia="Arial MT" w:hAnsi="Arial MT" w:cs="Arial MT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A040A"/>
    <w:rPr>
      <w:rFonts w:ascii="Arial MT" w:eastAsia="Arial MT" w:hAnsi="Arial MT" w:cs="Arial MT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276D9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F246E0"/>
    <w:rPr>
      <w:rFonts w:ascii="Cambria" w:hAnsi="Cambria" w:cs="Cambria" w:hint="default"/>
      <w:color w:val="000000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EA6D2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F925F3"/>
    <w:rPr>
      <w:color w:val="808080"/>
    </w:rPr>
  </w:style>
  <w:style w:type="character" w:styleId="Textoennegrita">
    <w:name w:val="Strong"/>
    <w:basedOn w:val="Fuentedeprrafopredeter"/>
    <w:uiPriority w:val="22"/>
    <w:qFormat/>
    <w:rsid w:val="002117A7"/>
    <w:rPr>
      <w:b/>
      <w:bCs/>
    </w:rPr>
  </w:style>
  <w:style w:type="character" w:customStyle="1" w:styleId="overflow-hidden">
    <w:name w:val="overflow-hidden"/>
    <w:basedOn w:val="Fuentedeprrafopredeter"/>
    <w:rsid w:val="002117A7"/>
  </w:style>
  <w:style w:type="character" w:customStyle="1" w:styleId="Ttulo1Car">
    <w:name w:val="Título 1 Car"/>
    <w:basedOn w:val="Fuentedeprrafopredeter"/>
    <w:link w:val="Ttulo1"/>
    <w:uiPriority w:val="9"/>
    <w:rsid w:val="00494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1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0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B534F-742A-46FD-B00C-5724EC3D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1388</Words>
  <Characters>7636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Caicedo</dc:creator>
  <cp:lastModifiedBy>LÍDER HOSPITALIZACIÓN</cp:lastModifiedBy>
  <cp:revision>2</cp:revision>
  <dcterms:created xsi:type="dcterms:W3CDTF">2025-02-19T17:24:00Z</dcterms:created>
  <dcterms:modified xsi:type="dcterms:W3CDTF">2025-02-19T17:24:00Z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2024-04-04T00:00:00Z</vt:filetime>
  </property>
</Properties>
</file>