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35F9" w14:textId="74CB8552" w:rsidR="00B25CD8" w:rsidRPr="00B25CD8" w:rsidRDefault="00B25CD8" w:rsidP="00B25CD8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kern w:val="36"/>
          <w:sz w:val="20"/>
          <w:szCs w:val="20"/>
          <w:lang w:val="es-CO" w:eastAsia="es-CO"/>
        </w:rPr>
        <w:t>ACTA DE ADOPCIÓN / ADAPTACIÓN DE GUÍAS DE PRÁCTICA CLÍNICA</w:t>
      </w:r>
    </w:p>
    <w:p w14:paraId="559E8299" w14:textId="4A74DFD2" w:rsidR="00B25CD8" w:rsidRPr="00B25CD8" w:rsidRDefault="00B25CD8" w:rsidP="00B25CD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ATENCIÓN ODONTOLÓGICA – CARIES Y ENFERMEDAD PERIODONTA</w:t>
      </w:r>
      <w:r>
        <w:rPr>
          <w:rFonts w:eastAsia="Times New Roman" w:cstheme="minorHAnsi"/>
          <w:sz w:val="20"/>
          <w:szCs w:val="20"/>
          <w:lang w:val="es-CO" w:eastAsia="es-CO"/>
        </w:rPr>
        <w:t>L</w:t>
      </w:r>
    </w:p>
    <w:p w14:paraId="3D050C36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En cumplimiento del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Procedimiento Institucional para la Adopción y/o Adaptación de Guías de Práctica Clínica (GPC)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, y considerando las necesidades de actualización científica, calidad y seguridad en la atención odontológica, se deja constancia del proceso metodológico desarrollado para la adopción y adaptación de guías clínicas relacionadas con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caries dental y enfermedad periodontal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.</w:t>
      </w:r>
    </w:p>
    <w:p w14:paraId="23FEF6EE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1. Justificación y priorización</w:t>
      </w:r>
    </w:p>
    <w:p w14:paraId="0753BFE9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De acuerdo con el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perfil de morbilidad institucional 2024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, se evidencia que 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caries dental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y 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enfermedad periodontal (gingivitis y periodontitis)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constituyen las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principales causas de consulta odontológica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en la institución, tanto en población pediátrica como adulta.</w:t>
      </w:r>
    </w:p>
    <w:p w14:paraId="32F61102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Adicionalmente, se identificó que la institución contaba históricamente con documentos técnicos elaborados por la Secretaría de Salud en el año 2007, los cuales, tras revisión metodológica,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no cumplen con los criterios actuales para ser considerados Guías de Práctica Clínica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, dado que:</w:t>
      </w:r>
    </w:p>
    <w:p w14:paraId="24F73885" w14:textId="77777777" w:rsidR="00B25CD8" w:rsidRPr="00B25CD8" w:rsidRDefault="00B25CD8" w:rsidP="00B25C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No declaran metodología sistemática de búsqueda</w:t>
      </w:r>
    </w:p>
    <w:p w14:paraId="3B400209" w14:textId="77777777" w:rsidR="00B25CD8" w:rsidRPr="00B25CD8" w:rsidRDefault="00B25CD8" w:rsidP="00B25C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No presentan evaluación de calidad (AGREE II)</w:t>
      </w:r>
    </w:p>
    <w:p w14:paraId="219AE432" w14:textId="77777777" w:rsidR="00B25CD8" w:rsidRPr="00B25CD8" w:rsidRDefault="00B25CD8" w:rsidP="00B25C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No especifican niveles de evidencia ni fuerza de recomendación</w:t>
      </w:r>
    </w:p>
    <w:p w14:paraId="4E310C3C" w14:textId="77777777" w:rsidR="00B25CD8" w:rsidRPr="00B25CD8" w:rsidRDefault="00B25CD8" w:rsidP="00B25CD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Se encuentran desactualizados frente a la evidencia científica vigente</w:t>
      </w:r>
    </w:p>
    <w:p w14:paraId="4AAF2ADE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Por lo anterior, se determinó la necesidad de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adoptar y adaptar guías clínicas actualizadas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, desarrolladas por sociedades científicas reconocidas internacionalmente.</w:t>
      </w:r>
    </w:p>
    <w:p w14:paraId="21F209A6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2. Verificación de GPC nacionales</w:t>
      </w:r>
    </w:p>
    <w:p w14:paraId="5D68EE0F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Se realizó la verificación de existencia de Guías de Práctica Clínica publicadas por el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Ministerio de Salud y Protección Social de Colombia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, mediante búsqueda en el portal oficial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br/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gpc.minsalud.gov.co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, teniendo en cuenta únicamente GPC con estado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“publicada”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.</w:t>
      </w:r>
    </w:p>
    <w:p w14:paraId="1D819D9A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Como resultado,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no se identificaron GPC nacionales vigentes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para caries dental ni enfermedad periodontal, lo cual habilita, conforme al procedimiento institucional, 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búsqueda y adopción de GPC internacionales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.</w:t>
      </w:r>
    </w:p>
    <w:p w14:paraId="4816B118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3. Definición del alcance de la búsqueda</w:t>
      </w:r>
    </w:p>
    <w:p w14:paraId="2994AEC7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El alcance de la búsqueda se definió considerando:</w:t>
      </w:r>
    </w:p>
    <w:p w14:paraId="4801BF97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a) Población objeto</w:t>
      </w:r>
    </w:p>
    <w:p w14:paraId="061FDFA6" w14:textId="77777777" w:rsidR="00B25CD8" w:rsidRPr="00B25CD8" w:rsidRDefault="00B25CD8" w:rsidP="00B25C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Población pediátrica, adolescente, adulta y adulto mayor</w:t>
      </w:r>
    </w:p>
    <w:p w14:paraId="0FD383FA" w14:textId="77777777" w:rsidR="00B25CD8" w:rsidRPr="00B25CD8" w:rsidRDefault="00B25CD8" w:rsidP="00B25CD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Ambos sexos</w:t>
      </w:r>
    </w:p>
    <w:p w14:paraId="407AC8CA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b) Condición de salud</w:t>
      </w:r>
    </w:p>
    <w:p w14:paraId="4175C559" w14:textId="77777777" w:rsidR="00B25CD8" w:rsidRPr="00B25CD8" w:rsidRDefault="00B25CD8" w:rsidP="00B25C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Caries dental</w:t>
      </w:r>
    </w:p>
    <w:p w14:paraId="5E20CA9C" w14:textId="77777777" w:rsidR="00B25CD8" w:rsidRPr="00B25CD8" w:rsidRDefault="00B25CD8" w:rsidP="00B25C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Gingivitis</w:t>
      </w:r>
    </w:p>
    <w:p w14:paraId="2B09B65D" w14:textId="77777777" w:rsidR="00B25CD8" w:rsidRPr="00B25CD8" w:rsidRDefault="00B25CD8" w:rsidP="00B25C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Periodontitis</w:t>
      </w:r>
    </w:p>
    <w:p w14:paraId="2EA5D2A5" w14:textId="77777777" w:rsidR="00B25CD8" w:rsidRPr="00B25CD8" w:rsidRDefault="00B25CD8" w:rsidP="00B25C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lastRenderedPageBreak/>
        <w:t>Condiciones de curso crónico, adquiridas en la comunidad</w:t>
      </w:r>
    </w:p>
    <w:p w14:paraId="2A8EDB02" w14:textId="77777777" w:rsidR="00B25CD8" w:rsidRPr="00B25CD8" w:rsidRDefault="00B25CD8" w:rsidP="00B25CD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Diferentes estadios y severidades de la enfermedad</w:t>
      </w:r>
    </w:p>
    <w:p w14:paraId="4574B81D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c) Etapas de la atención</w:t>
      </w:r>
    </w:p>
    <w:p w14:paraId="29C808F4" w14:textId="77777777" w:rsidR="00B25CD8" w:rsidRPr="00B25CD8" w:rsidRDefault="00B25CD8" w:rsidP="00B25C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Promoción y prevención</w:t>
      </w:r>
    </w:p>
    <w:p w14:paraId="7A0C3900" w14:textId="77777777" w:rsidR="00B25CD8" w:rsidRPr="00B25CD8" w:rsidRDefault="00B25CD8" w:rsidP="00B25C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Diagnóstico</w:t>
      </w:r>
    </w:p>
    <w:p w14:paraId="41F3B654" w14:textId="77777777" w:rsidR="00B25CD8" w:rsidRPr="00B25CD8" w:rsidRDefault="00B25CD8" w:rsidP="00B25C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Tratamiento</w:t>
      </w:r>
    </w:p>
    <w:p w14:paraId="3DA67BC6" w14:textId="77777777" w:rsidR="00B25CD8" w:rsidRPr="00B25CD8" w:rsidRDefault="00B25CD8" w:rsidP="00B25CD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Seguimiento</w:t>
      </w:r>
    </w:p>
    <w:p w14:paraId="36E72ACE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d) Condiciones del servicio</w:t>
      </w:r>
    </w:p>
    <w:p w14:paraId="5D61EC70" w14:textId="77777777" w:rsidR="00B25CD8" w:rsidRPr="00B25CD8" w:rsidRDefault="00B25CD8" w:rsidP="00B25C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Prestador de servicios de salud de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mediana complejidad</w:t>
      </w:r>
    </w:p>
    <w:p w14:paraId="10B86918" w14:textId="77777777" w:rsidR="00B25CD8" w:rsidRPr="00B25CD8" w:rsidRDefault="00B25CD8" w:rsidP="00B25C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Servicios odontológicos habilitados en modalidad ambulatoria</w:t>
      </w:r>
    </w:p>
    <w:p w14:paraId="0DA4807C" w14:textId="77777777" w:rsidR="00B25CD8" w:rsidRPr="00B25CD8" w:rsidRDefault="00B25CD8" w:rsidP="00B25CD8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Atención integral</w:t>
      </w:r>
    </w:p>
    <w:p w14:paraId="41EDB8D4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4. Estrategia de búsqueda</w:t>
      </w:r>
    </w:p>
    <w:p w14:paraId="57D86B04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Se desarrolló una estrategia de búsqueda sistemática y reproducible, utilizando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 xml:space="preserve">términos </w:t>
      </w:r>
      <w:proofErr w:type="spellStart"/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DeCS</w:t>
      </w:r>
      <w:proofErr w:type="spellEnd"/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/MeSH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, consultados en el portal oficial </w:t>
      </w:r>
      <w:hyperlink r:id="rId7" w:tgtFrame="_new" w:history="1">
        <w:r w:rsidRPr="00B25CD8">
          <w:rPr>
            <w:rFonts w:eastAsia="Times New Roman" w:cstheme="minorHAnsi"/>
            <w:color w:val="0000FF"/>
            <w:sz w:val="20"/>
            <w:szCs w:val="20"/>
            <w:u w:val="single"/>
            <w:lang w:val="es-CO" w:eastAsia="es-CO"/>
          </w:rPr>
          <w:t>https://decs.bvsalud.org</w:t>
        </w:r>
      </w:hyperlink>
      <w:r w:rsidRPr="00B25CD8">
        <w:rPr>
          <w:rFonts w:eastAsia="Times New Roman" w:cstheme="minorHAnsi"/>
          <w:sz w:val="20"/>
          <w:szCs w:val="20"/>
          <w:lang w:val="es-CO" w:eastAsia="es-CO"/>
        </w:rPr>
        <w:t>, con los siguientes criterios:</w:t>
      </w:r>
    </w:p>
    <w:p w14:paraId="248E55AA" w14:textId="6F98E660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 xml:space="preserve">Palabras clave </w:t>
      </w:r>
    </w:p>
    <w:p w14:paraId="0379331A" w14:textId="77777777" w:rsidR="00B25CD8" w:rsidRPr="00B25CD8" w:rsidRDefault="00B25CD8" w:rsidP="00B25C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Dental Caries</w:t>
      </w:r>
    </w:p>
    <w:p w14:paraId="5BAA25D7" w14:textId="77777777" w:rsidR="00B25CD8" w:rsidRPr="00B25CD8" w:rsidRDefault="00B25CD8" w:rsidP="00B25C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Caries Management</w:t>
      </w:r>
    </w:p>
    <w:p w14:paraId="297A8831" w14:textId="77777777" w:rsidR="00B25CD8" w:rsidRPr="00B25CD8" w:rsidRDefault="00B25CD8" w:rsidP="00B25C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 xml:space="preserve">Periodontal </w:t>
      </w:r>
      <w:proofErr w:type="spellStart"/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Diseases</w:t>
      </w:r>
      <w:proofErr w:type="spellEnd"/>
    </w:p>
    <w:p w14:paraId="5CC78688" w14:textId="77777777" w:rsidR="00B25CD8" w:rsidRPr="00B25CD8" w:rsidRDefault="00B25CD8" w:rsidP="00B25C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Gingivitis</w:t>
      </w:r>
    </w:p>
    <w:p w14:paraId="6D80FB3A" w14:textId="77777777" w:rsidR="00B25CD8" w:rsidRPr="00B25CD8" w:rsidRDefault="00B25CD8" w:rsidP="00B25C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Periodontitis</w:t>
      </w:r>
    </w:p>
    <w:p w14:paraId="0832C886" w14:textId="77777777" w:rsidR="00B25CD8" w:rsidRPr="00B25CD8" w:rsidRDefault="00B25CD8" w:rsidP="00B25CD8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 xml:space="preserve">Clinical </w:t>
      </w:r>
      <w:proofErr w:type="spellStart"/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Practice</w:t>
      </w:r>
      <w:proofErr w:type="spellEnd"/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 xml:space="preserve"> </w:t>
      </w:r>
      <w:proofErr w:type="spellStart"/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Guideline</w:t>
      </w:r>
      <w:proofErr w:type="spellEnd"/>
    </w:p>
    <w:p w14:paraId="1F437840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Filtros aplicados:</w:t>
      </w:r>
    </w:p>
    <w:p w14:paraId="7A68F23C" w14:textId="77777777" w:rsidR="00B25CD8" w:rsidRPr="00B25CD8" w:rsidRDefault="00B25CD8" w:rsidP="00B25C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Idioma: español e inglés</w:t>
      </w:r>
    </w:p>
    <w:p w14:paraId="2721D079" w14:textId="77777777" w:rsidR="00B25CD8" w:rsidRPr="00B25CD8" w:rsidRDefault="00B25CD8" w:rsidP="00B25CD8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Periodo de publicación: últimos 5 años</w:t>
      </w:r>
    </w:p>
    <w:p w14:paraId="6D60B313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5. Fuentes de búsqueda consultadas</w:t>
      </w:r>
    </w:p>
    <w:p w14:paraId="31C2CDD3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La búsqueda se realizó en:</w:t>
      </w:r>
    </w:p>
    <w:p w14:paraId="195EDD1D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a) Sitios de sociedades científicas</w:t>
      </w:r>
    </w:p>
    <w:p w14:paraId="6755639F" w14:textId="77777777" w:rsidR="00B25CD8" w:rsidRPr="00B25CD8" w:rsidRDefault="00B25CD8" w:rsidP="00B25C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Federación </w:t>
      </w:r>
      <w:proofErr w:type="spellStart"/>
      <w:r w:rsidRPr="00B25CD8">
        <w:rPr>
          <w:rFonts w:eastAsia="Times New Roman" w:cstheme="minorHAnsi"/>
          <w:sz w:val="20"/>
          <w:szCs w:val="20"/>
          <w:lang w:val="es-CO" w:eastAsia="es-CO"/>
        </w:rPr>
        <w:t>Iberopanamericana</w:t>
      </w:r>
      <w:proofErr w:type="spellEnd"/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de Periodoncia (FIPP)</w:t>
      </w:r>
    </w:p>
    <w:p w14:paraId="51DBAC8B" w14:textId="77777777" w:rsidR="00B25CD8" w:rsidRPr="00B25CD8" w:rsidRDefault="00B25CD8" w:rsidP="00B25C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Federación Europea de Periodoncia (EFP)</w:t>
      </w:r>
    </w:p>
    <w:p w14:paraId="73772BE8" w14:textId="77777777" w:rsidR="00B25CD8" w:rsidRPr="00B25CD8" w:rsidRDefault="00B25CD8" w:rsidP="00B25CD8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Sociedad Española de Periodoncia (SEPA)</w:t>
      </w:r>
    </w:p>
    <w:p w14:paraId="3DDC5433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b) Repositorios y compiladores de GPC</w:t>
      </w:r>
    </w:p>
    <w:p w14:paraId="4896F82D" w14:textId="77777777" w:rsidR="00B25CD8" w:rsidRPr="00B25CD8" w:rsidRDefault="00B25CD8" w:rsidP="00B25C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g-i-n.net</w:t>
      </w:r>
    </w:p>
    <w:p w14:paraId="62BBB368" w14:textId="77777777" w:rsidR="00B25CD8" w:rsidRPr="00B25CD8" w:rsidRDefault="00B25CD8" w:rsidP="00B25C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guideline.gov</w:t>
      </w:r>
    </w:p>
    <w:p w14:paraId="55DE8D8C" w14:textId="77777777" w:rsidR="00B25CD8" w:rsidRPr="00B25CD8" w:rsidRDefault="00B25CD8" w:rsidP="00B25C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lastRenderedPageBreak/>
        <w:t>portal.guiasalud.es</w:t>
      </w:r>
    </w:p>
    <w:p w14:paraId="55E91BDC" w14:textId="77777777" w:rsidR="00B25CD8" w:rsidRPr="00B25CD8" w:rsidRDefault="00B25CD8" w:rsidP="00B25C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tripdatabase.com</w:t>
      </w:r>
    </w:p>
    <w:p w14:paraId="6ADEA541" w14:textId="77777777" w:rsidR="00B25CD8" w:rsidRPr="00B25CD8" w:rsidRDefault="00B25CD8" w:rsidP="00B25CD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epistemonikos.org</w:t>
      </w:r>
    </w:p>
    <w:p w14:paraId="7A76A2C0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c) Organismos desarrolladores de GPC</w:t>
      </w:r>
    </w:p>
    <w:p w14:paraId="344E8E92" w14:textId="77777777" w:rsidR="00B25CD8" w:rsidRPr="00B25CD8" w:rsidRDefault="00B25CD8" w:rsidP="00B25C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NICE</w:t>
      </w:r>
    </w:p>
    <w:p w14:paraId="44C04364" w14:textId="77777777" w:rsidR="00B25CD8" w:rsidRPr="00B25CD8" w:rsidRDefault="00B25CD8" w:rsidP="00B25C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SIGN</w:t>
      </w:r>
    </w:p>
    <w:p w14:paraId="1EE630B1" w14:textId="77777777" w:rsidR="00B25CD8" w:rsidRPr="00B25CD8" w:rsidRDefault="00B25CD8" w:rsidP="00B25C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OMS / OPS</w:t>
      </w:r>
    </w:p>
    <w:p w14:paraId="7FE6B636" w14:textId="77777777" w:rsidR="00B25CD8" w:rsidRPr="00B25CD8" w:rsidRDefault="00B25CD8" w:rsidP="00B25CD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proofErr w:type="spellStart"/>
      <w:r w:rsidRPr="00B25CD8">
        <w:rPr>
          <w:rFonts w:eastAsia="Times New Roman" w:cstheme="minorHAnsi"/>
          <w:sz w:val="20"/>
          <w:szCs w:val="20"/>
          <w:lang w:val="es-CO" w:eastAsia="es-CO"/>
        </w:rPr>
        <w:t>National</w:t>
      </w:r>
      <w:proofErr w:type="spellEnd"/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</w:t>
      </w:r>
      <w:proofErr w:type="spellStart"/>
      <w:r w:rsidRPr="00B25CD8">
        <w:rPr>
          <w:rFonts w:eastAsia="Times New Roman" w:cstheme="minorHAnsi"/>
          <w:sz w:val="20"/>
          <w:szCs w:val="20"/>
          <w:lang w:val="es-CO" w:eastAsia="es-CO"/>
        </w:rPr>
        <w:t>Institutes</w:t>
      </w:r>
      <w:proofErr w:type="spellEnd"/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</w:t>
      </w:r>
      <w:proofErr w:type="spellStart"/>
      <w:r w:rsidRPr="00B25CD8">
        <w:rPr>
          <w:rFonts w:eastAsia="Times New Roman" w:cstheme="minorHAnsi"/>
          <w:sz w:val="20"/>
          <w:szCs w:val="20"/>
          <w:lang w:val="es-CO" w:eastAsia="es-CO"/>
        </w:rPr>
        <w:t>of</w:t>
      </w:r>
      <w:proofErr w:type="spellEnd"/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</w:t>
      </w:r>
      <w:proofErr w:type="spellStart"/>
      <w:r w:rsidRPr="00B25CD8">
        <w:rPr>
          <w:rFonts w:eastAsia="Times New Roman" w:cstheme="minorHAnsi"/>
          <w:sz w:val="20"/>
          <w:szCs w:val="20"/>
          <w:lang w:val="es-CO" w:eastAsia="es-CO"/>
        </w:rPr>
        <w:t>Health</w:t>
      </w:r>
      <w:proofErr w:type="spellEnd"/>
    </w:p>
    <w:p w14:paraId="50E9337F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d) Bases de datos biomédicas</w:t>
      </w:r>
    </w:p>
    <w:p w14:paraId="1D696EF9" w14:textId="77777777" w:rsidR="00B25CD8" w:rsidRPr="00B25CD8" w:rsidRDefault="00B25CD8" w:rsidP="00B25C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PubMed</w:t>
      </w:r>
    </w:p>
    <w:p w14:paraId="70D30625" w14:textId="77777777" w:rsidR="00B25CD8" w:rsidRPr="00B25CD8" w:rsidRDefault="00B25CD8" w:rsidP="00B25C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LILACS</w:t>
      </w:r>
    </w:p>
    <w:p w14:paraId="6A9FA26A" w14:textId="77777777" w:rsidR="00B25CD8" w:rsidRPr="00B25CD8" w:rsidRDefault="00B25CD8" w:rsidP="00B25CD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EMBASE</w:t>
      </w:r>
    </w:p>
    <w:p w14:paraId="2B25C631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6. Proceso de selección (cribado y tamización)</w:t>
      </w:r>
    </w:p>
    <w:p w14:paraId="63310EDB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Cribado inicial</w:t>
      </w:r>
    </w:p>
    <w:p w14:paraId="6C13C537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Se revisaron títulos y resúmenes, respondiendo:</w:t>
      </w:r>
    </w:p>
    <w:p w14:paraId="4D81D121" w14:textId="77777777" w:rsidR="00B25CD8" w:rsidRPr="00B25CD8" w:rsidRDefault="00B25CD8" w:rsidP="00B25C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¿El documento aborda el tópico priorizado?</w:t>
      </w:r>
    </w:p>
    <w:p w14:paraId="0840CC76" w14:textId="77777777" w:rsidR="00B25CD8" w:rsidRPr="00B25CD8" w:rsidRDefault="00B25CD8" w:rsidP="00B25CD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¿Se identifica como guía de práctica clínica?</w:t>
      </w:r>
    </w:p>
    <w:p w14:paraId="38F08CCE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Los documentos que cumplieron ambos criterios avanzaron a la siguiente etapa.</w:t>
      </w:r>
    </w:p>
    <w:p w14:paraId="7F568EAD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Tamización secundaria</w:t>
      </w:r>
    </w:p>
    <w:p w14:paraId="36AC8CDE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Se aplicó 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Herramienta 7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definida en el procedimiento institucional, seleccionando únicamente las guías que respondieron afirmativamente a todos los ítems.</w:t>
      </w:r>
    </w:p>
    <w:p w14:paraId="15C8FA81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7. Guías preseleccionadas</w:t>
      </w:r>
    </w:p>
    <w:p w14:paraId="5A3ED132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Como resultado del proceso, se identificaron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dos guías principales por patología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, destacándose:</w:t>
      </w:r>
    </w:p>
    <w:p w14:paraId="36EC5D0E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a) Caries dental</w:t>
      </w:r>
    </w:p>
    <w:p w14:paraId="4582B259" w14:textId="77777777" w:rsidR="0013557E" w:rsidRPr="0013557E" w:rsidRDefault="00B25CD8" w:rsidP="0054383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 xml:space="preserve">Guía práctica de </w:t>
      </w:r>
      <w:proofErr w:type="spellStart"/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CariesCare</w:t>
      </w:r>
      <w:proofErr w:type="spellEnd"/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: Consenso de la evidencia para la práctica clínica</w:t>
      </w:r>
    </w:p>
    <w:p w14:paraId="3506A3EF" w14:textId="08B512A8" w:rsidR="0013557E" w:rsidRPr="0013557E" w:rsidRDefault="0013557E" w:rsidP="00543830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outlineLvl w:val="2"/>
        <w:rPr>
          <w:rStyle w:val="nfasis"/>
          <w:rFonts w:eastAsia="Times New Roman" w:cstheme="minorHAnsi"/>
          <w:b/>
          <w:bCs/>
          <w:i w:val="0"/>
          <w:iCs w:val="0"/>
          <w:sz w:val="20"/>
          <w:szCs w:val="20"/>
          <w:lang w:eastAsia="es-CO"/>
        </w:rPr>
      </w:pPr>
      <w:r>
        <w:rPr>
          <w:rStyle w:val="nfasis"/>
        </w:rPr>
        <w:t>Evidence-based clinical practice guideline on nonrestorative treatments for carious lesions</w:t>
      </w:r>
      <w:r>
        <w:rPr>
          <w:rStyle w:val="nfasis"/>
        </w:rPr>
        <w:t xml:space="preserve"> ( </w:t>
      </w:r>
      <w:hyperlink r:id="rId8" w:history="1">
        <w:r w:rsidRPr="00982D8F">
          <w:rPr>
            <w:rStyle w:val="Hipervnculo"/>
          </w:rPr>
          <w:t>https://jada.ada.org/article/S0002-8177(18)30469-0/fulltext</w:t>
        </w:r>
      </w:hyperlink>
      <w:r>
        <w:rPr>
          <w:rStyle w:val="nfasis"/>
        </w:rPr>
        <w:t>)</w:t>
      </w:r>
    </w:p>
    <w:p w14:paraId="2B523E90" w14:textId="2E184901" w:rsidR="00B25CD8" w:rsidRPr="00B25CD8" w:rsidRDefault="00B25CD8" w:rsidP="0013557E">
      <w:pPr>
        <w:spacing w:before="100" w:beforeAutospacing="1" w:after="100" w:afterAutospacing="1" w:line="240" w:lineRule="auto"/>
        <w:ind w:left="360"/>
        <w:jc w:val="both"/>
        <w:outlineLvl w:val="2"/>
        <w:rPr>
          <w:rFonts w:eastAsia="Times New Roman" w:cstheme="minorHAnsi"/>
          <w:b/>
          <w:bCs/>
          <w:sz w:val="20"/>
          <w:szCs w:val="20"/>
          <w:lang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eastAsia="es-CO"/>
        </w:rPr>
        <w:t>b) Enfermedad periodontal</w:t>
      </w:r>
    </w:p>
    <w:p w14:paraId="0D36EDB6" w14:textId="198D721C" w:rsidR="00B25CD8" w:rsidRDefault="00B25CD8" w:rsidP="00B25CD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i/>
          <w:iCs/>
          <w:sz w:val="20"/>
          <w:szCs w:val="20"/>
          <w:lang w:val="es-CO" w:eastAsia="es-CO"/>
        </w:rPr>
        <w:t>Guía de Práctica Clínica de Nivel S3 para el tratamiento de la periodontitis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desarrollada por la Federación Europea de Periodoncia (EFP), traducida por la Sociedad Española de Periodoncia (SEPA), y adoptada/adaptada mediante comentario por la Federación </w:t>
      </w:r>
      <w:proofErr w:type="spellStart"/>
      <w:r w:rsidRPr="00B25CD8">
        <w:rPr>
          <w:rFonts w:eastAsia="Times New Roman" w:cstheme="minorHAnsi"/>
          <w:sz w:val="20"/>
          <w:szCs w:val="20"/>
          <w:lang w:val="es-CO" w:eastAsia="es-CO"/>
        </w:rPr>
        <w:t>Iberopanamericana</w:t>
      </w:r>
      <w:proofErr w:type="spellEnd"/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de Periodoncia (FIPP)</w:t>
      </w:r>
    </w:p>
    <w:p w14:paraId="625F6440" w14:textId="12C78AD8" w:rsidR="00B25CD8" w:rsidRPr="00B25CD8" w:rsidRDefault="00B25CD8" w:rsidP="00B25C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lang w:val="es-CO"/>
        </w:rPr>
        <w:lastRenderedPageBreak/>
        <w:t>GUÍA DE DIAGNÓSTICO Y TRATAMIENTO PERIODONTA</w:t>
      </w:r>
      <w:r>
        <w:rPr>
          <w:lang w:val="es-CO"/>
        </w:rPr>
        <w:t xml:space="preserve">L, </w:t>
      </w:r>
      <w:r w:rsidRPr="00B25CD8">
        <w:rPr>
          <w:lang w:val="es-CO"/>
        </w:rPr>
        <w:t>de la Sociedad Española de Periodoncia y Osteointegración</w:t>
      </w:r>
      <w:r>
        <w:rPr>
          <w:lang w:val="es-CO"/>
        </w:rPr>
        <w:t xml:space="preserve"> (</w:t>
      </w:r>
      <w:hyperlink r:id="rId9" w:history="1">
        <w:r w:rsidRPr="00982D8F">
          <w:rPr>
            <w:rStyle w:val="Hipervnculo"/>
            <w:lang w:val="es-CO"/>
          </w:rPr>
          <w:t>https://www.visitaodontologica.com/ARCHIVOS/PROTOCOLOS/PERIODONCIA-Guia-SEPA.pdf</w:t>
        </w:r>
      </w:hyperlink>
      <w:r>
        <w:rPr>
          <w:lang w:val="es-CO"/>
        </w:rPr>
        <w:t>)</w:t>
      </w:r>
    </w:p>
    <w:p w14:paraId="28AC77E6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8. Evaluación de calidad (AGREE II)</w:t>
      </w:r>
    </w:p>
    <w:p w14:paraId="7B8086EC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Las guías preseleccionadas fueron evaluadas mediante 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herramienta AGREE II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, por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dos odontólogos evaluadores independientes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>, conforme a lo establecido en el procedimiento institucional.</w:t>
      </w:r>
    </w:p>
    <w:p w14:paraId="0CC4F9CF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Tras la evaluación, se seleccionaron las guías mencionadas debido a:</w:t>
      </w:r>
    </w:p>
    <w:p w14:paraId="7BB0273A" w14:textId="77777777" w:rsidR="00B25CD8" w:rsidRPr="00B25CD8" w:rsidRDefault="00B25CD8" w:rsidP="00B25C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Alta calidad metodológica</w:t>
      </w:r>
    </w:p>
    <w:p w14:paraId="2FDDE2A5" w14:textId="77777777" w:rsidR="00B25CD8" w:rsidRPr="00B25CD8" w:rsidRDefault="00B25CD8" w:rsidP="00B25C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Claridad y aplicabilidad de las recomendaciones</w:t>
      </w:r>
    </w:p>
    <w:p w14:paraId="6E4C901B" w14:textId="77777777" w:rsidR="00B25CD8" w:rsidRPr="00B25CD8" w:rsidRDefault="00B25CD8" w:rsidP="00B25C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Actualización basada en evidencia científica</w:t>
      </w:r>
    </w:p>
    <w:p w14:paraId="0A41568B" w14:textId="77777777" w:rsidR="00B25CD8" w:rsidRPr="00B25CD8" w:rsidRDefault="00B25CD8" w:rsidP="00B25C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Coherencia con el nivel de complejidad institucional</w:t>
      </w:r>
    </w:p>
    <w:p w14:paraId="07A1DA5B" w14:textId="77777777" w:rsidR="00B25CD8" w:rsidRPr="00B25CD8" w:rsidRDefault="00B25CD8" w:rsidP="00B25CD8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Pertinencia para el perfil epidemiológico de la población atendida</w:t>
      </w:r>
    </w:p>
    <w:p w14:paraId="7F9954A2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9. Decisión</w:t>
      </w:r>
    </w:p>
    <w:p w14:paraId="3850D89E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Con base en el proceso descrito, se aprueba 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adopción y adaptación institucional</w:t>
      </w: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 de:</w:t>
      </w:r>
    </w:p>
    <w:p w14:paraId="1092F25A" w14:textId="77777777" w:rsidR="00B25CD8" w:rsidRPr="00B25CD8" w:rsidRDefault="00B25CD8" w:rsidP="00B25C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 xml:space="preserve">Guía práctica de </w:t>
      </w:r>
      <w:proofErr w:type="spellStart"/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CariesCare</w:t>
      </w:r>
      <w:proofErr w:type="spellEnd"/>
    </w:p>
    <w:p w14:paraId="70682F13" w14:textId="77777777" w:rsidR="00B25CD8" w:rsidRPr="00B25CD8" w:rsidRDefault="00B25CD8" w:rsidP="00B25CD8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 xml:space="preserve">La </w:t>
      </w:r>
      <w:r w:rsidRPr="00B25CD8">
        <w:rPr>
          <w:rFonts w:eastAsia="Times New Roman" w:cstheme="minorHAnsi"/>
          <w:b/>
          <w:bCs/>
          <w:sz w:val="20"/>
          <w:szCs w:val="20"/>
          <w:lang w:val="es-CO" w:eastAsia="es-CO"/>
        </w:rPr>
        <w:t>Guía de Práctica Clínica de Periodontitis Nivel S3 (EFP–SEPA–FIPP)</w:t>
      </w:r>
    </w:p>
    <w:p w14:paraId="67E2D792" w14:textId="77777777" w:rsidR="00B25CD8" w:rsidRPr="00B25CD8" w:rsidRDefault="00B25CD8" w:rsidP="00B25CD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0"/>
          <w:szCs w:val="20"/>
          <w:lang w:val="es-CO" w:eastAsia="es-CO"/>
        </w:rPr>
      </w:pPr>
      <w:r w:rsidRPr="00B25CD8">
        <w:rPr>
          <w:rFonts w:eastAsia="Times New Roman" w:cstheme="minorHAnsi"/>
          <w:sz w:val="20"/>
          <w:szCs w:val="20"/>
          <w:lang w:val="es-CO" w:eastAsia="es-CO"/>
        </w:rPr>
        <w:t>Estas guías reemplazan los documentos técnicos de 2007 previamente utilizados, y se adoptan como referencia clínica vigente para la atención odontológica institucional.</w:t>
      </w:r>
    </w:p>
    <w:p w14:paraId="011F7EC3" w14:textId="77777777" w:rsidR="008F650C" w:rsidRPr="00B25CD8" w:rsidRDefault="008F650C" w:rsidP="008F650C">
      <w:pPr>
        <w:rPr>
          <w:lang w:val="es-CO"/>
        </w:rPr>
      </w:pPr>
    </w:p>
    <w:sectPr w:rsidR="008F650C" w:rsidRPr="00B25C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FC1DE" w14:textId="77777777" w:rsidR="00141B13" w:rsidRDefault="00141B13" w:rsidP="008F650C">
      <w:pPr>
        <w:spacing w:after="0" w:line="240" w:lineRule="auto"/>
      </w:pPr>
      <w:r>
        <w:separator/>
      </w:r>
    </w:p>
  </w:endnote>
  <w:endnote w:type="continuationSeparator" w:id="0">
    <w:p w14:paraId="222E7C8C" w14:textId="77777777" w:rsidR="00141B13" w:rsidRDefault="00141B13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317E1" w14:textId="77777777" w:rsidR="00141B13" w:rsidRDefault="00141B13" w:rsidP="008F650C">
      <w:pPr>
        <w:spacing w:after="0" w:line="240" w:lineRule="auto"/>
      </w:pPr>
      <w:r>
        <w:separator/>
      </w:r>
    </w:p>
  </w:footnote>
  <w:footnote w:type="continuationSeparator" w:id="0">
    <w:p w14:paraId="71F336C7" w14:textId="77777777" w:rsidR="00141B13" w:rsidRDefault="00141B13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141B13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141B13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141B13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27CD0"/>
    <w:multiLevelType w:val="multilevel"/>
    <w:tmpl w:val="32D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03CFF"/>
    <w:multiLevelType w:val="multilevel"/>
    <w:tmpl w:val="843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0ED2"/>
    <w:multiLevelType w:val="multilevel"/>
    <w:tmpl w:val="88C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17149"/>
    <w:multiLevelType w:val="multilevel"/>
    <w:tmpl w:val="985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21232"/>
    <w:multiLevelType w:val="multilevel"/>
    <w:tmpl w:val="62E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C4B40"/>
    <w:multiLevelType w:val="multilevel"/>
    <w:tmpl w:val="527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54623"/>
    <w:multiLevelType w:val="multilevel"/>
    <w:tmpl w:val="054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2933"/>
    <w:multiLevelType w:val="multilevel"/>
    <w:tmpl w:val="930C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D7C6F"/>
    <w:multiLevelType w:val="multilevel"/>
    <w:tmpl w:val="DF5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E0550"/>
    <w:multiLevelType w:val="multilevel"/>
    <w:tmpl w:val="0022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C341F"/>
    <w:multiLevelType w:val="multilevel"/>
    <w:tmpl w:val="6C0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62654C"/>
    <w:multiLevelType w:val="multilevel"/>
    <w:tmpl w:val="D684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5E1D77"/>
    <w:multiLevelType w:val="multilevel"/>
    <w:tmpl w:val="4F2A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081106"/>
    <w:multiLevelType w:val="multilevel"/>
    <w:tmpl w:val="8320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D4C87"/>
    <w:multiLevelType w:val="multilevel"/>
    <w:tmpl w:val="3396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A528B"/>
    <w:multiLevelType w:val="multilevel"/>
    <w:tmpl w:val="BD3E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6"/>
  </w:num>
  <w:num w:numId="9">
    <w:abstractNumId w:val="3"/>
  </w:num>
  <w:num w:numId="10">
    <w:abstractNumId w:val="7"/>
  </w:num>
  <w:num w:numId="11">
    <w:abstractNumId w:val="9"/>
  </w:num>
  <w:num w:numId="12">
    <w:abstractNumId w:val="11"/>
  </w:num>
  <w:num w:numId="13">
    <w:abstractNumId w:val="15"/>
  </w:num>
  <w:num w:numId="14">
    <w:abstractNumId w:val="2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116DE2"/>
    <w:rsid w:val="0013557E"/>
    <w:rsid w:val="00141B13"/>
    <w:rsid w:val="00161CF0"/>
    <w:rsid w:val="00833CBE"/>
    <w:rsid w:val="008F650C"/>
    <w:rsid w:val="00B01274"/>
    <w:rsid w:val="00B25CD8"/>
    <w:rsid w:val="00B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B25C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B25C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B25C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character" w:customStyle="1" w:styleId="Ttulo1Car">
    <w:name w:val="Título 1 Car"/>
    <w:basedOn w:val="Fuentedeprrafopredeter"/>
    <w:link w:val="Ttulo1"/>
    <w:uiPriority w:val="9"/>
    <w:rsid w:val="00B25CD8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B25CD8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B25CD8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paragraph" w:styleId="NormalWeb">
    <w:name w:val="Normal (Web)"/>
    <w:basedOn w:val="Normal"/>
    <w:uiPriority w:val="99"/>
    <w:semiHidden/>
    <w:unhideWhenUsed/>
    <w:rsid w:val="00B25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B25CD8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25CD8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B25CD8"/>
    <w:rPr>
      <w:i/>
      <w:iCs/>
    </w:rPr>
  </w:style>
  <w:style w:type="character" w:customStyle="1" w:styleId="breadcrumblast">
    <w:name w:val="breadcrumb_last"/>
    <w:basedOn w:val="Fuentedeprrafopredeter"/>
    <w:rsid w:val="00B25CD8"/>
  </w:style>
  <w:style w:type="character" w:styleId="Mencinsinresolver">
    <w:name w:val="Unresolved Mention"/>
    <w:basedOn w:val="Fuentedeprrafopredeter"/>
    <w:uiPriority w:val="99"/>
    <w:semiHidden/>
    <w:unhideWhenUsed/>
    <w:rsid w:val="00B25C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0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da.ada.org/article/S0002-8177(18)30469-0/fulltext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ecs.bvsalud.org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visitaodontologica.com/ARCHIVOS/PROTOCOLOS/PERIODONCIA-Guia-SEPA.pdf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916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3</cp:revision>
  <dcterms:created xsi:type="dcterms:W3CDTF">2025-02-19T20:39:00Z</dcterms:created>
  <dcterms:modified xsi:type="dcterms:W3CDTF">2025-12-16T10:20:00Z</dcterms:modified>
</cp:coreProperties>
</file>