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34597" w14:textId="14285A6C" w:rsidR="009A1DBE" w:rsidRPr="008F1D22" w:rsidRDefault="008F1D22" w:rsidP="009A1DBE">
      <w:pPr>
        <w:pStyle w:val="Sinespaciado"/>
        <w:jc w:val="center"/>
        <w:rPr>
          <w:rFonts w:asciiTheme="majorHAnsi" w:hAnsiTheme="majorHAnsi" w:cstheme="majorHAnsi"/>
          <w:b/>
          <w:bCs/>
          <w:color w:val="002060"/>
          <w:sz w:val="40"/>
          <w:szCs w:val="40"/>
          <w:u w:val="single"/>
          <w:lang w:val="es-CO"/>
        </w:rPr>
      </w:pPr>
      <w:r w:rsidRPr="008F1D22">
        <w:rPr>
          <w:rFonts w:asciiTheme="majorHAnsi" w:hAnsiTheme="majorHAnsi" w:cstheme="majorHAnsi"/>
          <w:b/>
          <w:bCs/>
          <w:color w:val="002060"/>
          <w:sz w:val="40"/>
          <w:szCs w:val="40"/>
          <w:u w:val="single"/>
          <w:lang w:val="es-CO"/>
        </w:rPr>
        <w:t>RECOMENDACIONES TRAZADORAS</w:t>
      </w:r>
    </w:p>
    <w:p w14:paraId="2E9A83EE" w14:textId="4F268DA4" w:rsidR="00CD2C2A" w:rsidRPr="008F1D22" w:rsidRDefault="009223E8" w:rsidP="009A1DBE">
      <w:pPr>
        <w:pStyle w:val="Sinespaciado"/>
        <w:jc w:val="center"/>
        <w:rPr>
          <w:rFonts w:asciiTheme="majorHAnsi" w:hAnsiTheme="majorHAnsi" w:cstheme="majorHAnsi"/>
          <w:b/>
          <w:bCs/>
          <w:color w:val="002060"/>
          <w:sz w:val="40"/>
          <w:szCs w:val="40"/>
          <w:lang w:val="es-CO"/>
        </w:rPr>
      </w:pPr>
      <w:r w:rsidRPr="008F1D22">
        <w:rPr>
          <w:rFonts w:asciiTheme="majorHAnsi" w:hAnsiTheme="majorHAnsi" w:cstheme="majorHAnsi"/>
          <w:b/>
          <w:bCs/>
          <w:color w:val="002060"/>
          <w:sz w:val="40"/>
          <w:szCs w:val="40"/>
          <w:lang w:val="es-CO"/>
        </w:rPr>
        <w:t>G</w:t>
      </w:r>
      <w:r w:rsidR="003724F7" w:rsidRPr="008F1D22">
        <w:rPr>
          <w:rFonts w:asciiTheme="majorHAnsi" w:hAnsiTheme="majorHAnsi" w:cstheme="majorHAnsi"/>
          <w:b/>
          <w:bCs/>
          <w:color w:val="002060"/>
          <w:sz w:val="40"/>
          <w:szCs w:val="40"/>
          <w:lang w:val="es-CO"/>
        </w:rPr>
        <w:t xml:space="preserve">uía de Práctica Clínica Hipertensión Arterial </w:t>
      </w:r>
      <w:r w:rsidR="008F1D22" w:rsidRPr="008F1D22">
        <w:rPr>
          <w:rFonts w:asciiTheme="majorHAnsi" w:hAnsiTheme="majorHAnsi" w:cstheme="majorHAnsi"/>
          <w:b/>
          <w:bCs/>
          <w:color w:val="002060"/>
          <w:sz w:val="40"/>
          <w:szCs w:val="40"/>
          <w:lang w:val="es-CO"/>
        </w:rPr>
        <w:t xml:space="preserve">Crónica </w:t>
      </w:r>
      <w:r w:rsidR="003724F7" w:rsidRPr="008F1D22">
        <w:rPr>
          <w:rFonts w:asciiTheme="majorHAnsi" w:hAnsiTheme="majorHAnsi" w:cstheme="majorHAnsi"/>
          <w:b/>
          <w:bCs/>
          <w:color w:val="002060"/>
          <w:sz w:val="40"/>
          <w:szCs w:val="40"/>
          <w:lang w:val="es-CO"/>
        </w:rPr>
        <w:t>Primaria</w:t>
      </w:r>
    </w:p>
    <w:p w14:paraId="13CBDD2F" w14:textId="77777777" w:rsidR="002613FD" w:rsidRPr="002613FD" w:rsidRDefault="002613FD" w:rsidP="002613FD">
      <w:pPr>
        <w:rPr>
          <w:lang w:val="es-CO"/>
        </w:rPr>
      </w:pPr>
    </w:p>
    <w:p w14:paraId="1EFC117F" w14:textId="3735F3F8" w:rsidR="009223E8" w:rsidRDefault="003724F7" w:rsidP="00621534">
      <w:pPr>
        <w:jc w:val="both"/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Recomendaciones clínicas </w:t>
      </w:r>
      <w:r w:rsidR="00F562DF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trazadoras </w:t>
      </w:r>
      <w:r w:rsidRPr="00A66112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de la GPC colombiana (2017) para hipertensión arterial primaria, </w:t>
      </w:r>
      <w:r w:rsidR="003B7CF5" w:rsidRPr="00A66112">
        <w:rPr>
          <w:rFonts w:asciiTheme="majorHAnsi" w:hAnsiTheme="majorHAnsi" w:cstheme="majorHAnsi"/>
          <w:b/>
          <w:bCs/>
          <w:sz w:val="24"/>
          <w:szCs w:val="24"/>
          <w:lang w:val="es-CO"/>
        </w:rPr>
        <w:t>c</w:t>
      </w:r>
      <w:r w:rsidRPr="00A66112">
        <w:rPr>
          <w:rFonts w:asciiTheme="majorHAnsi" w:hAnsiTheme="majorHAnsi" w:cstheme="majorHAnsi"/>
          <w:b/>
          <w:bCs/>
          <w:sz w:val="24"/>
          <w:szCs w:val="24"/>
          <w:lang w:val="es-CO"/>
        </w:rPr>
        <w:t>on adaptación institucional basada en guías europea (ESC/ESH) y americana (ACC/AHA) 2025.</w:t>
      </w:r>
    </w:p>
    <w:p w14:paraId="4B363572" w14:textId="77777777" w:rsidR="007F3FA4" w:rsidRDefault="007F3FA4" w:rsidP="007F3FA4">
      <w:pPr>
        <w:pStyle w:val="Sinespaciado"/>
        <w:rPr>
          <w:lang w:val="es-CO"/>
        </w:rPr>
      </w:pPr>
    </w:p>
    <w:p w14:paraId="0CF21C3B" w14:textId="370BA96B" w:rsidR="003724F7" w:rsidRDefault="00A66112" w:rsidP="00A66112">
      <w:pPr>
        <w:pStyle w:val="Ttulo2"/>
        <w:numPr>
          <w:ilvl w:val="0"/>
          <w:numId w:val="4"/>
        </w:numPr>
        <w:jc w:val="both"/>
        <w:rPr>
          <w:rFonts w:cstheme="majorHAnsi"/>
          <w:color w:val="002060"/>
          <w:sz w:val="24"/>
          <w:szCs w:val="24"/>
          <w:lang w:val="es-CO"/>
        </w:rPr>
      </w:pPr>
      <w:r w:rsidRPr="00621534">
        <w:rPr>
          <w:rFonts w:cstheme="majorHAnsi"/>
          <w:color w:val="002060"/>
          <w:sz w:val="24"/>
          <w:szCs w:val="24"/>
          <w:lang w:val="es-CO"/>
        </w:rPr>
        <w:t xml:space="preserve">Recomendación 1: </w:t>
      </w:r>
      <w:r w:rsidR="003724F7" w:rsidRPr="00621534">
        <w:rPr>
          <w:rFonts w:cstheme="majorHAnsi"/>
          <w:color w:val="002060"/>
          <w:sz w:val="24"/>
          <w:szCs w:val="24"/>
          <w:lang w:val="es-CO"/>
        </w:rPr>
        <w:t>Diagnóstico de hipertensión arterial</w:t>
      </w:r>
    </w:p>
    <w:p w14:paraId="3F31C6B8" w14:textId="77777777" w:rsidR="003724F7" w:rsidRPr="00A66112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>La GPC colombiana recomienda diagnosticar hipertensión arterial en adultos cuando se documentan cifras persistentes de presión arterial sistólica ≥140 mmHg y/o diastólica ≥90 mmHg, confirmadas mediante mediciones repetidas realizadas con técnica adecuada.</w:t>
      </w:r>
    </w:p>
    <w:p w14:paraId="73A15F07" w14:textId="70B9346A" w:rsidR="003724F7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b/>
          <w:bCs/>
          <w:sz w:val="24"/>
          <w:szCs w:val="24"/>
          <w:u w:val="single"/>
          <w:lang w:val="es-CO"/>
        </w:rPr>
        <w:t>Adaptación institucional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>: Se mantiene el umbral diagnóstico (≥140/90 mmHg en consultorio). Se refuerza la confirmación diagnóstica mediante AMPA como primera opción y MAPA en casos específicos.</w:t>
      </w:r>
    </w:p>
    <w:p w14:paraId="7C417BE0" w14:textId="77777777" w:rsidR="007F3FA4" w:rsidRPr="00A66112" w:rsidRDefault="007F3FA4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10C775C0" w14:textId="31EB4696" w:rsidR="003724F7" w:rsidRDefault="007F3FA4" w:rsidP="007F3FA4">
      <w:pPr>
        <w:pStyle w:val="Ttulo2"/>
        <w:numPr>
          <w:ilvl w:val="0"/>
          <w:numId w:val="5"/>
        </w:numPr>
        <w:jc w:val="both"/>
        <w:rPr>
          <w:rFonts w:cstheme="majorHAnsi"/>
          <w:color w:val="002060"/>
          <w:sz w:val="24"/>
          <w:szCs w:val="24"/>
          <w:lang w:val="es-CO"/>
        </w:rPr>
      </w:pPr>
      <w:r w:rsidRPr="007F3FA4">
        <w:rPr>
          <w:rFonts w:cstheme="majorHAnsi"/>
          <w:color w:val="002060"/>
          <w:sz w:val="24"/>
          <w:szCs w:val="24"/>
          <w:lang w:val="es-CO"/>
        </w:rPr>
        <w:t xml:space="preserve">Recomendación 2: </w:t>
      </w:r>
      <w:r w:rsidR="003724F7" w:rsidRPr="007F3FA4">
        <w:rPr>
          <w:rFonts w:cstheme="majorHAnsi"/>
          <w:color w:val="002060"/>
          <w:sz w:val="24"/>
          <w:szCs w:val="24"/>
          <w:lang w:val="es-CO"/>
        </w:rPr>
        <w:t>Técnica de medición de la presión arterial</w:t>
      </w:r>
    </w:p>
    <w:p w14:paraId="3AA974AF" w14:textId="486B736A" w:rsidR="00AE340C" w:rsidRDefault="003724F7" w:rsidP="00AE340C">
      <w:pPr>
        <w:jc w:val="both"/>
        <w:rPr>
          <w:rFonts w:asciiTheme="majorHAnsi" w:hAnsiTheme="majorHAnsi" w:cstheme="majorHAnsi"/>
          <w:i/>
          <w:iCs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>La guía colombiana enfatiza que la medición debe realizarse con técnica estandarizada, en condiciones adecuadas del paciente y con equipos calibrados.</w:t>
      </w:r>
      <w:r w:rsidR="00AE340C"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  <w:r w:rsidR="00AE340C" w:rsidRPr="00A66112">
        <w:rPr>
          <w:rFonts w:asciiTheme="majorHAnsi" w:hAnsiTheme="majorHAnsi" w:cstheme="majorHAnsi"/>
          <w:i/>
          <w:iCs/>
          <w:sz w:val="24"/>
          <w:szCs w:val="24"/>
          <w:lang w:val="es-CO"/>
        </w:rPr>
        <w:t xml:space="preserve">Revisar PDF Técnica correcta de medición. </w:t>
      </w:r>
    </w:p>
    <w:p w14:paraId="497F0177" w14:textId="77777777" w:rsidR="007F3FA4" w:rsidRDefault="007F3FA4" w:rsidP="00AE340C">
      <w:pPr>
        <w:jc w:val="both"/>
        <w:rPr>
          <w:rFonts w:asciiTheme="majorHAnsi" w:hAnsiTheme="majorHAnsi" w:cstheme="majorHAnsi"/>
          <w:i/>
          <w:iCs/>
          <w:sz w:val="24"/>
          <w:szCs w:val="24"/>
          <w:lang w:val="es-CO"/>
        </w:rPr>
      </w:pPr>
    </w:p>
    <w:p w14:paraId="62000973" w14:textId="77777777" w:rsidR="009A1DBE" w:rsidRPr="009A1DBE" w:rsidRDefault="007F3FA4" w:rsidP="00834D1B">
      <w:pPr>
        <w:pStyle w:val="Prrafodelista"/>
        <w:numPr>
          <w:ilvl w:val="0"/>
          <w:numId w:val="6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9A1DBE">
        <w:rPr>
          <w:rFonts w:asciiTheme="majorHAnsi" w:hAnsiTheme="majorHAnsi" w:cstheme="majorHAnsi"/>
          <w:b/>
          <w:bCs/>
          <w:color w:val="002060"/>
          <w:sz w:val="24"/>
          <w:szCs w:val="24"/>
          <w:lang w:val="es-CO"/>
        </w:rPr>
        <w:t xml:space="preserve">Recomendación 3: </w:t>
      </w:r>
      <w:r w:rsidR="003724F7" w:rsidRPr="009A1DBE">
        <w:rPr>
          <w:rFonts w:asciiTheme="majorHAnsi" w:hAnsiTheme="majorHAnsi" w:cstheme="majorHAnsi"/>
          <w:b/>
          <w:bCs/>
          <w:color w:val="002060"/>
          <w:sz w:val="24"/>
          <w:szCs w:val="24"/>
          <w:lang w:val="es-CO"/>
        </w:rPr>
        <w:t>Clasificación de la presión arterial</w:t>
      </w:r>
    </w:p>
    <w:p w14:paraId="61729597" w14:textId="7AFD49AA" w:rsidR="003724F7" w:rsidRPr="009A1DBE" w:rsidRDefault="003724F7" w:rsidP="009A1DBE">
      <w:pPr>
        <w:pStyle w:val="Prrafodelista"/>
        <w:ind w:left="0"/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9A1DBE">
        <w:rPr>
          <w:rFonts w:asciiTheme="majorHAnsi" w:hAnsiTheme="majorHAnsi" w:cstheme="majorHAnsi"/>
          <w:sz w:val="24"/>
          <w:szCs w:val="24"/>
          <w:lang w:val="es-CO"/>
        </w:rPr>
        <w:t>La GPC clasifica la presión arterial en normal, elevada e hipertensión por grados, lo cual orienta la toma de decisiones clínicas.</w:t>
      </w:r>
    </w:p>
    <w:p w14:paraId="03E19C4C" w14:textId="62CD0886" w:rsidR="003724F7" w:rsidRPr="00A66112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b/>
          <w:bCs/>
          <w:sz w:val="24"/>
          <w:szCs w:val="24"/>
          <w:u w:val="single"/>
          <w:lang w:val="es-CO"/>
        </w:rPr>
        <w:t>Adaptación institucional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>: Se conserva la clasificación colombiana</w:t>
      </w:r>
      <w:r w:rsidR="00A750A0"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>para diagnóstico</w:t>
      </w:r>
      <w:r w:rsidR="00A750A0"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, 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>estratificación inicial</w:t>
      </w:r>
      <w:r w:rsidR="00A750A0"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y tratamiento:</w:t>
      </w:r>
    </w:p>
    <w:p w14:paraId="484224F5" w14:textId="76E26399" w:rsidR="00A750A0" w:rsidRPr="00A66112" w:rsidRDefault="00A750A0" w:rsidP="00597276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b/>
          <w:bCs/>
          <w:sz w:val="24"/>
          <w:szCs w:val="24"/>
          <w:lang w:val="es-CO"/>
        </w:rPr>
        <w:t>Hipertensión grado 1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>:</w:t>
      </w:r>
      <w:r w:rsidR="001D2A1A"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  <w:r w:rsidR="001D2A1A" w:rsidRPr="00A66112">
        <w:rPr>
          <w:rFonts w:asciiTheme="majorHAnsi" w:hAnsiTheme="majorHAnsi" w:cstheme="majorHAnsi"/>
          <w:b/>
          <w:bCs/>
          <w:sz w:val="24"/>
          <w:szCs w:val="24"/>
          <w:lang w:val="es-CO"/>
        </w:rPr>
        <w:t>140–159 / 90–99 mmHg</w:t>
      </w:r>
    </w:p>
    <w:p w14:paraId="74C64103" w14:textId="5692B717" w:rsidR="00A750A0" w:rsidRPr="009A1DBE" w:rsidRDefault="00A750A0" w:rsidP="00597276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b/>
          <w:bCs/>
          <w:sz w:val="24"/>
          <w:szCs w:val="24"/>
          <w:lang w:val="es-CO"/>
        </w:rPr>
        <w:t>Hipertensión grado 2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: </w:t>
      </w:r>
      <w:r w:rsidR="00FC6CC0" w:rsidRPr="00A66112">
        <w:rPr>
          <w:rFonts w:asciiTheme="majorHAnsi" w:hAnsiTheme="majorHAnsi" w:cstheme="majorHAnsi"/>
          <w:b/>
          <w:bCs/>
          <w:sz w:val="24"/>
          <w:szCs w:val="24"/>
          <w:lang w:val="es-CO"/>
        </w:rPr>
        <w:t>≥160 / ≥100 mmHg</w:t>
      </w:r>
    </w:p>
    <w:p w14:paraId="643F7979" w14:textId="77777777" w:rsidR="009A1DBE" w:rsidRPr="00A66112" w:rsidRDefault="009A1DBE" w:rsidP="009A1DBE">
      <w:pPr>
        <w:pStyle w:val="Prrafodelista"/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1E137CA8" w14:textId="1BF481E9" w:rsidR="00F562DF" w:rsidRDefault="00F562DF" w:rsidP="00F562DF">
      <w:pPr>
        <w:pStyle w:val="Ttulo2"/>
        <w:numPr>
          <w:ilvl w:val="0"/>
          <w:numId w:val="7"/>
        </w:numPr>
        <w:jc w:val="both"/>
        <w:rPr>
          <w:rFonts w:cstheme="majorHAnsi"/>
          <w:color w:val="002060"/>
          <w:sz w:val="24"/>
          <w:szCs w:val="24"/>
          <w:lang w:val="es-CO"/>
        </w:rPr>
      </w:pPr>
      <w:r>
        <w:rPr>
          <w:rFonts w:cstheme="majorHAnsi"/>
          <w:color w:val="002060"/>
          <w:sz w:val="24"/>
          <w:szCs w:val="24"/>
          <w:lang w:val="es-CO"/>
        </w:rPr>
        <w:lastRenderedPageBreak/>
        <w:t xml:space="preserve">Recomendación 4: </w:t>
      </w:r>
      <w:r w:rsidR="003724F7" w:rsidRPr="007F3FA4">
        <w:rPr>
          <w:rFonts w:cstheme="majorHAnsi"/>
          <w:color w:val="002060"/>
          <w:sz w:val="24"/>
          <w:szCs w:val="24"/>
          <w:lang w:val="es-CO"/>
        </w:rPr>
        <w:t>Estratificación del riesgo cardiovascular</w:t>
      </w:r>
    </w:p>
    <w:p w14:paraId="07EB84C3" w14:textId="77777777" w:rsidR="003724F7" w:rsidRPr="00A66112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>Se recomienda evaluar factores de riesgo cardiovascular, daño de órgano blanco y comorbilidades desde el momento del diagnóstico.</w:t>
      </w:r>
    </w:p>
    <w:p w14:paraId="1940F41A" w14:textId="3F03D3B5" w:rsidR="000A56BD" w:rsidRDefault="003724F7" w:rsidP="000A56BD">
      <w:pPr>
        <w:jc w:val="both"/>
        <w:rPr>
          <w:rFonts w:asciiTheme="majorHAnsi" w:hAnsiTheme="majorHAnsi" w:cstheme="majorHAnsi"/>
          <w:i/>
          <w:iCs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b/>
          <w:bCs/>
          <w:sz w:val="24"/>
          <w:szCs w:val="24"/>
          <w:u w:val="single"/>
          <w:lang w:val="es-CO"/>
        </w:rPr>
        <w:t>Adaptación institucional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: La estratificación y el enfoque de manejo se alinean con </w:t>
      </w:r>
      <w:r w:rsidR="005B7760"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el </w:t>
      </w:r>
      <w:r w:rsidR="00AA23B1" w:rsidRPr="00A66112">
        <w:rPr>
          <w:rFonts w:asciiTheme="majorHAnsi" w:hAnsiTheme="majorHAnsi" w:cstheme="majorHAnsi"/>
          <w:b/>
          <w:bCs/>
          <w:sz w:val="24"/>
          <w:szCs w:val="24"/>
          <w:lang w:val="es-CO"/>
        </w:rPr>
        <w:t>Consenso Colombiano para el diagnóstico y tratamiento de dislipidemias en adultos 2024.</w:t>
      </w:r>
      <w:r w:rsidR="000A56BD" w:rsidRPr="00A66112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</w:t>
      </w:r>
      <w:r w:rsidR="000A56BD" w:rsidRPr="00A66112">
        <w:rPr>
          <w:rFonts w:asciiTheme="majorHAnsi" w:hAnsiTheme="majorHAnsi" w:cstheme="majorHAnsi"/>
          <w:i/>
          <w:iCs/>
          <w:sz w:val="24"/>
          <w:szCs w:val="24"/>
          <w:lang w:val="es-CO"/>
        </w:rPr>
        <w:t xml:space="preserve">Revisar PDF Estratificación riesgo cardiovascular. </w:t>
      </w:r>
    </w:p>
    <w:p w14:paraId="2C547D6C" w14:textId="77777777" w:rsidR="00F562DF" w:rsidRPr="00A66112" w:rsidRDefault="00F562DF" w:rsidP="000A56BD">
      <w:pPr>
        <w:jc w:val="both"/>
        <w:rPr>
          <w:rFonts w:asciiTheme="majorHAnsi" w:hAnsiTheme="majorHAnsi" w:cstheme="majorHAnsi"/>
          <w:i/>
          <w:iCs/>
          <w:sz w:val="24"/>
          <w:szCs w:val="24"/>
          <w:lang w:val="es-CO"/>
        </w:rPr>
      </w:pPr>
    </w:p>
    <w:p w14:paraId="456FCF79" w14:textId="55AA0455" w:rsidR="003724F7" w:rsidRDefault="00F562DF" w:rsidP="00F562DF">
      <w:pPr>
        <w:pStyle w:val="Ttulo2"/>
        <w:numPr>
          <w:ilvl w:val="0"/>
          <w:numId w:val="8"/>
        </w:numPr>
        <w:jc w:val="both"/>
        <w:rPr>
          <w:rFonts w:cstheme="majorHAnsi"/>
          <w:color w:val="002060"/>
          <w:sz w:val="24"/>
          <w:szCs w:val="24"/>
          <w:lang w:val="es-CO"/>
        </w:rPr>
      </w:pPr>
      <w:r w:rsidRPr="00F562DF">
        <w:rPr>
          <w:rFonts w:cstheme="majorHAnsi"/>
          <w:color w:val="002060"/>
          <w:sz w:val="24"/>
          <w:szCs w:val="24"/>
          <w:lang w:val="es-CO"/>
        </w:rPr>
        <w:t xml:space="preserve">Recomendación </w:t>
      </w:r>
      <w:r w:rsidR="003724F7" w:rsidRPr="00F562DF">
        <w:rPr>
          <w:rFonts w:cstheme="majorHAnsi"/>
          <w:color w:val="002060"/>
          <w:sz w:val="24"/>
          <w:szCs w:val="24"/>
          <w:lang w:val="es-CO"/>
        </w:rPr>
        <w:t>5</w:t>
      </w:r>
      <w:r w:rsidRPr="00F562DF">
        <w:rPr>
          <w:rFonts w:cstheme="majorHAnsi"/>
          <w:color w:val="002060"/>
          <w:sz w:val="24"/>
          <w:szCs w:val="24"/>
          <w:lang w:val="es-CO"/>
        </w:rPr>
        <w:t xml:space="preserve">: </w:t>
      </w:r>
      <w:r w:rsidR="003724F7" w:rsidRPr="00F562DF">
        <w:rPr>
          <w:rFonts w:cstheme="majorHAnsi"/>
          <w:color w:val="002060"/>
          <w:sz w:val="24"/>
          <w:szCs w:val="24"/>
          <w:lang w:val="es-CO"/>
        </w:rPr>
        <w:t>Exámenes de inicio</w:t>
      </w:r>
    </w:p>
    <w:p w14:paraId="6D77244E" w14:textId="2463A6A3" w:rsidR="003724F7" w:rsidRPr="00A66112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La GPC </w:t>
      </w:r>
      <w:r w:rsidR="00924AAF"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colombiana 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>recomienda solicitar estudios básicos para evaluar función renal, metabólica y cardiovascular.</w:t>
      </w:r>
    </w:p>
    <w:p w14:paraId="3A4820CB" w14:textId="77777777" w:rsidR="00DD3422" w:rsidRPr="00A66112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b/>
          <w:bCs/>
          <w:sz w:val="24"/>
          <w:szCs w:val="24"/>
          <w:u w:val="single"/>
          <w:lang w:val="es-CO"/>
        </w:rPr>
        <w:t>Adaptación institucional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: </w:t>
      </w:r>
    </w:p>
    <w:p w14:paraId="0EB8ABE4" w14:textId="2B997C73" w:rsidR="003724F7" w:rsidRPr="00A66112" w:rsidRDefault="003724F7" w:rsidP="009A1DBE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Se incluyen creatinina, potasio, glicemia/HbA1c, perfil lipídico, parcial de orina, </w:t>
      </w:r>
      <w:r w:rsidR="000A56BD" w:rsidRPr="00A66112">
        <w:rPr>
          <w:rFonts w:asciiTheme="majorHAnsi" w:hAnsiTheme="majorHAnsi" w:cstheme="majorHAnsi"/>
          <w:sz w:val="24"/>
          <w:szCs w:val="24"/>
          <w:lang w:val="es-CO"/>
        </w:rPr>
        <w:t>relación albuminuria/creatinuria, electrocardiograma.</w:t>
      </w:r>
    </w:p>
    <w:p w14:paraId="7BD7ADE6" w14:textId="467036C1" w:rsidR="000A56BD" w:rsidRPr="00A66112" w:rsidRDefault="000A56BD" w:rsidP="009A1DBE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>Solicitar ecocardiograma en el momento del diagnóstico si: hay síntomas</w:t>
      </w:r>
      <w:r w:rsidR="00924AAF" w:rsidRPr="00A66112">
        <w:rPr>
          <w:rFonts w:asciiTheme="majorHAnsi" w:hAnsiTheme="majorHAnsi" w:cstheme="majorHAnsi"/>
          <w:sz w:val="24"/>
          <w:szCs w:val="24"/>
          <w:lang w:val="es-CO"/>
        </w:rPr>
        <w:t>/signos de cardiopatía y/o hallazgos anormales en electrocardiograma.</w:t>
      </w:r>
    </w:p>
    <w:p w14:paraId="1D662FE0" w14:textId="018EE498" w:rsidR="00924AAF" w:rsidRPr="00A66112" w:rsidRDefault="00924AAF" w:rsidP="009A1DBE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>Solicitar ácido úrico en paciente con alto riesgo cardiovascular.</w:t>
      </w:r>
    </w:p>
    <w:p w14:paraId="1D66078C" w14:textId="7FABEC23" w:rsidR="00924AAF" w:rsidRDefault="00924AAF" w:rsidP="009A1DBE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>Solicitar TSH si clínica sugestiva.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6"/>
        <w:gridCol w:w="6668"/>
      </w:tblGrid>
      <w:tr w:rsidR="00CC364A" w14:paraId="4AD03604" w14:textId="77777777" w:rsidTr="00CC364A">
        <w:tc>
          <w:tcPr>
            <w:tcW w:w="2116" w:type="dxa"/>
            <w:shd w:val="clear" w:color="auto" w:fill="DEEAF6" w:themeFill="accent5" w:themeFillTint="33"/>
          </w:tcPr>
          <w:p w14:paraId="2E31BF84" w14:textId="77777777" w:rsidR="00CC364A" w:rsidRPr="00CC364A" w:rsidRDefault="00CC364A" w:rsidP="00CC364A">
            <w:pPr>
              <w:pStyle w:val="Sinespaciado"/>
              <w:jc w:val="center"/>
              <w:rPr>
                <w:rFonts w:asciiTheme="majorHAnsi" w:hAnsiTheme="majorHAnsi" w:cstheme="majorHAnsi"/>
                <w:b/>
                <w:bCs/>
                <w:color w:val="002060"/>
                <w:lang w:val="es-CO"/>
              </w:rPr>
            </w:pPr>
            <w:r w:rsidRPr="00CC364A">
              <w:rPr>
                <w:rFonts w:asciiTheme="majorHAnsi" w:hAnsiTheme="majorHAnsi" w:cstheme="majorHAnsi"/>
                <w:b/>
                <w:bCs/>
                <w:color w:val="002060"/>
                <w:sz w:val="24"/>
                <w:szCs w:val="24"/>
                <w:lang w:val="es-CO"/>
              </w:rPr>
              <w:t>PARACLÍNICO</w:t>
            </w:r>
          </w:p>
        </w:tc>
        <w:tc>
          <w:tcPr>
            <w:tcW w:w="6668" w:type="dxa"/>
            <w:shd w:val="clear" w:color="auto" w:fill="DEEAF6" w:themeFill="accent5" w:themeFillTint="33"/>
          </w:tcPr>
          <w:p w14:paraId="458CEF96" w14:textId="77777777" w:rsidR="00CC364A" w:rsidRPr="00CC364A" w:rsidRDefault="00CC364A" w:rsidP="00CC364A">
            <w:pPr>
              <w:pStyle w:val="Sinespaciado"/>
              <w:jc w:val="center"/>
              <w:rPr>
                <w:rFonts w:asciiTheme="majorHAnsi" w:hAnsiTheme="majorHAnsi" w:cstheme="majorHAnsi"/>
                <w:b/>
                <w:bCs/>
                <w:lang w:val="es-CO"/>
              </w:rPr>
            </w:pPr>
            <w:r w:rsidRPr="00CC364A">
              <w:rPr>
                <w:rFonts w:asciiTheme="majorHAnsi" w:hAnsiTheme="majorHAnsi" w:cstheme="majorHAnsi"/>
                <w:b/>
                <w:bCs/>
                <w:color w:val="002060"/>
                <w:sz w:val="24"/>
                <w:szCs w:val="24"/>
                <w:lang w:val="es-CO"/>
              </w:rPr>
              <w:t>FRECUENCIA</w:t>
            </w:r>
          </w:p>
        </w:tc>
      </w:tr>
      <w:tr w:rsidR="00CC364A" w:rsidRPr="00A43984" w14:paraId="145C826B" w14:textId="77777777" w:rsidTr="00CC364A">
        <w:tc>
          <w:tcPr>
            <w:tcW w:w="2116" w:type="dxa"/>
            <w:shd w:val="clear" w:color="auto" w:fill="DEEAF6" w:themeFill="accent5" w:themeFillTint="33"/>
          </w:tcPr>
          <w:p w14:paraId="30B52034" w14:textId="77777777" w:rsidR="00CC364A" w:rsidRPr="00CC364A" w:rsidRDefault="00CC364A" w:rsidP="00CC364A">
            <w:pPr>
              <w:pStyle w:val="Sinespaciado"/>
              <w:jc w:val="center"/>
              <w:rPr>
                <w:rFonts w:asciiTheme="majorHAnsi" w:hAnsiTheme="majorHAnsi" w:cstheme="majorHAnsi"/>
                <w:b/>
                <w:bCs/>
                <w:color w:val="002060"/>
                <w:lang w:val="es-CO"/>
              </w:rPr>
            </w:pPr>
            <w:proofErr w:type="spellStart"/>
            <w:r w:rsidRPr="00CC364A">
              <w:rPr>
                <w:rFonts w:asciiTheme="majorHAnsi" w:hAnsiTheme="majorHAnsi" w:cstheme="majorHAnsi"/>
                <w:b/>
                <w:bCs/>
                <w:color w:val="002060"/>
              </w:rPr>
              <w:t>Perfil</w:t>
            </w:r>
            <w:proofErr w:type="spellEnd"/>
            <w:r w:rsidRPr="00CC364A">
              <w:rPr>
                <w:rFonts w:asciiTheme="majorHAnsi" w:hAnsiTheme="majorHAnsi" w:cstheme="majorHAnsi"/>
                <w:b/>
                <w:bCs/>
                <w:color w:val="002060"/>
              </w:rPr>
              <w:t xml:space="preserve"> </w:t>
            </w:r>
            <w:proofErr w:type="spellStart"/>
            <w:r w:rsidRPr="00CC364A">
              <w:rPr>
                <w:rFonts w:asciiTheme="majorHAnsi" w:hAnsiTheme="majorHAnsi" w:cstheme="majorHAnsi"/>
                <w:b/>
                <w:bCs/>
                <w:color w:val="002060"/>
              </w:rPr>
              <w:t>lipídico</w:t>
            </w:r>
            <w:proofErr w:type="spellEnd"/>
          </w:p>
        </w:tc>
        <w:tc>
          <w:tcPr>
            <w:tcW w:w="6668" w:type="dxa"/>
          </w:tcPr>
          <w:p w14:paraId="2FA1422F" w14:textId="77777777" w:rsidR="00CC364A" w:rsidRPr="00CC364A" w:rsidRDefault="00CC364A" w:rsidP="00CC364A">
            <w:pPr>
              <w:pStyle w:val="Sinespaciado"/>
              <w:rPr>
                <w:rFonts w:asciiTheme="majorHAnsi" w:hAnsiTheme="majorHAnsi" w:cstheme="majorHAnsi"/>
                <w:lang w:val="es-CO"/>
              </w:rPr>
            </w:pPr>
            <w:r w:rsidRPr="00CC364A">
              <w:rPr>
                <w:rFonts w:asciiTheme="majorHAnsi" w:hAnsiTheme="majorHAnsi" w:cstheme="majorHAnsi"/>
                <w:lang w:val="es-CO"/>
              </w:rPr>
              <w:t xml:space="preserve">Cada 6 meses SI en metas </w:t>
            </w:r>
          </w:p>
          <w:p w14:paraId="5874D000" w14:textId="77777777" w:rsidR="00CC364A" w:rsidRPr="00CC364A" w:rsidRDefault="00CC364A" w:rsidP="00CC364A">
            <w:pPr>
              <w:pStyle w:val="Sinespaciado"/>
              <w:rPr>
                <w:rFonts w:asciiTheme="majorHAnsi" w:hAnsiTheme="majorHAnsi" w:cstheme="majorHAnsi"/>
                <w:lang w:val="es-CO"/>
              </w:rPr>
            </w:pPr>
            <w:r w:rsidRPr="00CC364A">
              <w:rPr>
                <w:rFonts w:asciiTheme="majorHAnsi" w:hAnsiTheme="majorHAnsi" w:cstheme="majorHAnsi"/>
                <w:lang w:val="es-CO"/>
              </w:rPr>
              <w:t>Cada 3 meses NO en metas</w:t>
            </w:r>
          </w:p>
        </w:tc>
      </w:tr>
      <w:tr w:rsidR="00CC364A" w:rsidRPr="00A43984" w14:paraId="3AD02942" w14:textId="77777777" w:rsidTr="00CC364A">
        <w:tc>
          <w:tcPr>
            <w:tcW w:w="2116" w:type="dxa"/>
            <w:shd w:val="clear" w:color="auto" w:fill="DEEAF6" w:themeFill="accent5" w:themeFillTint="33"/>
          </w:tcPr>
          <w:p w14:paraId="3C04045C" w14:textId="77777777" w:rsidR="00CC364A" w:rsidRPr="00CC364A" w:rsidRDefault="00CC364A" w:rsidP="00CC364A">
            <w:pPr>
              <w:pStyle w:val="Sinespaciado"/>
              <w:jc w:val="center"/>
              <w:rPr>
                <w:rFonts w:asciiTheme="majorHAnsi" w:hAnsiTheme="majorHAnsi" w:cstheme="majorHAnsi"/>
                <w:b/>
                <w:bCs/>
                <w:color w:val="002060"/>
                <w:lang w:val="es-CO"/>
              </w:rPr>
            </w:pPr>
            <w:r w:rsidRPr="00CC364A">
              <w:rPr>
                <w:rFonts w:asciiTheme="majorHAnsi" w:hAnsiTheme="majorHAnsi" w:cstheme="majorHAnsi"/>
                <w:b/>
                <w:bCs/>
                <w:color w:val="002060"/>
              </w:rPr>
              <w:t xml:space="preserve">Glicemia </w:t>
            </w:r>
            <w:proofErr w:type="spellStart"/>
            <w:r w:rsidRPr="00CC364A">
              <w:rPr>
                <w:rFonts w:asciiTheme="majorHAnsi" w:hAnsiTheme="majorHAnsi" w:cstheme="majorHAnsi"/>
                <w:b/>
                <w:bCs/>
                <w:color w:val="002060"/>
              </w:rPr>
              <w:t>en</w:t>
            </w:r>
            <w:proofErr w:type="spellEnd"/>
            <w:r w:rsidRPr="00CC364A">
              <w:rPr>
                <w:rFonts w:asciiTheme="majorHAnsi" w:hAnsiTheme="majorHAnsi" w:cstheme="majorHAnsi"/>
                <w:b/>
                <w:bCs/>
                <w:color w:val="002060"/>
              </w:rPr>
              <w:t xml:space="preserve"> </w:t>
            </w:r>
            <w:proofErr w:type="spellStart"/>
            <w:r w:rsidRPr="00CC364A">
              <w:rPr>
                <w:rFonts w:asciiTheme="majorHAnsi" w:hAnsiTheme="majorHAnsi" w:cstheme="majorHAnsi"/>
                <w:b/>
                <w:bCs/>
                <w:color w:val="002060"/>
              </w:rPr>
              <w:t>ayunas</w:t>
            </w:r>
            <w:proofErr w:type="spellEnd"/>
          </w:p>
        </w:tc>
        <w:tc>
          <w:tcPr>
            <w:tcW w:w="6668" w:type="dxa"/>
          </w:tcPr>
          <w:p w14:paraId="01280DD3" w14:textId="77777777" w:rsidR="00CC364A" w:rsidRPr="00CC364A" w:rsidRDefault="00CC364A" w:rsidP="00CC364A">
            <w:pPr>
              <w:pStyle w:val="Sinespaciado"/>
              <w:rPr>
                <w:rFonts w:asciiTheme="majorHAnsi" w:hAnsiTheme="majorHAnsi" w:cstheme="majorHAnsi"/>
                <w:lang w:val="es-CO"/>
              </w:rPr>
            </w:pPr>
            <w:r w:rsidRPr="00CC364A">
              <w:rPr>
                <w:rFonts w:asciiTheme="majorHAnsi" w:hAnsiTheme="majorHAnsi" w:cstheme="majorHAnsi"/>
                <w:lang w:val="es-CO"/>
              </w:rPr>
              <w:t>Cada 6 meses SI está dentro de rangos normales</w:t>
            </w:r>
          </w:p>
          <w:p w14:paraId="78A7074E" w14:textId="77777777" w:rsidR="00CC364A" w:rsidRPr="00CC364A" w:rsidRDefault="00CC364A" w:rsidP="00CC364A">
            <w:pPr>
              <w:pStyle w:val="Sinespaciado"/>
              <w:rPr>
                <w:rFonts w:asciiTheme="majorHAnsi" w:hAnsiTheme="majorHAnsi" w:cstheme="majorHAnsi"/>
                <w:lang w:val="es-CO"/>
              </w:rPr>
            </w:pPr>
            <w:r w:rsidRPr="00CC364A">
              <w:rPr>
                <w:rFonts w:asciiTheme="majorHAnsi" w:hAnsiTheme="majorHAnsi" w:cstheme="majorHAnsi"/>
                <w:lang w:val="es-CO"/>
              </w:rPr>
              <w:t xml:space="preserve">Si hay glicemia alterada en ayunas indicar </w:t>
            </w:r>
            <w:proofErr w:type="spellStart"/>
            <w:r w:rsidRPr="00CC364A">
              <w:rPr>
                <w:rFonts w:asciiTheme="majorHAnsi" w:hAnsiTheme="majorHAnsi" w:cstheme="majorHAnsi"/>
                <w:lang w:val="es-CO"/>
              </w:rPr>
              <w:t>hb</w:t>
            </w:r>
            <w:proofErr w:type="spellEnd"/>
            <w:r w:rsidRPr="00CC364A">
              <w:rPr>
                <w:rFonts w:asciiTheme="majorHAnsi" w:hAnsiTheme="majorHAnsi" w:cstheme="majorHAnsi"/>
                <w:lang w:val="es-CO"/>
              </w:rPr>
              <w:t xml:space="preserve">. </w:t>
            </w:r>
            <w:proofErr w:type="spellStart"/>
            <w:r w:rsidRPr="00CC364A">
              <w:rPr>
                <w:rFonts w:asciiTheme="majorHAnsi" w:hAnsiTheme="majorHAnsi" w:cstheme="majorHAnsi"/>
                <w:lang w:val="es-CO"/>
              </w:rPr>
              <w:t>glicada</w:t>
            </w:r>
            <w:proofErr w:type="spellEnd"/>
          </w:p>
        </w:tc>
      </w:tr>
      <w:tr w:rsidR="00CC364A" w:rsidRPr="00A43984" w14:paraId="3F930CC9" w14:textId="77777777" w:rsidTr="00CC364A">
        <w:tc>
          <w:tcPr>
            <w:tcW w:w="2116" w:type="dxa"/>
            <w:shd w:val="clear" w:color="auto" w:fill="DEEAF6" w:themeFill="accent5" w:themeFillTint="33"/>
          </w:tcPr>
          <w:p w14:paraId="5ECB99F9" w14:textId="77777777" w:rsidR="00CC364A" w:rsidRPr="00CC364A" w:rsidRDefault="00CC364A" w:rsidP="00CC364A">
            <w:pPr>
              <w:pStyle w:val="Sinespaciado"/>
              <w:jc w:val="center"/>
              <w:rPr>
                <w:rFonts w:asciiTheme="majorHAnsi" w:hAnsiTheme="majorHAnsi" w:cstheme="majorHAnsi"/>
                <w:b/>
                <w:bCs/>
                <w:color w:val="002060"/>
                <w:lang w:val="es-CO"/>
              </w:rPr>
            </w:pPr>
            <w:r w:rsidRPr="00CC364A">
              <w:rPr>
                <w:rFonts w:asciiTheme="majorHAnsi" w:hAnsiTheme="majorHAnsi" w:cstheme="majorHAnsi"/>
                <w:b/>
                <w:bCs/>
                <w:color w:val="002060"/>
                <w:lang w:val="es-CO"/>
              </w:rPr>
              <w:t>Relación albúmina/creatinina (RAC) + creatinina sérica</w:t>
            </w:r>
          </w:p>
        </w:tc>
        <w:tc>
          <w:tcPr>
            <w:tcW w:w="6668" w:type="dxa"/>
          </w:tcPr>
          <w:p w14:paraId="43DECCDC" w14:textId="77777777" w:rsidR="00CC364A" w:rsidRPr="00CC364A" w:rsidRDefault="00CC364A" w:rsidP="00CC364A">
            <w:pPr>
              <w:pStyle w:val="Sinespaciado"/>
              <w:rPr>
                <w:rFonts w:asciiTheme="majorHAnsi" w:hAnsiTheme="majorHAnsi" w:cstheme="majorHAnsi"/>
                <w:lang w:val="es-CO"/>
              </w:rPr>
            </w:pPr>
            <w:r w:rsidRPr="00CC364A">
              <w:rPr>
                <w:rFonts w:asciiTheme="majorHAnsi" w:hAnsiTheme="majorHAnsi" w:cstheme="majorHAnsi"/>
                <w:lang w:val="es-CO"/>
              </w:rPr>
              <w:t xml:space="preserve">RAC &lt; 30mg/g: cada 6 meses </w:t>
            </w:r>
          </w:p>
          <w:p w14:paraId="5565E0DF" w14:textId="77777777" w:rsidR="00CC364A" w:rsidRPr="00CC364A" w:rsidRDefault="00CC364A" w:rsidP="00CC364A">
            <w:pPr>
              <w:pStyle w:val="Sinespaciado"/>
              <w:rPr>
                <w:rFonts w:asciiTheme="majorHAnsi" w:hAnsiTheme="majorHAnsi" w:cstheme="majorHAnsi"/>
                <w:lang w:val="es-CO"/>
              </w:rPr>
            </w:pPr>
            <w:r w:rsidRPr="00CC364A">
              <w:rPr>
                <w:rFonts w:asciiTheme="majorHAnsi" w:hAnsiTheme="majorHAnsi" w:cstheme="majorHAnsi"/>
                <w:lang w:val="es-CO"/>
              </w:rPr>
              <w:t xml:space="preserve">RAC 30-300mg/gr: repetir en 3 meses y definir ERC </w:t>
            </w:r>
          </w:p>
          <w:p w14:paraId="4070B9C2" w14:textId="77777777" w:rsidR="00CC364A" w:rsidRPr="00CC364A" w:rsidRDefault="00CC364A" w:rsidP="00CC364A">
            <w:pPr>
              <w:pStyle w:val="Sinespaciado"/>
              <w:rPr>
                <w:rFonts w:asciiTheme="majorHAnsi" w:hAnsiTheme="majorHAnsi" w:cstheme="majorHAnsi"/>
                <w:lang w:val="es-CO"/>
              </w:rPr>
            </w:pPr>
            <w:r w:rsidRPr="00CC364A">
              <w:rPr>
                <w:rFonts w:asciiTheme="majorHAnsi" w:hAnsiTheme="majorHAnsi" w:cstheme="majorHAnsi"/>
                <w:lang w:val="es-CO"/>
              </w:rPr>
              <w:t>RAC &gt; 300mg/g: indicar proteinuria en orina de 24 horas y derivar a nefrología/</w:t>
            </w:r>
            <w:proofErr w:type="spellStart"/>
            <w:r w:rsidRPr="00CC364A">
              <w:rPr>
                <w:rFonts w:asciiTheme="majorHAnsi" w:hAnsiTheme="majorHAnsi" w:cstheme="majorHAnsi"/>
                <w:lang w:val="es-CO"/>
              </w:rPr>
              <w:t>med</w:t>
            </w:r>
            <w:proofErr w:type="spellEnd"/>
            <w:r w:rsidRPr="00CC364A">
              <w:rPr>
                <w:rFonts w:asciiTheme="majorHAnsi" w:hAnsiTheme="majorHAnsi" w:cstheme="majorHAnsi"/>
                <w:lang w:val="es-CO"/>
              </w:rPr>
              <w:t>. familiar</w:t>
            </w:r>
          </w:p>
        </w:tc>
      </w:tr>
      <w:tr w:rsidR="00CC364A" w:rsidRPr="00A43984" w14:paraId="402952A0" w14:textId="77777777" w:rsidTr="00CC364A">
        <w:tc>
          <w:tcPr>
            <w:tcW w:w="2116" w:type="dxa"/>
            <w:shd w:val="clear" w:color="auto" w:fill="DEEAF6" w:themeFill="accent5" w:themeFillTint="33"/>
          </w:tcPr>
          <w:p w14:paraId="075E5589" w14:textId="77777777" w:rsidR="00CC364A" w:rsidRPr="00CC364A" w:rsidRDefault="00CC364A" w:rsidP="00CC364A">
            <w:pPr>
              <w:pStyle w:val="Sinespaciado"/>
              <w:jc w:val="center"/>
              <w:rPr>
                <w:rFonts w:asciiTheme="majorHAnsi" w:hAnsiTheme="majorHAnsi" w:cstheme="majorHAnsi"/>
                <w:b/>
                <w:bCs/>
                <w:color w:val="002060"/>
                <w:lang w:val="es-CO"/>
              </w:rPr>
            </w:pPr>
            <w:proofErr w:type="spellStart"/>
            <w:r w:rsidRPr="00CC364A">
              <w:rPr>
                <w:rFonts w:asciiTheme="majorHAnsi" w:hAnsiTheme="majorHAnsi" w:cstheme="majorHAnsi"/>
                <w:b/>
                <w:bCs/>
                <w:color w:val="002060"/>
              </w:rPr>
              <w:t>Uroanálisis</w:t>
            </w:r>
            <w:proofErr w:type="spellEnd"/>
          </w:p>
        </w:tc>
        <w:tc>
          <w:tcPr>
            <w:tcW w:w="6668" w:type="dxa"/>
          </w:tcPr>
          <w:p w14:paraId="49042C6E" w14:textId="77777777" w:rsidR="00CC364A" w:rsidRPr="00CC364A" w:rsidRDefault="00CC364A" w:rsidP="00CC364A">
            <w:pPr>
              <w:pStyle w:val="Sinespaciado"/>
              <w:rPr>
                <w:rFonts w:asciiTheme="majorHAnsi" w:hAnsiTheme="majorHAnsi" w:cstheme="majorHAnsi"/>
                <w:lang w:val="es-CO"/>
              </w:rPr>
            </w:pPr>
            <w:r w:rsidRPr="00CC364A">
              <w:rPr>
                <w:rFonts w:asciiTheme="majorHAnsi" w:hAnsiTheme="majorHAnsi" w:cstheme="majorHAnsi"/>
                <w:lang w:val="es-CO"/>
              </w:rPr>
              <w:t>Cada 6 meses SI está dentro de rangos normales Repetir en 3 meses si hay hallazgos anormales</w:t>
            </w:r>
          </w:p>
        </w:tc>
      </w:tr>
      <w:tr w:rsidR="00CC364A" w:rsidRPr="00A43984" w14:paraId="0B226ED7" w14:textId="77777777" w:rsidTr="00CC364A">
        <w:tc>
          <w:tcPr>
            <w:tcW w:w="2116" w:type="dxa"/>
            <w:shd w:val="clear" w:color="auto" w:fill="DEEAF6" w:themeFill="accent5" w:themeFillTint="33"/>
          </w:tcPr>
          <w:p w14:paraId="0C5395BA" w14:textId="77777777" w:rsidR="00CC364A" w:rsidRPr="00CC364A" w:rsidRDefault="00CC364A" w:rsidP="00CC364A">
            <w:pPr>
              <w:pStyle w:val="Sinespaciado"/>
              <w:jc w:val="center"/>
              <w:rPr>
                <w:rFonts w:asciiTheme="majorHAnsi" w:hAnsiTheme="majorHAnsi" w:cstheme="majorHAnsi"/>
                <w:b/>
                <w:bCs/>
                <w:color w:val="002060"/>
              </w:rPr>
            </w:pPr>
            <w:proofErr w:type="spellStart"/>
            <w:r w:rsidRPr="00CC364A">
              <w:rPr>
                <w:rFonts w:asciiTheme="majorHAnsi" w:hAnsiTheme="majorHAnsi" w:cstheme="majorHAnsi"/>
                <w:b/>
                <w:bCs/>
                <w:color w:val="002060"/>
              </w:rPr>
              <w:t>Ecocardiograma</w:t>
            </w:r>
            <w:proofErr w:type="spellEnd"/>
          </w:p>
        </w:tc>
        <w:tc>
          <w:tcPr>
            <w:tcW w:w="6668" w:type="dxa"/>
          </w:tcPr>
          <w:p w14:paraId="7DA3ACA0" w14:textId="77777777" w:rsidR="00CC364A" w:rsidRPr="00CC364A" w:rsidRDefault="00CC364A" w:rsidP="00CC364A">
            <w:pPr>
              <w:pStyle w:val="Sinespaciado"/>
              <w:rPr>
                <w:rFonts w:asciiTheme="majorHAnsi" w:hAnsiTheme="majorHAnsi" w:cstheme="majorHAnsi"/>
                <w:lang w:val="es-CO"/>
              </w:rPr>
            </w:pPr>
            <w:r w:rsidRPr="00CC364A">
              <w:rPr>
                <w:rFonts w:asciiTheme="majorHAnsi" w:hAnsiTheme="majorHAnsi" w:cstheme="majorHAnsi"/>
                <w:lang w:val="es-CO"/>
              </w:rPr>
              <w:t>Cada 24 meses SI evidencia HVI Comentar con medicina familiar si hay hallazgos adicionales relevantes para definir nuevas conductas de control imagenológico</w:t>
            </w:r>
          </w:p>
        </w:tc>
      </w:tr>
    </w:tbl>
    <w:p w14:paraId="3A216523" w14:textId="77777777" w:rsidR="00CC364A" w:rsidRPr="00A66112" w:rsidRDefault="00CC364A" w:rsidP="009A1DBE">
      <w:pPr>
        <w:pStyle w:val="Prrafodelista"/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5DA6FE80" w14:textId="0311C5CA" w:rsidR="003724F7" w:rsidRPr="009A1DBE" w:rsidRDefault="009A1DBE" w:rsidP="009A1DBE">
      <w:pPr>
        <w:pStyle w:val="Ttulo2"/>
        <w:numPr>
          <w:ilvl w:val="0"/>
          <w:numId w:val="9"/>
        </w:numPr>
        <w:jc w:val="both"/>
        <w:rPr>
          <w:rFonts w:cstheme="majorHAnsi"/>
          <w:color w:val="002060"/>
          <w:sz w:val="24"/>
          <w:szCs w:val="24"/>
          <w:lang w:val="es-CO"/>
        </w:rPr>
      </w:pPr>
      <w:r w:rsidRPr="009A1DBE">
        <w:rPr>
          <w:rFonts w:cstheme="majorHAnsi"/>
          <w:color w:val="002060"/>
          <w:sz w:val="24"/>
          <w:szCs w:val="24"/>
          <w:lang w:val="es-CO"/>
        </w:rPr>
        <w:t xml:space="preserve">Recomendación 6: </w:t>
      </w:r>
      <w:r w:rsidR="003724F7" w:rsidRPr="009A1DBE">
        <w:rPr>
          <w:rFonts w:cstheme="majorHAnsi"/>
          <w:color w:val="002060"/>
          <w:sz w:val="24"/>
          <w:szCs w:val="24"/>
          <w:lang w:val="es-CO"/>
        </w:rPr>
        <w:t>Tratamiento no farmacológico</w:t>
      </w:r>
    </w:p>
    <w:p w14:paraId="6A7E68F0" w14:textId="7CD6C6E5" w:rsidR="003724F7" w:rsidRPr="00A66112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La </w:t>
      </w:r>
      <w:r w:rsidR="00924AAF" w:rsidRPr="00A66112">
        <w:rPr>
          <w:rFonts w:asciiTheme="majorHAnsi" w:hAnsiTheme="majorHAnsi" w:cstheme="majorHAnsi"/>
          <w:sz w:val="24"/>
          <w:szCs w:val="24"/>
          <w:lang w:val="es-CO"/>
        </w:rPr>
        <w:t>GPC colombiana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recomienda cambios en el estilo de vida como pilar del manejo de la hipertensión.</w:t>
      </w:r>
    </w:p>
    <w:p w14:paraId="0C53EB05" w14:textId="77777777" w:rsidR="00862D93" w:rsidRPr="00A66112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b/>
          <w:bCs/>
          <w:sz w:val="24"/>
          <w:szCs w:val="24"/>
          <w:u w:val="single"/>
          <w:lang w:val="es-CO"/>
        </w:rPr>
        <w:t>Adaptación institucional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: </w:t>
      </w:r>
    </w:p>
    <w:p w14:paraId="0E8CA35F" w14:textId="0F174F8F" w:rsidR="003724F7" w:rsidRPr="00A66112" w:rsidRDefault="003724F7" w:rsidP="00AA4A8D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lastRenderedPageBreak/>
        <w:t>Se refuerzan las intervenciones incluyendo reducción de sodio, dieta DASH, actividad física, control de peso y reducción de alcohol, indicando su impacto esperado en la disminución de la presión arterial.</w:t>
      </w:r>
    </w:p>
    <w:p w14:paraId="70055F79" w14:textId="71BEEA48" w:rsidR="00924AAF" w:rsidRPr="00A66112" w:rsidRDefault="00225BB3" w:rsidP="00AA4A8D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>Solicitar valoración de nutrición para abordaje alimentario respectivo</w:t>
      </w:r>
    </w:p>
    <w:p w14:paraId="4F0754D7" w14:textId="6FBA2E82" w:rsidR="00225BB3" w:rsidRDefault="00225BB3" w:rsidP="00AA4A8D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>Solicitar valoración psicología</w:t>
      </w:r>
      <w:r w:rsidR="00597276" w:rsidRPr="00A66112">
        <w:rPr>
          <w:rFonts w:asciiTheme="majorHAnsi" w:hAnsiTheme="majorHAnsi" w:cstheme="majorHAnsi"/>
          <w:sz w:val="24"/>
          <w:szCs w:val="24"/>
          <w:lang w:val="es-CO"/>
        </w:rPr>
        <w:t>/psiquiatría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  <w:r w:rsidR="00597276" w:rsidRPr="00A66112">
        <w:rPr>
          <w:rFonts w:asciiTheme="majorHAnsi" w:hAnsiTheme="majorHAnsi" w:cstheme="majorHAnsi"/>
          <w:sz w:val="24"/>
          <w:szCs w:val="24"/>
          <w:lang w:val="es-CO"/>
        </w:rPr>
        <w:t>en abandono de tabaquismo/alcohol.</w:t>
      </w:r>
    </w:p>
    <w:p w14:paraId="3F9B6D9D" w14:textId="77777777" w:rsidR="00AA4A8D" w:rsidRPr="00A66112" w:rsidRDefault="00AA4A8D" w:rsidP="00AA4A8D">
      <w:pPr>
        <w:pStyle w:val="Prrafodelista"/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4464215E" w14:textId="57CA30D2" w:rsidR="003724F7" w:rsidRPr="00AA4A8D" w:rsidRDefault="00AA4A8D" w:rsidP="00AA4A8D">
      <w:pPr>
        <w:pStyle w:val="Ttulo2"/>
        <w:numPr>
          <w:ilvl w:val="0"/>
          <w:numId w:val="12"/>
        </w:numPr>
        <w:jc w:val="both"/>
        <w:rPr>
          <w:rFonts w:cstheme="majorHAnsi"/>
          <w:color w:val="002060"/>
          <w:sz w:val="24"/>
          <w:szCs w:val="24"/>
          <w:lang w:val="es-CO"/>
        </w:rPr>
      </w:pPr>
      <w:r w:rsidRPr="00AA4A8D">
        <w:rPr>
          <w:rFonts w:cstheme="majorHAnsi"/>
          <w:color w:val="002060"/>
          <w:sz w:val="24"/>
          <w:szCs w:val="24"/>
          <w:lang w:val="es-CO"/>
        </w:rPr>
        <w:t xml:space="preserve">Recomendación 7: </w:t>
      </w:r>
      <w:r w:rsidR="003724F7" w:rsidRPr="00AA4A8D">
        <w:rPr>
          <w:rFonts w:cstheme="majorHAnsi"/>
          <w:color w:val="002060"/>
          <w:sz w:val="24"/>
          <w:szCs w:val="24"/>
          <w:lang w:val="es-CO"/>
        </w:rPr>
        <w:t>Inicio de tratamiento farmacológico</w:t>
      </w:r>
    </w:p>
    <w:p w14:paraId="5060F348" w14:textId="77777777" w:rsidR="003724F7" w:rsidRPr="00A66112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>La GPC indica iniciar tratamiento farmacológico según cifras tensionales y riesgo cardiovascular.</w:t>
      </w:r>
    </w:p>
    <w:p w14:paraId="3261ECB8" w14:textId="70FD4942" w:rsidR="003724F7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A4A8D">
        <w:rPr>
          <w:rFonts w:asciiTheme="majorHAnsi" w:hAnsiTheme="majorHAnsi" w:cstheme="majorHAnsi"/>
          <w:b/>
          <w:bCs/>
          <w:sz w:val="24"/>
          <w:szCs w:val="24"/>
          <w:u w:val="single"/>
          <w:lang w:val="es-CO"/>
        </w:rPr>
        <w:t>Adaptación institucional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>: Se adopta el enfoque europeo de inicio temprano con combinaciones a dosis bajas (IECA o ARA II + calcio</w:t>
      </w:r>
      <w:r w:rsidR="00B23A29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>antagonista o diurético), reservando monoterapia para casos seleccionados.</w:t>
      </w:r>
    </w:p>
    <w:p w14:paraId="2307B0B2" w14:textId="77777777" w:rsidR="00A133CC" w:rsidRDefault="00A133CC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71CE9168" w14:textId="095A0DBC" w:rsidR="00A133CC" w:rsidRPr="003F3F26" w:rsidRDefault="00A133CC" w:rsidP="003F3F26">
      <w:pPr>
        <w:pStyle w:val="Sinespaciado"/>
        <w:numPr>
          <w:ilvl w:val="0"/>
          <w:numId w:val="19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3F3F26">
        <w:rPr>
          <w:rFonts w:asciiTheme="majorHAnsi" w:hAnsiTheme="majorHAnsi" w:cstheme="majorHAnsi"/>
          <w:b/>
          <w:bCs/>
          <w:sz w:val="24"/>
          <w:szCs w:val="24"/>
          <w:lang w:val="es-MX"/>
        </w:rPr>
        <w:t xml:space="preserve">Hipertensión estadio II </w:t>
      </w:r>
      <w:r w:rsidR="003F3F26" w:rsidRPr="003F3F26">
        <w:rPr>
          <w:rFonts w:asciiTheme="majorHAnsi" w:hAnsiTheme="majorHAnsi" w:cstheme="majorHAnsi"/>
          <w:b/>
          <w:bCs/>
          <w:sz w:val="24"/>
          <w:szCs w:val="24"/>
          <w:lang w:val="es-MX"/>
        </w:rPr>
        <w:t>o</w:t>
      </w:r>
      <w:r w:rsidRPr="003F3F26">
        <w:rPr>
          <w:rFonts w:asciiTheme="majorHAnsi" w:hAnsiTheme="majorHAnsi" w:cstheme="majorHAnsi"/>
          <w:b/>
          <w:bCs/>
          <w:sz w:val="24"/>
          <w:szCs w:val="24"/>
          <w:lang w:val="es-MX"/>
        </w:rPr>
        <w:t xml:space="preserve"> </w:t>
      </w:r>
      <w:r w:rsidR="003F3F26" w:rsidRPr="003F3F26">
        <w:rPr>
          <w:rFonts w:asciiTheme="majorHAnsi" w:hAnsiTheme="majorHAnsi" w:cstheme="majorHAnsi"/>
          <w:b/>
          <w:bCs/>
          <w:sz w:val="24"/>
          <w:szCs w:val="24"/>
          <w:lang w:val="es-MX"/>
        </w:rPr>
        <w:t>Hipertensión estadio I con Alto/Muy alto Riesgo Cardiovascular</w:t>
      </w:r>
      <w:r w:rsidRPr="003F3F26">
        <w:rPr>
          <w:rFonts w:asciiTheme="majorHAnsi" w:hAnsiTheme="majorHAnsi" w:cstheme="majorHAnsi"/>
          <w:sz w:val="24"/>
          <w:szCs w:val="24"/>
          <w:lang w:val="es-MX"/>
        </w:rPr>
        <w:t xml:space="preserve">→ iniciar tratamiento farmacológico con TERAPIA DUAL </w:t>
      </w:r>
    </w:p>
    <w:p w14:paraId="3F927BCC" w14:textId="77777777" w:rsidR="003F3F26" w:rsidRPr="003F3F26" w:rsidRDefault="003F3F26" w:rsidP="003F3F26">
      <w:pPr>
        <w:pStyle w:val="Sinespaciado"/>
        <w:spacing w:line="276" w:lineRule="auto"/>
        <w:ind w:left="720"/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596E2882" w14:textId="77777777" w:rsidR="003F3F26" w:rsidRPr="003F3F26" w:rsidRDefault="003F3F26" w:rsidP="003F3F26">
      <w:pPr>
        <w:pStyle w:val="Sinespaciado"/>
        <w:numPr>
          <w:ilvl w:val="0"/>
          <w:numId w:val="19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3F3F26">
        <w:rPr>
          <w:rFonts w:asciiTheme="majorHAnsi" w:hAnsiTheme="majorHAnsi" w:cstheme="majorHAnsi"/>
          <w:b/>
          <w:bCs/>
          <w:sz w:val="24"/>
          <w:szCs w:val="24"/>
          <w:lang w:val="es-MX"/>
        </w:rPr>
        <w:t xml:space="preserve">Hipertensión estadio I con Bajo/Moderado Riesgo Cardiovascular </w:t>
      </w:r>
      <w:r w:rsidR="00A133CC" w:rsidRPr="003F3F26">
        <w:rPr>
          <w:rFonts w:asciiTheme="majorHAnsi" w:hAnsiTheme="majorHAnsi" w:cstheme="majorHAnsi"/>
          <w:b/>
          <w:bCs/>
          <w:sz w:val="24"/>
          <w:szCs w:val="24"/>
          <w:lang w:val="es-MX"/>
        </w:rPr>
        <w:t>PA ≥140/90 mmHg</w:t>
      </w:r>
      <w:r w:rsidR="00A133CC" w:rsidRPr="003F3F26">
        <w:rPr>
          <w:rFonts w:asciiTheme="majorHAnsi" w:hAnsiTheme="majorHAnsi" w:cstheme="majorHAnsi"/>
          <w:sz w:val="24"/>
          <w:szCs w:val="24"/>
          <w:lang w:val="es-MX"/>
        </w:rPr>
        <w:t xml:space="preserve"> → iniciar tratamiento farmacológico con MONOTERAPIA</w:t>
      </w:r>
      <w:r w:rsidRPr="003F3F26">
        <w:rPr>
          <w:rFonts w:asciiTheme="majorHAnsi" w:hAnsiTheme="majorHAnsi" w:cstheme="majorHAnsi"/>
          <w:sz w:val="24"/>
          <w:szCs w:val="24"/>
          <w:lang w:val="es-MX"/>
        </w:rPr>
        <w:t xml:space="preserve">. </w:t>
      </w:r>
    </w:p>
    <w:p w14:paraId="7214EB99" w14:textId="77777777" w:rsidR="003F3F26" w:rsidRPr="003F3F26" w:rsidRDefault="003F3F26" w:rsidP="003F3F26">
      <w:pPr>
        <w:pStyle w:val="Sinespaciado"/>
        <w:jc w:val="both"/>
        <w:rPr>
          <w:sz w:val="24"/>
          <w:szCs w:val="24"/>
          <w:lang w:val="es-CO"/>
        </w:rPr>
      </w:pPr>
    </w:p>
    <w:p w14:paraId="5F1F3458" w14:textId="2E3BC799" w:rsidR="003F3F26" w:rsidRPr="004B7395" w:rsidRDefault="003F3F26" w:rsidP="003F3F26">
      <w:pPr>
        <w:pStyle w:val="Sinespaciado"/>
        <w:numPr>
          <w:ilvl w:val="0"/>
          <w:numId w:val="19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3F3F26">
        <w:rPr>
          <w:rFonts w:asciiTheme="majorHAnsi" w:hAnsiTheme="majorHAnsi" w:cstheme="majorHAnsi"/>
          <w:b/>
          <w:bCs/>
          <w:sz w:val="24"/>
          <w:szCs w:val="24"/>
          <w:lang w:val="es-CO"/>
        </w:rPr>
        <w:t>Adultos mayores de 80 años y/o Frágile</w:t>
      </w:r>
      <w:r w:rsidRPr="003F3F26">
        <w:rPr>
          <w:rFonts w:asciiTheme="majorHAnsi" w:hAnsiTheme="majorHAnsi" w:cstheme="majorHAnsi"/>
          <w:sz w:val="24"/>
          <w:szCs w:val="24"/>
          <w:lang w:val="es-CO"/>
        </w:rPr>
        <w:t xml:space="preserve">s (por escala FRAIL) </w:t>
      </w:r>
      <w:r w:rsidRPr="003F3F26">
        <w:rPr>
          <w:rFonts w:asciiTheme="majorHAnsi" w:hAnsiTheme="majorHAnsi" w:cstheme="majorHAnsi"/>
          <w:sz w:val="24"/>
          <w:szCs w:val="24"/>
          <w:lang w:val="es-MX"/>
        </w:rPr>
        <w:t xml:space="preserve">→ iniciar tratamiento farmacológico con MONOTERAPIA. </w:t>
      </w:r>
    </w:p>
    <w:p w14:paraId="0E7D3222" w14:textId="6CC004C3" w:rsidR="008B21A1" w:rsidRPr="008B21A1" w:rsidRDefault="008B21A1" w:rsidP="008B21A1">
      <w:pPr>
        <w:pStyle w:val="NormalWeb"/>
        <w:jc w:val="both"/>
        <w:rPr>
          <w:rFonts w:asciiTheme="majorHAnsi" w:hAnsiTheme="majorHAnsi" w:cstheme="majorHAnsi"/>
        </w:rPr>
      </w:pPr>
      <w:r w:rsidRPr="008B21A1">
        <w:rPr>
          <w:rFonts w:asciiTheme="majorHAnsi" w:hAnsiTheme="majorHAnsi" w:cstheme="majorHAnsi"/>
          <w:b/>
          <w:bCs/>
          <w:u w:val="single"/>
        </w:rPr>
        <w:t>Adaptación institucional</w:t>
      </w:r>
      <w:r w:rsidRPr="008B21A1">
        <w:rPr>
          <w:rFonts w:asciiTheme="majorHAnsi" w:hAnsiTheme="majorHAnsi" w:cstheme="majorHAnsi"/>
        </w:rPr>
        <w:t>: Se puede iniciar tratamiento antihipertensivo con cualquiera de los grupos farmacológicos de primera línea disponibles; sin embargo, la selección del medicamento debe individualizarse según el perfil clínico del paciente, sus comorbilidades, factores de riesgo cardiovascular, edad, función renal, tolerancia previa y posibles interacciones medicamentosas.</w:t>
      </w:r>
    </w:p>
    <w:p w14:paraId="73F8E80A" w14:textId="77777777" w:rsidR="008B21A1" w:rsidRDefault="008B21A1" w:rsidP="008B21A1">
      <w:pPr>
        <w:pStyle w:val="NormalWeb"/>
        <w:jc w:val="both"/>
        <w:rPr>
          <w:rFonts w:asciiTheme="minorHAnsi" w:hAnsiTheme="minorHAnsi" w:cstheme="minorHAnsi"/>
        </w:rPr>
      </w:pPr>
      <w:r w:rsidRPr="008B21A1">
        <w:rPr>
          <w:rFonts w:asciiTheme="majorHAnsi" w:hAnsiTheme="majorHAnsi" w:cstheme="majorHAnsi"/>
        </w:rPr>
        <w:t>Es fundamental considerar las contraindicaciones absolutas y relativas de cada grupo farmacológico, así como su perfil de seguridad y efectos adversos, con el fin de optimizar la eficacia terapéutica y minimizar riesgos. La elección debe orientarse hacia el fármaco que ofrezca mayor beneficio clínico en el contexto específico del paciente</w:t>
      </w:r>
      <w:r w:rsidRPr="008B21A1">
        <w:rPr>
          <w:rFonts w:asciiTheme="minorHAnsi" w:hAnsiTheme="minorHAnsi" w:cstheme="minorHAnsi"/>
        </w:rPr>
        <w:t>.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690"/>
        <w:gridCol w:w="1593"/>
        <w:gridCol w:w="1221"/>
        <w:gridCol w:w="1134"/>
        <w:gridCol w:w="957"/>
        <w:gridCol w:w="2472"/>
      </w:tblGrid>
      <w:tr w:rsidR="004B7395" w:rsidRPr="004B7395" w14:paraId="0C580225" w14:textId="77777777" w:rsidTr="004B7395">
        <w:tc>
          <w:tcPr>
            <w:tcW w:w="1690" w:type="dxa"/>
            <w:shd w:val="clear" w:color="auto" w:fill="DEEAF6" w:themeFill="accent5" w:themeFillTint="33"/>
            <w:hideMark/>
          </w:tcPr>
          <w:p w14:paraId="49979EC3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Clase</w:t>
            </w:r>
          </w:p>
        </w:tc>
        <w:tc>
          <w:tcPr>
            <w:tcW w:w="1593" w:type="dxa"/>
            <w:shd w:val="clear" w:color="auto" w:fill="DEEAF6" w:themeFill="accent5" w:themeFillTint="33"/>
            <w:hideMark/>
          </w:tcPr>
          <w:p w14:paraId="58B26F16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Fármaco</w:t>
            </w:r>
          </w:p>
        </w:tc>
        <w:tc>
          <w:tcPr>
            <w:tcW w:w="1221" w:type="dxa"/>
            <w:shd w:val="clear" w:color="auto" w:fill="DEEAF6" w:themeFill="accent5" w:themeFillTint="33"/>
            <w:hideMark/>
          </w:tcPr>
          <w:p w14:paraId="505C8D70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Dosis usual</w:t>
            </w:r>
          </w:p>
        </w:tc>
        <w:tc>
          <w:tcPr>
            <w:tcW w:w="1134" w:type="dxa"/>
            <w:shd w:val="clear" w:color="auto" w:fill="DEEAF6" w:themeFill="accent5" w:themeFillTint="33"/>
            <w:hideMark/>
          </w:tcPr>
          <w:p w14:paraId="09AAD17D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Dosis máxima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9336D0B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Dosis/día</w:t>
            </w:r>
          </w:p>
        </w:tc>
        <w:tc>
          <w:tcPr>
            <w:tcW w:w="2472" w:type="dxa"/>
            <w:shd w:val="clear" w:color="auto" w:fill="DEEAF6" w:themeFill="accent5" w:themeFillTint="33"/>
            <w:hideMark/>
          </w:tcPr>
          <w:p w14:paraId="44EB2785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Efectos secundarios frecuentes</w:t>
            </w:r>
          </w:p>
        </w:tc>
      </w:tr>
      <w:tr w:rsidR="004B7395" w:rsidRPr="004B7395" w14:paraId="2175500D" w14:textId="77777777" w:rsidTr="004B7395">
        <w:tc>
          <w:tcPr>
            <w:tcW w:w="1690" w:type="dxa"/>
            <w:vMerge w:val="restart"/>
            <w:hideMark/>
          </w:tcPr>
          <w:p w14:paraId="2756FD57" w14:textId="3AA2FD52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Tiazídicos</w:t>
            </w:r>
          </w:p>
        </w:tc>
        <w:tc>
          <w:tcPr>
            <w:tcW w:w="1593" w:type="dxa"/>
            <w:hideMark/>
          </w:tcPr>
          <w:p w14:paraId="4F41B969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Clortalidona</w:t>
            </w:r>
          </w:p>
        </w:tc>
        <w:tc>
          <w:tcPr>
            <w:tcW w:w="1221" w:type="dxa"/>
            <w:hideMark/>
          </w:tcPr>
          <w:p w14:paraId="2772E3F0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12.5 mg</w:t>
            </w:r>
          </w:p>
        </w:tc>
        <w:tc>
          <w:tcPr>
            <w:tcW w:w="1134" w:type="dxa"/>
            <w:hideMark/>
          </w:tcPr>
          <w:p w14:paraId="7D9F2C26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25 mg</w:t>
            </w:r>
          </w:p>
        </w:tc>
        <w:tc>
          <w:tcPr>
            <w:tcW w:w="0" w:type="auto"/>
            <w:hideMark/>
          </w:tcPr>
          <w:p w14:paraId="5E6DB653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31F8663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Hipokalemia, hiponatremia, hiperuricemia, hipotensión</w:t>
            </w:r>
          </w:p>
        </w:tc>
      </w:tr>
      <w:tr w:rsidR="004B7395" w:rsidRPr="004B7395" w14:paraId="139DCFE4" w14:textId="77777777" w:rsidTr="004B7395">
        <w:tc>
          <w:tcPr>
            <w:tcW w:w="1690" w:type="dxa"/>
            <w:vMerge/>
            <w:hideMark/>
          </w:tcPr>
          <w:p w14:paraId="2C8CCBEE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30782EB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Hidroclorotiazida</w:t>
            </w:r>
          </w:p>
        </w:tc>
        <w:tc>
          <w:tcPr>
            <w:tcW w:w="1221" w:type="dxa"/>
            <w:hideMark/>
          </w:tcPr>
          <w:p w14:paraId="0DA43636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25 mg</w:t>
            </w:r>
          </w:p>
        </w:tc>
        <w:tc>
          <w:tcPr>
            <w:tcW w:w="1134" w:type="dxa"/>
            <w:hideMark/>
          </w:tcPr>
          <w:p w14:paraId="6FC07D65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50 mg</w:t>
            </w:r>
          </w:p>
        </w:tc>
        <w:tc>
          <w:tcPr>
            <w:tcW w:w="0" w:type="auto"/>
            <w:hideMark/>
          </w:tcPr>
          <w:p w14:paraId="46978C58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3EEFE12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Hipokalemia, hiperglucemia leve, hiperuricemia</w:t>
            </w:r>
          </w:p>
        </w:tc>
      </w:tr>
      <w:tr w:rsidR="004B7395" w:rsidRPr="004B7395" w14:paraId="7C484C24" w14:textId="77777777" w:rsidTr="004B7395">
        <w:tc>
          <w:tcPr>
            <w:tcW w:w="1690" w:type="dxa"/>
            <w:vMerge/>
            <w:hideMark/>
          </w:tcPr>
          <w:p w14:paraId="283D2A2F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4D88041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Indapamida</w:t>
            </w:r>
          </w:p>
        </w:tc>
        <w:tc>
          <w:tcPr>
            <w:tcW w:w="1221" w:type="dxa"/>
            <w:hideMark/>
          </w:tcPr>
          <w:p w14:paraId="76110CD0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1.25 mg</w:t>
            </w:r>
          </w:p>
        </w:tc>
        <w:tc>
          <w:tcPr>
            <w:tcW w:w="1134" w:type="dxa"/>
            <w:hideMark/>
          </w:tcPr>
          <w:p w14:paraId="0725857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2.5 mg</w:t>
            </w:r>
          </w:p>
        </w:tc>
        <w:tc>
          <w:tcPr>
            <w:tcW w:w="0" w:type="auto"/>
            <w:hideMark/>
          </w:tcPr>
          <w:p w14:paraId="457D1FE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6C3D0727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Hipokalemia, mareo, deshidratación</w:t>
            </w:r>
          </w:p>
        </w:tc>
      </w:tr>
      <w:tr w:rsidR="004B7395" w:rsidRPr="004B7395" w14:paraId="4E069FBA" w14:textId="77777777" w:rsidTr="004B7395">
        <w:tc>
          <w:tcPr>
            <w:tcW w:w="1690" w:type="dxa"/>
            <w:vMerge w:val="restart"/>
            <w:hideMark/>
          </w:tcPr>
          <w:p w14:paraId="0B30E7A9" w14:textId="4C74799D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Antagonistas de aldosterona</w:t>
            </w:r>
          </w:p>
        </w:tc>
        <w:tc>
          <w:tcPr>
            <w:tcW w:w="1593" w:type="dxa"/>
            <w:hideMark/>
          </w:tcPr>
          <w:p w14:paraId="6E3401D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Espironolactona</w:t>
            </w:r>
          </w:p>
        </w:tc>
        <w:tc>
          <w:tcPr>
            <w:tcW w:w="1221" w:type="dxa"/>
            <w:hideMark/>
          </w:tcPr>
          <w:p w14:paraId="5C370E23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25 mg</w:t>
            </w:r>
          </w:p>
        </w:tc>
        <w:tc>
          <w:tcPr>
            <w:tcW w:w="1134" w:type="dxa"/>
            <w:hideMark/>
          </w:tcPr>
          <w:p w14:paraId="472632C0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100 mg</w:t>
            </w:r>
          </w:p>
        </w:tc>
        <w:tc>
          <w:tcPr>
            <w:tcW w:w="0" w:type="auto"/>
            <w:hideMark/>
          </w:tcPr>
          <w:p w14:paraId="1F75C805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04871A3F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Hiperpotasemia, ginecomastia, irregularidad menstrual</w:t>
            </w:r>
          </w:p>
        </w:tc>
      </w:tr>
      <w:tr w:rsidR="004B7395" w:rsidRPr="004B7395" w14:paraId="104A542A" w14:textId="77777777" w:rsidTr="004B7395">
        <w:tc>
          <w:tcPr>
            <w:tcW w:w="1690" w:type="dxa"/>
            <w:vMerge/>
            <w:hideMark/>
          </w:tcPr>
          <w:p w14:paraId="6F2A8F4A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4EC7F93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proofErr w:type="spellStart"/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Eplerenona</w:t>
            </w:r>
            <w:proofErr w:type="spellEnd"/>
          </w:p>
        </w:tc>
        <w:tc>
          <w:tcPr>
            <w:tcW w:w="1221" w:type="dxa"/>
            <w:hideMark/>
          </w:tcPr>
          <w:p w14:paraId="68B0FCE9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50 mg</w:t>
            </w:r>
          </w:p>
        </w:tc>
        <w:tc>
          <w:tcPr>
            <w:tcW w:w="1134" w:type="dxa"/>
            <w:hideMark/>
          </w:tcPr>
          <w:p w14:paraId="68E3647D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100 mg</w:t>
            </w:r>
          </w:p>
        </w:tc>
        <w:tc>
          <w:tcPr>
            <w:tcW w:w="0" w:type="auto"/>
            <w:hideMark/>
          </w:tcPr>
          <w:p w14:paraId="7692F430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1–2</w:t>
            </w:r>
          </w:p>
        </w:tc>
        <w:tc>
          <w:tcPr>
            <w:tcW w:w="2472" w:type="dxa"/>
            <w:hideMark/>
          </w:tcPr>
          <w:p w14:paraId="7EAEBB09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Hiperpotasemia, menos efectos hormonales</w:t>
            </w:r>
          </w:p>
        </w:tc>
      </w:tr>
      <w:tr w:rsidR="004B7395" w:rsidRPr="004B7395" w14:paraId="7287A1FD" w14:textId="77777777" w:rsidTr="004B7395">
        <w:tc>
          <w:tcPr>
            <w:tcW w:w="1690" w:type="dxa"/>
            <w:vMerge w:val="restart"/>
            <w:hideMark/>
          </w:tcPr>
          <w:p w14:paraId="0E8B8788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Diuréticos de asa</w:t>
            </w:r>
          </w:p>
        </w:tc>
        <w:tc>
          <w:tcPr>
            <w:tcW w:w="1593" w:type="dxa"/>
            <w:hideMark/>
          </w:tcPr>
          <w:p w14:paraId="19DB2FB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Bumetanida</w:t>
            </w:r>
          </w:p>
        </w:tc>
        <w:tc>
          <w:tcPr>
            <w:tcW w:w="1221" w:type="dxa"/>
            <w:hideMark/>
          </w:tcPr>
          <w:p w14:paraId="08C1777D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0.5 mg</w:t>
            </w:r>
          </w:p>
        </w:tc>
        <w:tc>
          <w:tcPr>
            <w:tcW w:w="1134" w:type="dxa"/>
            <w:hideMark/>
          </w:tcPr>
          <w:p w14:paraId="0111B641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 mg</w:t>
            </w:r>
          </w:p>
        </w:tc>
        <w:tc>
          <w:tcPr>
            <w:tcW w:w="0" w:type="auto"/>
            <w:hideMark/>
          </w:tcPr>
          <w:p w14:paraId="1F8985CD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1–2</w:t>
            </w:r>
          </w:p>
        </w:tc>
        <w:tc>
          <w:tcPr>
            <w:tcW w:w="2472" w:type="dxa"/>
            <w:hideMark/>
          </w:tcPr>
          <w:p w14:paraId="79DEC710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Hipokalemia, deshidratación, hipotensión</w:t>
            </w:r>
          </w:p>
        </w:tc>
      </w:tr>
      <w:tr w:rsidR="004B7395" w:rsidRPr="00A43984" w14:paraId="2A36CCAF" w14:textId="77777777" w:rsidTr="004B7395">
        <w:tc>
          <w:tcPr>
            <w:tcW w:w="1690" w:type="dxa"/>
            <w:vMerge/>
            <w:hideMark/>
          </w:tcPr>
          <w:p w14:paraId="585E622B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37E8DDD1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Furosemida</w:t>
            </w:r>
          </w:p>
        </w:tc>
        <w:tc>
          <w:tcPr>
            <w:tcW w:w="1221" w:type="dxa"/>
            <w:hideMark/>
          </w:tcPr>
          <w:p w14:paraId="7B927EB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20 mg</w:t>
            </w:r>
          </w:p>
        </w:tc>
        <w:tc>
          <w:tcPr>
            <w:tcW w:w="1134" w:type="dxa"/>
            <w:hideMark/>
          </w:tcPr>
          <w:p w14:paraId="3E14A3AD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80 mg</w:t>
            </w:r>
          </w:p>
        </w:tc>
        <w:tc>
          <w:tcPr>
            <w:tcW w:w="0" w:type="auto"/>
            <w:hideMark/>
          </w:tcPr>
          <w:p w14:paraId="38D7F24C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1–2</w:t>
            </w:r>
          </w:p>
        </w:tc>
        <w:tc>
          <w:tcPr>
            <w:tcW w:w="2472" w:type="dxa"/>
            <w:hideMark/>
          </w:tcPr>
          <w:p w14:paraId="4F772E4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Hipokalemia, hipovolemia, ototoxicidad (altas dosis)</w:t>
            </w:r>
          </w:p>
        </w:tc>
      </w:tr>
      <w:tr w:rsidR="004B7395" w:rsidRPr="004B7395" w14:paraId="3E444B5A" w14:textId="77777777" w:rsidTr="004B7395">
        <w:tc>
          <w:tcPr>
            <w:tcW w:w="1690" w:type="dxa"/>
            <w:vMerge w:val="restart"/>
            <w:hideMark/>
          </w:tcPr>
          <w:p w14:paraId="13571138" w14:textId="7D72E60A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Calcios antagonistas (BCC)</w:t>
            </w:r>
          </w:p>
        </w:tc>
        <w:tc>
          <w:tcPr>
            <w:tcW w:w="1593" w:type="dxa"/>
            <w:hideMark/>
          </w:tcPr>
          <w:p w14:paraId="0E3C5B4D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Amlodipino</w:t>
            </w:r>
          </w:p>
        </w:tc>
        <w:tc>
          <w:tcPr>
            <w:tcW w:w="1221" w:type="dxa"/>
            <w:hideMark/>
          </w:tcPr>
          <w:p w14:paraId="3C87572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2.5 mg</w:t>
            </w:r>
          </w:p>
        </w:tc>
        <w:tc>
          <w:tcPr>
            <w:tcW w:w="1134" w:type="dxa"/>
            <w:hideMark/>
          </w:tcPr>
          <w:p w14:paraId="2F27B6F5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10 mg</w:t>
            </w:r>
          </w:p>
        </w:tc>
        <w:tc>
          <w:tcPr>
            <w:tcW w:w="0" w:type="auto"/>
            <w:hideMark/>
          </w:tcPr>
          <w:p w14:paraId="21A2A089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76F55ED7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Edema maleolar, cefalea, rubor</w:t>
            </w:r>
          </w:p>
        </w:tc>
      </w:tr>
      <w:tr w:rsidR="004B7395" w:rsidRPr="004B7395" w14:paraId="5528F8D0" w14:textId="77777777" w:rsidTr="004B7395">
        <w:tc>
          <w:tcPr>
            <w:tcW w:w="1690" w:type="dxa"/>
            <w:vMerge/>
            <w:hideMark/>
          </w:tcPr>
          <w:p w14:paraId="55A86F58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39C46247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Nifedipino LP</w:t>
            </w:r>
          </w:p>
        </w:tc>
        <w:tc>
          <w:tcPr>
            <w:tcW w:w="1221" w:type="dxa"/>
            <w:hideMark/>
          </w:tcPr>
          <w:p w14:paraId="3DFB196E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30 mg</w:t>
            </w:r>
          </w:p>
        </w:tc>
        <w:tc>
          <w:tcPr>
            <w:tcW w:w="1134" w:type="dxa"/>
            <w:hideMark/>
          </w:tcPr>
          <w:p w14:paraId="650B706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90 mg</w:t>
            </w:r>
          </w:p>
        </w:tc>
        <w:tc>
          <w:tcPr>
            <w:tcW w:w="0" w:type="auto"/>
            <w:hideMark/>
          </w:tcPr>
          <w:p w14:paraId="02E4A273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1838C6A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Edema periférico, rubor, taquicardia</w:t>
            </w:r>
          </w:p>
        </w:tc>
      </w:tr>
      <w:tr w:rsidR="004B7395" w:rsidRPr="004B7395" w14:paraId="0BE50695" w14:textId="77777777" w:rsidTr="004B7395">
        <w:tc>
          <w:tcPr>
            <w:tcW w:w="1690" w:type="dxa"/>
            <w:vMerge w:val="restart"/>
            <w:hideMark/>
          </w:tcPr>
          <w:p w14:paraId="1FDE2ABE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IECA</w:t>
            </w:r>
          </w:p>
        </w:tc>
        <w:tc>
          <w:tcPr>
            <w:tcW w:w="1593" w:type="dxa"/>
            <w:hideMark/>
          </w:tcPr>
          <w:p w14:paraId="291A731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Enalapril</w:t>
            </w:r>
          </w:p>
        </w:tc>
        <w:tc>
          <w:tcPr>
            <w:tcW w:w="1221" w:type="dxa"/>
            <w:hideMark/>
          </w:tcPr>
          <w:p w14:paraId="76BD4E48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5 mg</w:t>
            </w:r>
          </w:p>
        </w:tc>
        <w:tc>
          <w:tcPr>
            <w:tcW w:w="1134" w:type="dxa"/>
            <w:hideMark/>
          </w:tcPr>
          <w:p w14:paraId="57710AB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40 mg</w:t>
            </w:r>
          </w:p>
        </w:tc>
        <w:tc>
          <w:tcPr>
            <w:tcW w:w="0" w:type="auto"/>
            <w:hideMark/>
          </w:tcPr>
          <w:p w14:paraId="26B4809F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1–2</w:t>
            </w:r>
          </w:p>
        </w:tc>
        <w:tc>
          <w:tcPr>
            <w:tcW w:w="2472" w:type="dxa"/>
            <w:hideMark/>
          </w:tcPr>
          <w:p w14:paraId="75B7167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Tos seca, hiperpotasemia, ↑ creatinina</w:t>
            </w:r>
          </w:p>
        </w:tc>
      </w:tr>
      <w:tr w:rsidR="004B7395" w:rsidRPr="00A43984" w14:paraId="1835C2E7" w14:textId="77777777" w:rsidTr="004B7395">
        <w:tc>
          <w:tcPr>
            <w:tcW w:w="1690" w:type="dxa"/>
            <w:vMerge/>
            <w:hideMark/>
          </w:tcPr>
          <w:p w14:paraId="6C3A3CA5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113580D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Captopril</w:t>
            </w:r>
          </w:p>
        </w:tc>
        <w:tc>
          <w:tcPr>
            <w:tcW w:w="1221" w:type="dxa"/>
            <w:hideMark/>
          </w:tcPr>
          <w:p w14:paraId="4C9BF44C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12.5 mg</w:t>
            </w:r>
          </w:p>
        </w:tc>
        <w:tc>
          <w:tcPr>
            <w:tcW w:w="1134" w:type="dxa"/>
            <w:hideMark/>
          </w:tcPr>
          <w:p w14:paraId="15F7D2B1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150 mg</w:t>
            </w:r>
          </w:p>
        </w:tc>
        <w:tc>
          <w:tcPr>
            <w:tcW w:w="0" w:type="auto"/>
            <w:hideMark/>
          </w:tcPr>
          <w:p w14:paraId="5F5A83ED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2–3</w:t>
            </w:r>
          </w:p>
        </w:tc>
        <w:tc>
          <w:tcPr>
            <w:tcW w:w="2472" w:type="dxa"/>
            <w:hideMark/>
          </w:tcPr>
          <w:p w14:paraId="2E83FAB5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 xml:space="preserve">Tos, </w:t>
            </w:r>
            <w:proofErr w:type="spellStart"/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rash</w:t>
            </w:r>
            <w:proofErr w:type="spellEnd"/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, alteración del gusto</w:t>
            </w:r>
          </w:p>
        </w:tc>
      </w:tr>
      <w:tr w:rsidR="004B7395" w:rsidRPr="004B7395" w14:paraId="47FE7290" w14:textId="77777777" w:rsidTr="004B7395">
        <w:tc>
          <w:tcPr>
            <w:tcW w:w="1690" w:type="dxa"/>
            <w:vMerge/>
            <w:hideMark/>
          </w:tcPr>
          <w:p w14:paraId="316ACE58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697AC0A3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Lisinopril</w:t>
            </w:r>
          </w:p>
        </w:tc>
        <w:tc>
          <w:tcPr>
            <w:tcW w:w="1221" w:type="dxa"/>
            <w:hideMark/>
          </w:tcPr>
          <w:p w14:paraId="253D0FAC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10 mg</w:t>
            </w:r>
          </w:p>
        </w:tc>
        <w:tc>
          <w:tcPr>
            <w:tcW w:w="1134" w:type="dxa"/>
            <w:hideMark/>
          </w:tcPr>
          <w:p w14:paraId="328F06E3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40 mg</w:t>
            </w:r>
          </w:p>
        </w:tc>
        <w:tc>
          <w:tcPr>
            <w:tcW w:w="0" w:type="auto"/>
            <w:hideMark/>
          </w:tcPr>
          <w:p w14:paraId="3407FE4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404B6CE2" w14:textId="77777777" w:rsid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Tos seca, hiperpotasemia</w:t>
            </w:r>
          </w:p>
          <w:p w14:paraId="31B35631" w14:textId="7BBDED74" w:rsidR="008B21A1" w:rsidRPr="004B7395" w:rsidRDefault="008B21A1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</w:tr>
      <w:tr w:rsidR="004B7395" w:rsidRPr="004B7395" w14:paraId="33C152F3" w14:textId="77777777" w:rsidTr="004B7395">
        <w:tc>
          <w:tcPr>
            <w:tcW w:w="1690" w:type="dxa"/>
            <w:vMerge w:val="restart"/>
            <w:hideMark/>
          </w:tcPr>
          <w:p w14:paraId="077DD336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ARA II</w:t>
            </w:r>
          </w:p>
        </w:tc>
        <w:tc>
          <w:tcPr>
            <w:tcW w:w="1593" w:type="dxa"/>
            <w:hideMark/>
          </w:tcPr>
          <w:p w14:paraId="011C6A61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Losartán</w:t>
            </w:r>
          </w:p>
        </w:tc>
        <w:tc>
          <w:tcPr>
            <w:tcW w:w="1221" w:type="dxa"/>
            <w:hideMark/>
          </w:tcPr>
          <w:p w14:paraId="3A29C1B6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50 mg</w:t>
            </w:r>
          </w:p>
        </w:tc>
        <w:tc>
          <w:tcPr>
            <w:tcW w:w="1134" w:type="dxa"/>
            <w:hideMark/>
          </w:tcPr>
          <w:p w14:paraId="6EF93EF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100 mg</w:t>
            </w:r>
          </w:p>
        </w:tc>
        <w:tc>
          <w:tcPr>
            <w:tcW w:w="0" w:type="auto"/>
            <w:hideMark/>
          </w:tcPr>
          <w:p w14:paraId="6AF1FCA5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1–2</w:t>
            </w:r>
          </w:p>
        </w:tc>
        <w:tc>
          <w:tcPr>
            <w:tcW w:w="2472" w:type="dxa"/>
            <w:hideMark/>
          </w:tcPr>
          <w:p w14:paraId="607641A5" w14:textId="2284CFA6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Hiperpotasemi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a</w:t>
            </w:r>
          </w:p>
        </w:tc>
      </w:tr>
      <w:tr w:rsidR="004B7395" w:rsidRPr="004B7395" w14:paraId="56C2EABF" w14:textId="77777777" w:rsidTr="004B7395">
        <w:tc>
          <w:tcPr>
            <w:tcW w:w="1690" w:type="dxa"/>
            <w:vMerge/>
            <w:hideMark/>
          </w:tcPr>
          <w:p w14:paraId="1A97FF5C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542C200C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Valsartán</w:t>
            </w:r>
          </w:p>
        </w:tc>
        <w:tc>
          <w:tcPr>
            <w:tcW w:w="1221" w:type="dxa"/>
            <w:hideMark/>
          </w:tcPr>
          <w:p w14:paraId="3BD64BF8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80 mg</w:t>
            </w:r>
          </w:p>
        </w:tc>
        <w:tc>
          <w:tcPr>
            <w:tcW w:w="1134" w:type="dxa"/>
            <w:hideMark/>
          </w:tcPr>
          <w:p w14:paraId="272D3A3E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320 mg</w:t>
            </w:r>
          </w:p>
        </w:tc>
        <w:tc>
          <w:tcPr>
            <w:tcW w:w="0" w:type="auto"/>
            <w:hideMark/>
          </w:tcPr>
          <w:p w14:paraId="0D202B80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26319236" w14:textId="60F70283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Hiperpotasemia</w:t>
            </w:r>
          </w:p>
        </w:tc>
      </w:tr>
      <w:tr w:rsidR="004B7395" w:rsidRPr="004B7395" w14:paraId="3860474D" w14:textId="77777777" w:rsidTr="004B7395">
        <w:tc>
          <w:tcPr>
            <w:tcW w:w="1690" w:type="dxa"/>
            <w:vMerge/>
            <w:hideMark/>
          </w:tcPr>
          <w:p w14:paraId="0EB48605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3E861F1F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Candesartán</w:t>
            </w:r>
          </w:p>
        </w:tc>
        <w:tc>
          <w:tcPr>
            <w:tcW w:w="1221" w:type="dxa"/>
            <w:hideMark/>
          </w:tcPr>
          <w:p w14:paraId="3A64AFA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8 mg</w:t>
            </w:r>
          </w:p>
        </w:tc>
        <w:tc>
          <w:tcPr>
            <w:tcW w:w="1134" w:type="dxa"/>
            <w:hideMark/>
          </w:tcPr>
          <w:p w14:paraId="43B410EE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32 mg</w:t>
            </w:r>
          </w:p>
        </w:tc>
        <w:tc>
          <w:tcPr>
            <w:tcW w:w="0" w:type="auto"/>
            <w:hideMark/>
          </w:tcPr>
          <w:p w14:paraId="6DFA642F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39E2443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Hiperpotasemia</w:t>
            </w:r>
          </w:p>
        </w:tc>
      </w:tr>
      <w:tr w:rsidR="004B7395" w:rsidRPr="004B7395" w14:paraId="49A0A4A6" w14:textId="77777777" w:rsidTr="004B7395">
        <w:tc>
          <w:tcPr>
            <w:tcW w:w="1690" w:type="dxa"/>
            <w:vMerge/>
            <w:hideMark/>
          </w:tcPr>
          <w:p w14:paraId="609C33D5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637D4A91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Irbesartán</w:t>
            </w:r>
          </w:p>
        </w:tc>
        <w:tc>
          <w:tcPr>
            <w:tcW w:w="1221" w:type="dxa"/>
            <w:hideMark/>
          </w:tcPr>
          <w:p w14:paraId="58A294DC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150 mg</w:t>
            </w:r>
          </w:p>
        </w:tc>
        <w:tc>
          <w:tcPr>
            <w:tcW w:w="1134" w:type="dxa"/>
            <w:hideMark/>
          </w:tcPr>
          <w:p w14:paraId="7035A33F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300 mg</w:t>
            </w:r>
          </w:p>
        </w:tc>
        <w:tc>
          <w:tcPr>
            <w:tcW w:w="0" w:type="auto"/>
            <w:hideMark/>
          </w:tcPr>
          <w:p w14:paraId="54C4943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14778E7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Hiperpotasemia</w:t>
            </w:r>
          </w:p>
        </w:tc>
      </w:tr>
      <w:tr w:rsidR="004B7395" w:rsidRPr="004B7395" w14:paraId="2DEF0573" w14:textId="77777777" w:rsidTr="004B7395">
        <w:tc>
          <w:tcPr>
            <w:tcW w:w="1690" w:type="dxa"/>
            <w:vMerge/>
            <w:hideMark/>
          </w:tcPr>
          <w:p w14:paraId="32D94A19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54FC7A19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Telmisartán</w:t>
            </w:r>
          </w:p>
        </w:tc>
        <w:tc>
          <w:tcPr>
            <w:tcW w:w="1221" w:type="dxa"/>
            <w:hideMark/>
          </w:tcPr>
          <w:p w14:paraId="74E4E2D3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20 mg</w:t>
            </w:r>
          </w:p>
        </w:tc>
        <w:tc>
          <w:tcPr>
            <w:tcW w:w="1134" w:type="dxa"/>
            <w:hideMark/>
          </w:tcPr>
          <w:p w14:paraId="0BDEBF60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80 mg</w:t>
            </w:r>
          </w:p>
        </w:tc>
        <w:tc>
          <w:tcPr>
            <w:tcW w:w="0" w:type="auto"/>
            <w:hideMark/>
          </w:tcPr>
          <w:p w14:paraId="7B609020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42861C0D" w14:textId="24C26390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</w:t>
            </w: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iperpotasemia</w:t>
            </w:r>
          </w:p>
        </w:tc>
      </w:tr>
      <w:tr w:rsidR="004B7395" w:rsidRPr="004B7395" w14:paraId="23C72FFF" w14:textId="77777777" w:rsidTr="004B7395">
        <w:tc>
          <w:tcPr>
            <w:tcW w:w="1690" w:type="dxa"/>
            <w:vMerge/>
            <w:hideMark/>
          </w:tcPr>
          <w:p w14:paraId="45B0E7BE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2EB72B2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Olmesartán</w:t>
            </w:r>
          </w:p>
        </w:tc>
        <w:tc>
          <w:tcPr>
            <w:tcW w:w="1221" w:type="dxa"/>
            <w:hideMark/>
          </w:tcPr>
          <w:p w14:paraId="43FE794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20 mg</w:t>
            </w:r>
          </w:p>
        </w:tc>
        <w:tc>
          <w:tcPr>
            <w:tcW w:w="1134" w:type="dxa"/>
            <w:hideMark/>
          </w:tcPr>
          <w:p w14:paraId="147FDFB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40 mg</w:t>
            </w:r>
          </w:p>
        </w:tc>
        <w:tc>
          <w:tcPr>
            <w:tcW w:w="0" w:type="auto"/>
            <w:hideMark/>
          </w:tcPr>
          <w:p w14:paraId="08B6C63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66DF68DF" w14:textId="18A84B04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D</w:t>
            </w: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iarrea rara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*</w:t>
            </w:r>
          </w:p>
        </w:tc>
      </w:tr>
      <w:tr w:rsidR="004B7395" w:rsidRPr="004B7395" w14:paraId="10F34E3A" w14:textId="77777777" w:rsidTr="004B7395">
        <w:tc>
          <w:tcPr>
            <w:tcW w:w="1690" w:type="dxa"/>
            <w:vMerge w:val="restart"/>
            <w:hideMark/>
          </w:tcPr>
          <w:p w14:paraId="2B88FC37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proofErr w:type="spellStart"/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Betabloqueadores</w:t>
            </w:r>
            <w:proofErr w:type="spellEnd"/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cardioselectivos</w:t>
            </w:r>
            <w:proofErr w:type="spellEnd"/>
          </w:p>
        </w:tc>
        <w:tc>
          <w:tcPr>
            <w:tcW w:w="1593" w:type="dxa"/>
            <w:hideMark/>
          </w:tcPr>
          <w:p w14:paraId="414094C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Bisoprolol</w:t>
            </w:r>
          </w:p>
        </w:tc>
        <w:tc>
          <w:tcPr>
            <w:tcW w:w="1221" w:type="dxa"/>
            <w:hideMark/>
          </w:tcPr>
          <w:p w14:paraId="6597BAF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2.5 mg</w:t>
            </w:r>
          </w:p>
        </w:tc>
        <w:tc>
          <w:tcPr>
            <w:tcW w:w="1134" w:type="dxa"/>
            <w:hideMark/>
          </w:tcPr>
          <w:p w14:paraId="08EC12BD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10 mg</w:t>
            </w:r>
          </w:p>
        </w:tc>
        <w:tc>
          <w:tcPr>
            <w:tcW w:w="0" w:type="auto"/>
            <w:hideMark/>
          </w:tcPr>
          <w:p w14:paraId="639785F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46FA71F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Bradicardia, fatiga</w:t>
            </w:r>
          </w:p>
        </w:tc>
      </w:tr>
      <w:tr w:rsidR="004B7395" w:rsidRPr="004B7395" w14:paraId="56B0DD1C" w14:textId="77777777" w:rsidTr="004B7395">
        <w:tc>
          <w:tcPr>
            <w:tcW w:w="1690" w:type="dxa"/>
            <w:vMerge/>
            <w:hideMark/>
          </w:tcPr>
          <w:p w14:paraId="610CC8B5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427CA617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Metoprolol tartrato</w:t>
            </w:r>
          </w:p>
        </w:tc>
        <w:tc>
          <w:tcPr>
            <w:tcW w:w="1221" w:type="dxa"/>
            <w:hideMark/>
          </w:tcPr>
          <w:p w14:paraId="42FC8E2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100 mg</w:t>
            </w:r>
          </w:p>
        </w:tc>
        <w:tc>
          <w:tcPr>
            <w:tcW w:w="1134" w:type="dxa"/>
            <w:hideMark/>
          </w:tcPr>
          <w:p w14:paraId="6DE576A8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200 mg</w:t>
            </w:r>
          </w:p>
        </w:tc>
        <w:tc>
          <w:tcPr>
            <w:tcW w:w="0" w:type="auto"/>
            <w:hideMark/>
          </w:tcPr>
          <w:p w14:paraId="1705EFBD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2472" w:type="dxa"/>
            <w:hideMark/>
          </w:tcPr>
          <w:p w14:paraId="59CADDEE" w14:textId="77FC1E58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Bradicardia</w:t>
            </w:r>
          </w:p>
        </w:tc>
      </w:tr>
      <w:tr w:rsidR="004B7395" w:rsidRPr="004B7395" w14:paraId="62839EB3" w14:textId="77777777" w:rsidTr="004B7395">
        <w:tc>
          <w:tcPr>
            <w:tcW w:w="1690" w:type="dxa"/>
            <w:vMerge/>
            <w:hideMark/>
          </w:tcPr>
          <w:p w14:paraId="5A1F595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7FB3DE4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Metoprolol succinato</w:t>
            </w:r>
          </w:p>
        </w:tc>
        <w:tc>
          <w:tcPr>
            <w:tcW w:w="1221" w:type="dxa"/>
            <w:hideMark/>
          </w:tcPr>
          <w:p w14:paraId="326280E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50 mg</w:t>
            </w:r>
          </w:p>
        </w:tc>
        <w:tc>
          <w:tcPr>
            <w:tcW w:w="1134" w:type="dxa"/>
            <w:hideMark/>
          </w:tcPr>
          <w:p w14:paraId="07F7687F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200 mg</w:t>
            </w:r>
          </w:p>
        </w:tc>
        <w:tc>
          <w:tcPr>
            <w:tcW w:w="0" w:type="auto"/>
            <w:hideMark/>
          </w:tcPr>
          <w:p w14:paraId="3970966C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2F476F3F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Fatiga, bradicardia</w:t>
            </w:r>
          </w:p>
        </w:tc>
      </w:tr>
      <w:tr w:rsidR="004B7395" w:rsidRPr="004B7395" w14:paraId="6D02CE2E" w14:textId="77777777" w:rsidTr="004B7395">
        <w:tc>
          <w:tcPr>
            <w:tcW w:w="1690" w:type="dxa"/>
            <w:vMerge/>
            <w:hideMark/>
          </w:tcPr>
          <w:p w14:paraId="6E6C188F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43F7167E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proofErr w:type="spellStart"/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Nebivolol</w:t>
            </w:r>
            <w:proofErr w:type="spellEnd"/>
          </w:p>
        </w:tc>
        <w:tc>
          <w:tcPr>
            <w:tcW w:w="1221" w:type="dxa"/>
            <w:hideMark/>
          </w:tcPr>
          <w:p w14:paraId="7926B30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5 mg</w:t>
            </w:r>
          </w:p>
        </w:tc>
        <w:tc>
          <w:tcPr>
            <w:tcW w:w="1134" w:type="dxa"/>
            <w:hideMark/>
          </w:tcPr>
          <w:p w14:paraId="5CAE9916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40 mg</w:t>
            </w:r>
          </w:p>
        </w:tc>
        <w:tc>
          <w:tcPr>
            <w:tcW w:w="0" w:type="auto"/>
            <w:hideMark/>
          </w:tcPr>
          <w:p w14:paraId="3133CBE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2B22B191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Bradicardia, cefalea</w:t>
            </w:r>
          </w:p>
        </w:tc>
      </w:tr>
      <w:tr w:rsidR="004B7395" w:rsidRPr="004B7395" w14:paraId="5D416CD5" w14:textId="77777777" w:rsidTr="004B7395">
        <w:tc>
          <w:tcPr>
            <w:tcW w:w="1690" w:type="dxa"/>
            <w:vMerge w:val="restart"/>
            <w:hideMark/>
          </w:tcPr>
          <w:p w14:paraId="1FACB7FE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proofErr w:type="spellStart"/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Betabloqueadores</w:t>
            </w:r>
            <w:proofErr w:type="spellEnd"/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 xml:space="preserve"> no </w:t>
            </w:r>
            <w:proofErr w:type="spellStart"/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cardioselectivos</w:t>
            </w:r>
            <w:proofErr w:type="spellEnd"/>
          </w:p>
        </w:tc>
        <w:tc>
          <w:tcPr>
            <w:tcW w:w="1593" w:type="dxa"/>
            <w:hideMark/>
          </w:tcPr>
          <w:p w14:paraId="401B59B9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Nadolol</w:t>
            </w:r>
          </w:p>
        </w:tc>
        <w:tc>
          <w:tcPr>
            <w:tcW w:w="1221" w:type="dxa"/>
            <w:hideMark/>
          </w:tcPr>
          <w:p w14:paraId="744DEEDD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40 mg</w:t>
            </w:r>
          </w:p>
        </w:tc>
        <w:tc>
          <w:tcPr>
            <w:tcW w:w="1134" w:type="dxa"/>
            <w:hideMark/>
          </w:tcPr>
          <w:p w14:paraId="6CD17A43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120 mg</w:t>
            </w:r>
          </w:p>
        </w:tc>
        <w:tc>
          <w:tcPr>
            <w:tcW w:w="0" w:type="auto"/>
            <w:hideMark/>
          </w:tcPr>
          <w:p w14:paraId="3B4C3E6C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7703863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Bradicardia, broncoespasmo</w:t>
            </w:r>
          </w:p>
        </w:tc>
      </w:tr>
      <w:tr w:rsidR="004B7395" w:rsidRPr="004B7395" w14:paraId="17C8DB62" w14:textId="77777777" w:rsidTr="004B7395">
        <w:tc>
          <w:tcPr>
            <w:tcW w:w="1690" w:type="dxa"/>
            <w:vMerge/>
            <w:hideMark/>
          </w:tcPr>
          <w:p w14:paraId="31F91AB2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3C81E70C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Propranolol IR</w:t>
            </w:r>
          </w:p>
        </w:tc>
        <w:tc>
          <w:tcPr>
            <w:tcW w:w="1221" w:type="dxa"/>
            <w:hideMark/>
          </w:tcPr>
          <w:p w14:paraId="5E897CA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80 mg</w:t>
            </w:r>
          </w:p>
        </w:tc>
        <w:tc>
          <w:tcPr>
            <w:tcW w:w="1134" w:type="dxa"/>
            <w:hideMark/>
          </w:tcPr>
          <w:p w14:paraId="5B8086A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160 mg</w:t>
            </w:r>
          </w:p>
        </w:tc>
        <w:tc>
          <w:tcPr>
            <w:tcW w:w="0" w:type="auto"/>
            <w:hideMark/>
          </w:tcPr>
          <w:p w14:paraId="6CB9DEDF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2472" w:type="dxa"/>
            <w:hideMark/>
          </w:tcPr>
          <w:p w14:paraId="31A8120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Fatiga, broncoespasmo</w:t>
            </w:r>
          </w:p>
        </w:tc>
      </w:tr>
      <w:tr w:rsidR="004B7395" w:rsidRPr="004B7395" w14:paraId="3E8039A3" w14:textId="77777777" w:rsidTr="004B7395">
        <w:tc>
          <w:tcPr>
            <w:tcW w:w="1690" w:type="dxa"/>
            <w:vMerge/>
            <w:hideMark/>
          </w:tcPr>
          <w:p w14:paraId="0F94F899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6111CFAF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Propranolol LA</w:t>
            </w:r>
          </w:p>
        </w:tc>
        <w:tc>
          <w:tcPr>
            <w:tcW w:w="1221" w:type="dxa"/>
            <w:hideMark/>
          </w:tcPr>
          <w:p w14:paraId="03595F1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80 mg</w:t>
            </w:r>
          </w:p>
        </w:tc>
        <w:tc>
          <w:tcPr>
            <w:tcW w:w="1134" w:type="dxa"/>
            <w:hideMark/>
          </w:tcPr>
          <w:p w14:paraId="16A0D7A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160 mg</w:t>
            </w:r>
          </w:p>
        </w:tc>
        <w:tc>
          <w:tcPr>
            <w:tcW w:w="0" w:type="auto"/>
            <w:hideMark/>
          </w:tcPr>
          <w:p w14:paraId="337D2E21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645F7E61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Bradicardia</w:t>
            </w:r>
          </w:p>
        </w:tc>
      </w:tr>
      <w:tr w:rsidR="004B7395" w:rsidRPr="004B7395" w14:paraId="0D23F271" w14:textId="77777777" w:rsidTr="004B7395">
        <w:tc>
          <w:tcPr>
            <w:tcW w:w="1690" w:type="dxa"/>
            <w:vMerge/>
            <w:hideMark/>
          </w:tcPr>
          <w:p w14:paraId="2B4D7DF6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56E617F7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Carvedilol</w:t>
            </w:r>
          </w:p>
        </w:tc>
        <w:tc>
          <w:tcPr>
            <w:tcW w:w="1221" w:type="dxa"/>
            <w:hideMark/>
          </w:tcPr>
          <w:p w14:paraId="54323127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12.5 mg</w:t>
            </w:r>
          </w:p>
        </w:tc>
        <w:tc>
          <w:tcPr>
            <w:tcW w:w="1134" w:type="dxa"/>
            <w:hideMark/>
          </w:tcPr>
          <w:p w14:paraId="2494778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50 mg</w:t>
            </w:r>
          </w:p>
        </w:tc>
        <w:tc>
          <w:tcPr>
            <w:tcW w:w="0" w:type="auto"/>
            <w:hideMark/>
          </w:tcPr>
          <w:p w14:paraId="6EB9CE5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2472" w:type="dxa"/>
            <w:hideMark/>
          </w:tcPr>
          <w:p w14:paraId="692D6260" w14:textId="68E38A7B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M</w:t>
            </w: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areo</w:t>
            </w:r>
          </w:p>
        </w:tc>
      </w:tr>
      <w:tr w:rsidR="004B7395" w:rsidRPr="004B7395" w14:paraId="244B30F8" w14:textId="77777777" w:rsidTr="004B7395">
        <w:tc>
          <w:tcPr>
            <w:tcW w:w="1690" w:type="dxa"/>
            <w:vMerge/>
            <w:hideMark/>
          </w:tcPr>
          <w:p w14:paraId="37188C4D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43CB491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Labetalol</w:t>
            </w:r>
          </w:p>
        </w:tc>
        <w:tc>
          <w:tcPr>
            <w:tcW w:w="1221" w:type="dxa"/>
            <w:hideMark/>
          </w:tcPr>
          <w:p w14:paraId="68C0503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200 mg</w:t>
            </w:r>
          </w:p>
        </w:tc>
        <w:tc>
          <w:tcPr>
            <w:tcW w:w="1134" w:type="dxa"/>
            <w:hideMark/>
          </w:tcPr>
          <w:p w14:paraId="34D181A1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1200 mg</w:t>
            </w:r>
          </w:p>
        </w:tc>
        <w:tc>
          <w:tcPr>
            <w:tcW w:w="0" w:type="auto"/>
            <w:hideMark/>
          </w:tcPr>
          <w:p w14:paraId="6466D3CE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2472" w:type="dxa"/>
            <w:hideMark/>
          </w:tcPr>
          <w:p w14:paraId="57D86944" w14:textId="681923F4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Hipotensión ortostática</w:t>
            </w:r>
          </w:p>
        </w:tc>
      </w:tr>
      <w:tr w:rsidR="004B7395" w:rsidRPr="004B7395" w14:paraId="25A257B4" w14:textId="77777777" w:rsidTr="004B7395">
        <w:tc>
          <w:tcPr>
            <w:tcW w:w="1690" w:type="dxa"/>
            <w:vMerge w:val="restart"/>
            <w:hideMark/>
          </w:tcPr>
          <w:p w14:paraId="5CA90100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Bloqueadores alfa-1</w:t>
            </w:r>
          </w:p>
        </w:tc>
        <w:tc>
          <w:tcPr>
            <w:tcW w:w="1593" w:type="dxa"/>
            <w:hideMark/>
          </w:tcPr>
          <w:p w14:paraId="5A98409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proofErr w:type="spellStart"/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Doxazosina</w:t>
            </w:r>
            <w:proofErr w:type="spellEnd"/>
          </w:p>
        </w:tc>
        <w:tc>
          <w:tcPr>
            <w:tcW w:w="1221" w:type="dxa"/>
            <w:hideMark/>
          </w:tcPr>
          <w:p w14:paraId="1DF256F8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 mg</w:t>
            </w:r>
          </w:p>
        </w:tc>
        <w:tc>
          <w:tcPr>
            <w:tcW w:w="1134" w:type="dxa"/>
            <w:hideMark/>
          </w:tcPr>
          <w:p w14:paraId="74FF1C77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16 mg</w:t>
            </w:r>
          </w:p>
        </w:tc>
        <w:tc>
          <w:tcPr>
            <w:tcW w:w="0" w:type="auto"/>
            <w:hideMark/>
          </w:tcPr>
          <w:p w14:paraId="79F40028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2472" w:type="dxa"/>
            <w:hideMark/>
          </w:tcPr>
          <w:p w14:paraId="20B6F359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Hipotensión ortostática</w:t>
            </w:r>
          </w:p>
        </w:tc>
      </w:tr>
      <w:tr w:rsidR="004B7395" w:rsidRPr="004B7395" w14:paraId="0F58940E" w14:textId="77777777" w:rsidTr="004B7395">
        <w:tc>
          <w:tcPr>
            <w:tcW w:w="1690" w:type="dxa"/>
            <w:vMerge/>
            <w:hideMark/>
          </w:tcPr>
          <w:p w14:paraId="600B5AF9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2EADE058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Prazosina</w:t>
            </w:r>
          </w:p>
        </w:tc>
        <w:tc>
          <w:tcPr>
            <w:tcW w:w="1221" w:type="dxa"/>
            <w:hideMark/>
          </w:tcPr>
          <w:p w14:paraId="5F845A4C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 mg</w:t>
            </w:r>
          </w:p>
        </w:tc>
        <w:tc>
          <w:tcPr>
            <w:tcW w:w="1134" w:type="dxa"/>
            <w:hideMark/>
          </w:tcPr>
          <w:p w14:paraId="7388F6A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20 mg</w:t>
            </w:r>
          </w:p>
        </w:tc>
        <w:tc>
          <w:tcPr>
            <w:tcW w:w="0" w:type="auto"/>
            <w:hideMark/>
          </w:tcPr>
          <w:p w14:paraId="686AD408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2–3</w:t>
            </w:r>
          </w:p>
        </w:tc>
        <w:tc>
          <w:tcPr>
            <w:tcW w:w="2472" w:type="dxa"/>
            <w:hideMark/>
          </w:tcPr>
          <w:p w14:paraId="65552AD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Síncope primera dosis</w:t>
            </w:r>
          </w:p>
        </w:tc>
      </w:tr>
      <w:tr w:rsidR="004B7395" w:rsidRPr="004B7395" w14:paraId="2E57063F" w14:textId="77777777" w:rsidTr="004B7395">
        <w:tc>
          <w:tcPr>
            <w:tcW w:w="1690" w:type="dxa"/>
            <w:vMerge w:val="restart"/>
            <w:hideMark/>
          </w:tcPr>
          <w:p w14:paraId="1DEEC7BA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Agonistas centrales alfa-2</w:t>
            </w:r>
          </w:p>
        </w:tc>
        <w:tc>
          <w:tcPr>
            <w:tcW w:w="1593" w:type="dxa"/>
            <w:hideMark/>
          </w:tcPr>
          <w:p w14:paraId="6C70E22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Clonidina oral</w:t>
            </w:r>
          </w:p>
        </w:tc>
        <w:tc>
          <w:tcPr>
            <w:tcW w:w="1221" w:type="dxa"/>
            <w:hideMark/>
          </w:tcPr>
          <w:p w14:paraId="41A15CE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0.1 mg</w:t>
            </w:r>
          </w:p>
        </w:tc>
        <w:tc>
          <w:tcPr>
            <w:tcW w:w="1134" w:type="dxa"/>
            <w:hideMark/>
          </w:tcPr>
          <w:p w14:paraId="6676805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0.8 mg</w:t>
            </w:r>
          </w:p>
        </w:tc>
        <w:tc>
          <w:tcPr>
            <w:tcW w:w="0" w:type="auto"/>
            <w:hideMark/>
          </w:tcPr>
          <w:p w14:paraId="6B270CDB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2472" w:type="dxa"/>
            <w:hideMark/>
          </w:tcPr>
          <w:p w14:paraId="542519AE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Sedación, boca seca, rebote</w:t>
            </w:r>
          </w:p>
        </w:tc>
      </w:tr>
      <w:tr w:rsidR="004B7395" w:rsidRPr="004B7395" w14:paraId="07A32F2B" w14:textId="77777777" w:rsidTr="004B7395">
        <w:tc>
          <w:tcPr>
            <w:tcW w:w="1690" w:type="dxa"/>
            <w:vMerge/>
            <w:hideMark/>
          </w:tcPr>
          <w:p w14:paraId="5B977727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5CC2EBF5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Clonidina parche</w:t>
            </w:r>
          </w:p>
        </w:tc>
        <w:tc>
          <w:tcPr>
            <w:tcW w:w="1221" w:type="dxa"/>
            <w:hideMark/>
          </w:tcPr>
          <w:p w14:paraId="3CE2F936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0.1 mg</w:t>
            </w:r>
          </w:p>
        </w:tc>
        <w:tc>
          <w:tcPr>
            <w:tcW w:w="1134" w:type="dxa"/>
            <w:hideMark/>
          </w:tcPr>
          <w:p w14:paraId="6A7F52F9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0.3 mg</w:t>
            </w:r>
          </w:p>
        </w:tc>
        <w:tc>
          <w:tcPr>
            <w:tcW w:w="0" w:type="auto"/>
            <w:hideMark/>
          </w:tcPr>
          <w:p w14:paraId="319F09CD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1/</w:t>
            </w:r>
            <w:proofErr w:type="spellStart"/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sem</w:t>
            </w:r>
            <w:proofErr w:type="spellEnd"/>
          </w:p>
        </w:tc>
        <w:tc>
          <w:tcPr>
            <w:tcW w:w="2472" w:type="dxa"/>
            <w:hideMark/>
          </w:tcPr>
          <w:p w14:paraId="3D47D42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Dermatitis local</w:t>
            </w:r>
          </w:p>
        </w:tc>
      </w:tr>
      <w:tr w:rsidR="004B7395" w:rsidRPr="004B7395" w14:paraId="2176FA61" w14:textId="77777777" w:rsidTr="004B7395">
        <w:tc>
          <w:tcPr>
            <w:tcW w:w="1690" w:type="dxa"/>
            <w:vMerge/>
            <w:hideMark/>
          </w:tcPr>
          <w:p w14:paraId="1A554B48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5535C7A5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Metildopa</w:t>
            </w:r>
          </w:p>
        </w:tc>
        <w:tc>
          <w:tcPr>
            <w:tcW w:w="1221" w:type="dxa"/>
            <w:hideMark/>
          </w:tcPr>
          <w:p w14:paraId="0B38F184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250 mg</w:t>
            </w:r>
          </w:p>
        </w:tc>
        <w:tc>
          <w:tcPr>
            <w:tcW w:w="1134" w:type="dxa"/>
            <w:hideMark/>
          </w:tcPr>
          <w:p w14:paraId="22961000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1000 mg</w:t>
            </w:r>
          </w:p>
        </w:tc>
        <w:tc>
          <w:tcPr>
            <w:tcW w:w="0" w:type="auto"/>
            <w:hideMark/>
          </w:tcPr>
          <w:p w14:paraId="71F08891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2472" w:type="dxa"/>
            <w:hideMark/>
          </w:tcPr>
          <w:p w14:paraId="33B42833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Somnolencia, anemia hemolítica rara</w:t>
            </w:r>
          </w:p>
        </w:tc>
      </w:tr>
      <w:tr w:rsidR="004B7395" w:rsidRPr="004B7395" w14:paraId="46FFF4C5" w14:textId="77777777" w:rsidTr="004B7395">
        <w:tc>
          <w:tcPr>
            <w:tcW w:w="1690" w:type="dxa"/>
            <w:vMerge w:val="restart"/>
            <w:hideMark/>
          </w:tcPr>
          <w:p w14:paraId="7C9022D5" w14:textId="77777777" w:rsidR="004B7395" w:rsidRPr="004B7395" w:rsidRDefault="004B7395" w:rsidP="004B73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Vasodilatadores directos</w:t>
            </w:r>
          </w:p>
        </w:tc>
        <w:tc>
          <w:tcPr>
            <w:tcW w:w="1593" w:type="dxa"/>
            <w:hideMark/>
          </w:tcPr>
          <w:p w14:paraId="4095449C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Hidralazina</w:t>
            </w:r>
          </w:p>
        </w:tc>
        <w:tc>
          <w:tcPr>
            <w:tcW w:w="1221" w:type="dxa"/>
            <w:hideMark/>
          </w:tcPr>
          <w:p w14:paraId="3975D8A2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100 mg</w:t>
            </w:r>
          </w:p>
        </w:tc>
        <w:tc>
          <w:tcPr>
            <w:tcW w:w="1134" w:type="dxa"/>
            <w:hideMark/>
          </w:tcPr>
          <w:p w14:paraId="79048F06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200 mg</w:t>
            </w:r>
          </w:p>
        </w:tc>
        <w:tc>
          <w:tcPr>
            <w:tcW w:w="0" w:type="auto"/>
            <w:hideMark/>
          </w:tcPr>
          <w:p w14:paraId="3EEFC0A8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2–3</w:t>
            </w:r>
          </w:p>
        </w:tc>
        <w:tc>
          <w:tcPr>
            <w:tcW w:w="2472" w:type="dxa"/>
            <w:hideMark/>
          </w:tcPr>
          <w:p w14:paraId="0EBEC107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Taquicardia refleja, lupus-</w:t>
            </w:r>
            <w:proofErr w:type="spellStart"/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like</w:t>
            </w:r>
            <w:proofErr w:type="spellEnd"/>
          </w:p>
        </w:tc>
      </w:tr>
      <w:tr w:rsidR="004B7395" w:rsidRPr="004B7395" w14:paraId="640AFA70" w14:textId="77777777" w:rsidTr="004B7395">
        <w:tc>
          <w:tcPr>
            <w:tcW w:w="1690" w:type="dxa"/>
            <w:vMerge/>
            <w:hideMark/>
          </w:tcPr>
          <w:p w14:paraId="645E117D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593" w:type="dxa"/>
            <w:hideMark/>
          </w:tcPr>
          <w:p w14:paraId="07D1E625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Minoxidil</w:t>
            </w:r>
          </w:p>
        </w:tc>
        <w:tc>
          <w:tcPr>
            <w:tcW w:w="1221" w:type="dxa"/>
            <w:hideMark/>
          </w:tcPr>
          <w:p w14:paraId="1A76C4F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5 mg</w:t>
            </w:r>
          </w:p>
        </w:tc>
        <w:tc>
          <w:tcPr>
            <w:tcW w:w="1134" w:type="dxa"/>
            <w:hideMark/>
          </w:tcPr>
          <w:p w14:paraId="596F72C0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40 mg</w:t>
            </w:r>
          </w:p>
        </w:tc>
        <w:tc>
          <w:tcPr>
            <w:tcW w:w="0" w:type="auto"/>
            <w:hideMark/>
          </w:tcPr>
          <w:p w14:paraId="239217FA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1–2</w:t>
            </w:r>
          </w:p>
        </w:tc>
        <w:tc>
          <w:tcPr>
            <w:tcW w:w="2472" w:type="dxa"/>
            <w:hideMark/>
          </w:tcPr>
          <w:p w14:paraId="36AE9EB3" w14:textId="77777777" w:rsidR="004B7395" w:rsidRPr="004B7395" w:rsidRDefault="004B7395" w:rsidP="004B739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4B7395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Edema, hipertricosis</w:t>
            </w:r>
          </w:p>
        </w:tc>
      </w:tr>
    </w:tbl>
    <w:p w14:paraId="1A5F8C2E" w14:textId="77777777" w:rsidR="004B7395" w:rsidRPr="003F3F26" w:rsidRDefault="004B7395" w:rsidP="004B7395">
      <w:pPr>
        <w:pStyle w:val="Sinespaciado"/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71C32755" w14:textId="40F49E30" w:rsidR="003724F7" w:rsidRPr="00F27AD2" w:rsidRDefault="00F27AD2" w:rsidP="00F27AD2">
      <w:pPr>
        <w:pStyle w:val="Ttulo2"/>
        <w:numPr>
          <w:ilvl w:val="0"/>
          <w:numId w:val="14"/>
        </w:numPr>
        <w:jc w:val="both"/>
        <w:rPr>
          <w:rFonts w:cstheme="majorHAnsi"/>
          <w:color w:val="002060"/>
          <w:sz w:val="24"/>
          <w:szCs w:val="24"/>
          <w:lang w:val="es-CO"/>
        </w:rPr>
      </w:pPr>
      <w:r w:rsidRPr="00F27AD2">
        <w:rPr>
          <w:rFonts w:cstheme="majorHAnsi"/>
          <w:color w:val="002060"/>
          <w:sz w:val="24"/>
          <w:szCs w:val="24"/>
          <w:lang w:val="es-CO"/>
        </w:rPr>
        <w:lastRenderedPageBreak/>
        <w:t xml:space="preserve">Recomendación 8: </w:t>
      </w:r>
      <w:r w:rsidR="003724F7" w:rsidRPr="00F27AD2">
        <w:rPr>
          <w:rFonts w:cstheme="majorHAnsi"/>
          <w:color w:val="002060"/>
          <w:sz w:val="24"/>
          <w:szCs w:val="24"/>
          <w:lang w:val="es-CO"/>
        </w:rPr>
        <w:t>Metas de control de la presión arterial</w:t>
      </w:r>
    </w:p>
    <w:p w14:paraId="66C8D592" w14:textId="7569D5EA" w:rsidR="003724F7" w:rsidRPr="00A66112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La </w:t>
      </w:r>
      <w:r w:rsidR="00C60359">
        <w:rPr>
          <w:rFonts w:asciiTheme="majorHAnsi" w:hAnsiTheme="majorHAnsi" w:cstheme="majorHAnsi"/>
          <w:sz w:val="24"/>
          <w:szCs w:val="24"/>
          <w:lang w:val="es-CO"/>
        </w:rPr>
        <w:t>GPC colombiana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plantea metas de control orientadas a reducir eventos cardiovasculares</w:t>
      </w:r>
      <w:r w:rsidR="00F27AD2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  <w:r w:rsidR="00C60359">
        <w:rPr>
          <w:rFonts w:asciiTheme="majorHAnsi" w:hAnsiTheme="majorHAnsi" w:cstheme="majorHAnsi"/>
          <w:sz w:val="24"/>
          <w:szCs w:val="24"/>
          <w:lang w:val="es-CO"/>
        </w:rPr>
        <w:t>con PA &lt;140/90.</w:t>
      </w:r>
    </w:p>
    <w:p w14:paraId="4E377244" w14:textId="77777777" w:rsidR="002F586B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C60359">
        <w:rPr>
          <w:rFonts w:asciiTheme="majorHAnsi" w:hAnsiTheme="majorHAnsi" w:cstheme="majorHAnsi"/>
          <w:b/>
          <w:bCs/>
          <w:sz w:val="24"/>
          <w:szCs w:val="24"/>
          <w:u w:val="single"/>
          <w:lang w:val="es-CO"/>
        </w:rPr>
        <w:t>Adaptación institucional: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Las metas se adaptan de la guía americana según perfil del paciente: </w:t>
      </w:r>
    </w:p>
    <w:p w14:paraId="47CB1712" w14:textId="12535F9F" w:rsidR="002F586B" w:rsidRDefault="003F3F26" w:rsidP="002F586B">
      <w:pPr>
        <w:pStyle w:val="Prrafodelista"/>
        <w:numPr>
          <w:ilvl w:val="0"/>
          <w:numId w:val="17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≤</w:t>
      </w:r>
      <w:r w:rsidR="003724F7" w:rsidRPr="002F586B">
        <w:rPr>
          <w:rFonts w:asciiTheme="majorHAnsi" w:hAnsiTheme="majorHAnsi" w:cstheme="majorHAnsi"/>
          <w:sz w:val="24"/>
          <w:szCs w:val="24"/>
          <w:lang w:val="es-CO"/>
        </w:rPr>
        <w:t xml:space="preserve">130/80 mmHg en adultos &lt;65 años </w:t>
      </w:r>
    </w:p>
    <w:p w14:paraId="70BB9235" w14:textId="4E603A67" w:rsidR="002F586B" w:rsidRPr="002F586B" w:rsidRDefault="003F3F26" w:rsidP="002F586B">
      <w:pPr>
        <w:pStyle w:val="Prrafodelista"/>
        <w:numPr>
          <w:ilvl w:val="0"/>
          <w:numId w:val="17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≤</w:t>
      </w:r>
      <w:r w:rsidR="002F586B" w:rsidRPr="002F586B">
        <w:rPr>
          <w:rFonts w:asciiTheme="majorHAnsi" w:hAnsiTheme="majorHAnsi" w:cstheme="majorHAnsi"/>
          <w:sz w:val="24"/>
          <w:szCs w:val="24"/>
          <w:lang w:val="es-CO"/>
        </w:rPr>
        <w:t>1</w:t>
      </w:r>
      <w:r w:rsidR="002F586B">
        <w:rPr>
          <w:rFonts w:asciiTheme="majorHAnsi" w:hAnsiTheme="majorHAnsi" w:cstheme="majorHAnsi"/>
          <w:sz w:val="24"/>
          <w:szCs w:val="24"/>
          <w:lang w:val="es-CO"/>
        </w:rPr>
        <w:t>4</w:t>
      </w:r>
      <w:r w:rsidR="002F586B" w:rsidRPr="002F586B">
        <w:rPr>
          <w:rFonts w:asciiTheme="majorHAnsi" w:hAnsiTheme="majorHAnsi" w:cstheme="majorHAnsi"/>
          <w:sz w:val="24"/>
          <w:szCs w:val="24"/>
          <w:lang w:val="es-CO"/>
        </w:rPr>
        <w:t xml:space="preserve">0/80 mmHg en adultos &lt;65 años </w:t>
      </w:r>
    </w:p>
    <w:p w14:paraId="1D49575A" w14:textId="045BA494" w:rsidR="002F586B" w:rsidRPr="002F586B" w:rsidRDefault="003F3F26" w:rsidP="002F586B">
      <w:pPr>
        <w:pStyle w:val="Prrafodelista"/>
        <w:numPr>
          <w:ilvl w:val="0"/>
          <w:numId w:val="17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≤</w:t>
      </w:r>
      <w:r w:rsidR="002F586B" w:rsidRPr="002F586B">
        <w:rPr>
          <w:rFonts w:asciiTheme="majorHAnsi" w:hAnsiTheme="majorHAnsi" w:cstheme="majorHAnsi"/>
          <w:sz w:val="24"/>
          <w:szCs w:val="24"/>
          <w:lang w:val="es-CO"/>
        </w:rPr>
        <w:t xml:space="preserve">130/80 mmHg en </w:t>
      </w:r>
      <w:r w:rsidR="003724F7" w:rsidRPr="002F586B">
        <w:rPr>
          <w:rFonts w:asciiTheme="majorHAnsi" w:hAnsiTheme="majorHAnsi" w:cstheme="majorHAnsi"/>
          <w:sz w:val="24"/>
          <w:szCs w:val="24"/>
          <w:lang w:val="es-CO"/>
        </w:rPr>
        <w:t>pacientes con DM/ERC/ECV;</w:t>
      </w:r>
    </w:p>
    <w:p w14:paraId="41B63F3F" w14:textId="64CAB9E7" w:rsidR="003724F7" w:rsidRPr="002F586B" w:rsidRDefault="003F3F26" w:rsidP="002F586B">
      <w:pPr>
        <w:pStyle w:val="Prrafodelista"/>
        <w:numPr>
          <w:ilvl w:val="0"/>
          <w:numId w:val="17"/>
        </w:num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≤</w:t>
      </w:r>
      <w:r w:rsidR="002F586B" w:rsidRPr="002F586B">
        <w:rPr>
          <w:rFonts w:asciiTheme="majorHAnsi" w:hAnsiTheme="majorHAnsi" w:cstheme="majorHAnsi"/>
          <w:sz w:val="24"/>
          <w:szCs w:val="24"/>
          <w:lang w:val="es-CO"/>
        </w:rPr>
        <w:t>1</w:t>
      </w:r>
      <w:r w:rsidR="002F586B">
        <w:rPr>
          <w:rFonts w:asciiTheme="majorHAnsi" w:hAnsiTheme="majorHAnsi" w:cstheme="majorHAnsi"/>
          <w:sz w:val="24"/>
          <w:szCs w:val="24"/>
          <w:lang w:val="es-CO"/>
        </w:rPr>
        <w:t>4</w:t>
      </w:r>
      <w:r w:rsidR="002F586B" w:rsidRPr="002F586B">
        <w:rPr>
          <w:rFonts w:asciiTheme="majorHAnsi" w:hAnsiTheme="majorHAnsi" w:cstheme="majorHAnsi"/>
          <w:sz w:val="24"/>
          <w:szCs w:val="24"/>
          <w:lang w:val="es-CO"/>
        </w:rPr>
        <w:t>0/</w:t>
      </w:r>
      <w:r w:rsidR="002F586B">
        <w:rPr>
          <w:rFonts w:asciiTheme="majorHAnsi" w:hAnsiTheme="majorHAnsi" w:cstheme="majorHAnsi"/>
          <w:sz w:val="24"/>
          <w:szCs w:val="24"/>
          <w:lang w:val="es-CO"/>
        </w:rPr>
        <w:t>9</w:t>
      </w:r>
      <w:r w:rsidR="002F586B" w:rsidRPr="002F586B">
        <w:rPr>
          <w:rFonts w:asciiTheme="majorHAnsi" w:hAnsiTheme="majorHAnsi" w:cstheme="majorHAnsi"/>
          <w:sz w:val="24"/>
          <w:szCs w:val="24"/>
          <w:lang w:val="es-CO"/>
        </w:rPr>
        <w:t xml:space="preserve">0 mmHg en </w:t>
      </w:r>
      <w:r w:rsidR="003724F7" w:rsidRPr="002F586B">
        <w:rPr>
          <w:rFonts w:asciiTheme="majorHAnsi" w:hAnsiTheme="majorHAnsi" w:cstheme="majorHAnsi"/>
          <w:sz w:val="24"/>
          <w:szCs w:val="24"/>
          <w:lang w:val="es-CO"/>
        </w:rPr>
        <w:t>metas menos estrictas en adultos mayores y pacientes frágiles, priorizando seguridad.</w:t>
      </w:r>
      <w:r w:rsidR="002F586B">
        <w:rPr>
          <w:rFonts w:asciiTheme="majorHAnsi" w:hAnsiTheme="majorHAnsi" w:cstheme="majorHAnsi"/>
          <w:sz w:val="24"/>
          <w:szCs w:val="24"/>
          <w:lang w:val="es-CO"/>
        </w:rPr>
        <w:t xml:space="preserve"> Evitar </w:t>
      </w:r>
      <w:r>
        <w:rPr>
          <w:rFonts w:asciiTheme="majorHAnsi" w:hAnsiTheme="majorHAnsi" w:cstheme="majorHAnsi"/>
          <w:sz w:val="24"/>
          <w:szCs w:val="24"/>
          <w:lang w:val="es-CO"/>
        </w:rPr>
        <w:t>≤</w:t>
      </w:r>
      <w:r w:rsidR="002F586B" w:rsidRPr="002F586B">
        <w:rPr>
          <w:rFonts w:asciiTheme="majorHAnsi" w:hAnsiTheme="majorHAnsi" w:cstheme="majorHAnsi"/>
          <w:sz w:val="24"/>
          <w:szCs w:val="24"/>
          <w:lang w:val="es-CO"/>
        </w:rPr>
        <w:t>1</w:t>
      </w:r>
      <w:r w:rsidR="002F586B">
        <w:rPr>
          <w:rFonts w:asciiTheme="majorHAnsi" w:hAnsiTheme="majorHAnsi" w:cstheme="majorHAnsi"/>
          <w:sz w:val="24"/>
          <w:szCs w:val="24"/>
          <w:lang w:val="es-CO"/>
        </w:rPr>
        <w:t>2</w:t>
      </w:r>
      <w:r w:rsidR="002F586B" w:rsidRPr="002F586B">
        <w:rPr>
          <w:rFonts w:asciiTheme="majorHAnsi" w:hAnsiTheme="majorHAnsi" w:cstheme="majorHAnsi"/>
          <w:sz w:val="24"/>
          <w:szCs w:val="24"/>
          <w:lang w:val="es-CO"/>
        </w:rPr>
        <w:t>0/</w:t>
      </w:r>
      <w:r w:rsidR="002F586B">
        <w:rPr>
          <w:rFonts w:asciiTheme="majorHAnsi" w:hAnsiTheme="majorHAnsi" w:cstheme="majorHAnsi"/>
          <w:sz w:val="24"/>
          <w:szCs w:val="24"/>
          <w:lang w:val="es-CO"/>
        </w:rPr>
        <w:t>7</w:t>
      </w:r>
      <w:r w:rsidR="002F586B" w:rsidRPr="002F586B">
        <w:rPr>
          <w:rFonts w:asciiTheme="majorHAnsi" w:hAnsiTheme="majorHAnsi" w:cstheme="majorHAnsi"/>
          <w:sz w:val="24"/>
          <w:szCs w:val="24"/>
          <w:lang w:val="es-CO"/>
        </w:rPr>
        <w:t>0 mmHg</w:t>
      </w:r>
      <w:r w:rsidR="002F586B">
        <w:rPr>
          <w:rFonts w:asciiTheme="majorHAnsi" w:hAnsiTheme="majorHAnsi" w:cstheme="majorHAnsi"/>
          <w:sz w:val="24"/>
          <w:szCs w:val="24"/>
          <w:lang w:val="es-CO"/>
        </w:rPr>
        <w:t xml:space="preserve">. </w:t>
      </w:r>
    </w:p>
    <w:p w14:paraId="56EC7066" w14:textId="77777777" w:rsidR="00C60359" w:rsidRPr="00A66112" w:rsidRDefault="00C60359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4865AE8E" w14:textId="166BC96A" w:rsidR="003724F7" w:rsidRPr="00C60359" w:rsidRDefault="00C60359" w:rsidP="00C60359">
      <w:pPr>
        <w:pStyle w:val="Ttulo2"/>
        <w:numPr>
          <w:ilvl w:val="0"/>
          <w:numId w:val="15"/>
        </w:numPr>
        <w:jc w:val="both"/>
        <w:rPr>
          <w:rFonts w:cstheme="majorHAnsi"/>
          <w:color w:val="002060"/>
          <w:sz w:val="24"/>
          <w:szCs w:val="24"/>
          <w:lang w:val="es-CO"/>
        </w:rPr>
      </w:pPr>
      <w:r w:rsidRPr="00C60359">
        <w:rPr>
          <w:rFonts w:cstheme="majorHAnsi"/>
          <w:color w:val="002060"/>
          <w:sz w:val="24"/>
          <w:szCs w:val="24"/>
          <w:lang w:val="es-CO"/>
        </w:rPr>
        <w:t xml:space="preserve">Recomendación 9: </w:t>
      </w:r>
      <w:r w:rsidR="003724F7" w:rsidRPr="00C60359">
        <w:rPr>
          <w:rFonts w:cstheme="majorHAnsi"/>
          <w:color w:val="002060"/>
          <w:sz w:val="24"/>
          <w:szCs w:val="24"/>
          <w:lang w:val="es-CO"/>
        </w:rPr>
        <w:t>Hipertensión arterial resistente</w:t>
      </w:r>
    </w:p>
    <w:p w14:paraId="7FE65C37" w14:textId="37B5AC68" w:rsidR="003724F7" w:rsidRPr="00A66112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>La GPC reconoce la hipertensión resistente como un escenario clínico de alto riesgo</w:t>
      </w:r>
      <w:r w:rsidR="00DA0754">
        <w:rPr>
          <w:rFonts w:asciiTheme="majorHAnsi" w:hAnsiTheme="majorHAnsi" w:cstheme="majorHAnsi"/>
          <w:sz w:val="24"/>
          <w:szCs w:val="24"/>
          <w:lang w:val="es-CO"/>
        </w:rPr>
        <w:t xml:space="preserve"> y se define </w:t>
      </w:r>
      <w:r w:rsidR="00DA0754" w:rsidRPr="00A66112">
        <w:rPr>
          <w:rFonts w:asciiTheme="majorHAnsi" w:hAnsiTheme="majorHAnsi" w:cstheme="majorHAnsi"/>
          <w:sz w:val="24"/>
          <w:szCs w:val="24"/>
          <w:lang w:val="es-CO"/>
        </w:rPr>
        <w:t>como PA no controlada con ≥3 fármacos (incluido diurético)</w:t>
      </w:r>
      <w:r w:rsidR="00DA0754">
        <w:rPr>
          <w:rFonts w:asciiTheme="majorHAnsi" w:hAnsiTheme="majorHAnsi" w:cstheme="majorHAnsi"/>
          <w:sz w:val="24"/>
          <w:szCs w:val="24"/>
          <w:lang w:val="es-CO"/>
        </w:rPr>
        <w:t>.</w:t>
      </w:r>
    </w:p>
    <w:p w14:paraId="436CB9FE" w14:textId="114076A5" w:rsidR="003724F7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b/>
          <w:bCs/>
          <w:sz w:val="24"/>
          <w:szCs w:val="24"/>
          <w:u w:val="single"/>
          <w:lang w:val="es-CO"/>
        </w:rPr>
        <w:t>Adaptación institucional: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Se define HTA resistente como PA no controlada con ≥3 fármacos (incluido diurético) y se establece remisión a Medicina Familiar para estudio integral y descart</w:t>
      </w:r>
      <w:r w:rsidR="003E66A4" w:rsidRPr="00A66112">
        <w:rPr>
          <w:rFonts w:asciiTheme="majorHAnsi" w:hAnsiTheme="majorHAnsi" w:cstheme="majorHAnsi"/>
          <w:sz w:val="24"/>
          <w:szCs w:val="24"/>
          <w:lang w:val="es-CO"/>
        </w:rPr>
        <w:t>ar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causas secundarias.</w:t>
      </w:r>
    </w:p>
    <w:p w14:paraId="36420D23" w14:textId="77777777" w:rsidR="00C60359" w:rsidRPr="00A66112" w:rsidRDefault="00C60359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3D28239C" w14:textId="17780844" w:rsidR="003724F7" w:rsidRPr="00C60359" w:rsidRDefault="00C60359" w:rsidP="00C60359">
      <w:pPr>
        <w:pStyle w:val="Ttulo2"/>
        <w:numPr>
          <w:ilvl w:val="0"/>
          <w:numId w:val="16"/>
        </w:numPr>
        <w:jc w:val="both"/>
        <w:rPr>
          <w:rFonts w:cstheme="majorHAnsi"/>
          <w:color w:val="002060"/>
          <w:sz w:val="24"/>
          <w:szCs w:val="24"/>
          <w:lang w:val="es-CO"/>
        </w:rPr>
      </w:pPr>
      <w:r w:rsidRPr="00C60359">
        <w:rPr>
          <w:rFonts w:cstheme="majorHAnsi"/>
          <w:color w:val="002060"/>
          <w:sz w:val="24"/>
          <w:szCs w:val="24"/>
          <w:lang w:val="es-CO"/>
        </w:rPr>
        <w:t xml:space="preserve">Recomendación 10: </w:t>
      </w:r>
      <w:r w:rsidR="003724F7" w:rsidRPr="00C60359">
        <w:rPr>
          <w:rFonts w:cstheme="majorHAnsi"/>
          <w:color w:val="002060"/>
          <w:sz w:val="24"/>
          <w:szCs w:val="24"/>
          <w:lang w:val="es-CO"/>
        </w:rPr>
        <w:t>Enfoque centrado en el paciente</w:t>
      </w:r>
    </w:p>
    <w:p w14:paraId="47EAE573" w14:textId="0EEF406D" w:rsidR="003724F7" w:rsidRPr="00A66112" w:rsidRDefault="003724F7" w:rsidP="003724F7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La </w:t>
      </w:r>
      <w:r w:rsidR="00C60359">
        <w:rPr>
          <w:rFonts w:asciiTheme="majorHAnsi" w:hAnsiTheme="majorHAnsi" w:cstheme="majorHAnsi"/>
          <w:sz w:val="24"/>
          <w:szCs w:val="24"/>
          <w:lang w:val="es-CO"/>
        </w:rPr>
        <w:t>GPC colombiana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promueve la individualización del manejo.</w:t>
      </w:r>
    </w:p>
    <w:p w14:paraId="17654748" w14:textId="6F1E398D" w:rsidR="008A2841" w:rsidRDefault="003724F7" w:rsidP="003F3F26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A66112">
        <w:rPr>
          <w:rFonts w:asciiTheme="majorHAnsi" w:hAnsiTheme="majorHAnsi" w:cstheme="majorHAnsi"/>
          <w:b/>
          <w:bCs/>
          <w:sz w:val="24"/>
          <w:szCs w:val="24"/>
          <w:u w:val="single"/>
          <w:lang w:val="es-CO"/>
        </w:rPr>
        <w:t>Adaptación institucional:</w:t>
      </w:r>
      <w:r w:rsidRPr="00A66112">
        <w:rPr>
          <w:rFonts w:asciiTheme="majorHAnsi" w:hAnsiTheme="majorHAnsi" w:cstheme="majorHAnsi"/>
          <w:sz w:val="24"/>
          <w:szCs w:val="24"/>
          <w:lang w:val="es-CO"/>
        </w:rPr>
        <w:t xml:space="preserve"> Se enfatiza que todas las decisiones terapéuticas deben individualizarse según riesgo cardiovascular, comorbilidades, tolerancia y contexto del paciente.</w:t>
      </w:r>
    </w:p>
    <w:p w14:paraId="26C047D0" w14:textId="77777777" w:rsidR="008B21A1" w:rsidRDefault="008B21A1" w:rsidP="003F3F26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5AEAABBB" w14:textId="77777777" w:rsidR="008B21A1" w:rsidRDefault="008B21A1" w:rsidP="003F3F26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3FBE1EBC" w14:textId="77777777" w:rsidR="008B21A1" w:rsidRDefault="008B21A1" w:rsidP="003F3F26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</w:p>
    <w:p w14:paraId="44544014" w14:textId="55B8C33D" w:rsidR="008B21A1" w:rsidRPr="003724F7" w:rsidRDefault="008B21A1" w:rsidP="00E218D8">
      <w:pPr>
        <w:jc w:val="center"/>
        <w:rPr>
          <w:lang w:val="es-CO"/>
        </w:rPr>
      </w:pPr>
      <w:r w:rsidRPr="00CC364A">
        <w:rPr>
          <w:rFonts w:asciiTheme="majorHAnsi" w:hAnsiTheme="majorHAnsi" w:cstheme="majorHAnsi"/>
          <w:b/>
          <w:bCs/>
          <w:i/>
          <w:iCs/>
          <w:color w:val="002060"/>
          <w:sz w:val="24"/>
          <w:szCs w:val="24"/>
          <w:lang w:val="es-CO"/>
        </w:rPr>
        <w:t>Consenso</w:t>
      </w:r>
      <w:r w:rsidR="00B52478" w:rsidRPr="00CC364A">
        <w:rPr>
          <w:rFonts w:asciiTheme="majorHAnsi" w:hAnsiTheme="majorHAnsi" w:cstheme="majorHAnsi"/>
          <w:b/>
          <w:bCs/>
          <w:i/>
          <w:iCs/>
          <w:color w:val="002060"/>
          <w:sz w:val="24"/>
          <w:szCs w:val="24"/>
          <w:lang w:val="es-CO"/>
        </w:rPr>
        <w:t xml:space="preserve"> Institucional Medicina Interna y </w:t>
      </w:r>
      <w:r w:rsidR="0074436E">
        <w:rPr>
          <w:rFonts w:asciiTheme="majorHAnsi" w:hAnsiTheme="majorHAnsi" w:cstheme="majorHAnsi"/>
          <w:b/>
          <w:bCs/>
          <w:i/>
          <w:iCs/>
          <w:color w:val="002060"/>
          <w:sz w:val="24"/>
          <w:szCs w:val="24"/>
          <w:lang w:val="es-CO"/>
        </w:rPr>
        <w:t xml:space="preserve">Medicina </w:t>
      </w:r>
      <w:r w:rsidR="00B52478" w:rsidRPr="00CC364A">
        <w:rPr>
          <w:rFonts w:asciiTheme="majorHAnsi" w:hAnsiTheme="majorHAnsi" w:cstheme="majorHAnsi"/>
          <w:b/>
          <w:bCs/>
          <w:i/>
          <w:iCs/>
          <w:color w:val="002060"/>
          <w:sz w:val="24"/>
          <w:szCs w:val="24"/>
          <w:lang w:val="es-CO"/>
        </w:rPr>
        <w:t>Familia</w:t>
      </w:r>
      <w:r w:rsidR="00E218D8">
        <w:rPr>
          <w:rFonts w:asciiTheme="majorHAnsi" w:hAnsiTheme="majorHAnsi" w:cstheme="majorHAnsi"/>
          <w:b/>
          <w:bCs/>
          <w:i/>
          <w:iCs/>
          <w:color w:val="002060"/>
          <w:sz w:val="24"/>
          <w:szCs w:val="24"/>
          <w:lang w:val="es-CO"/>
        </w:rPr>
        <w:t>r</w:t>
      </w:r>
    </w:p>
    <w:sectPr w:rsidR="008B21A1" w:rsidRPr="003724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B8EE4" w14:textId="77777777" w:rsidR="007A08CB" w:rsidRDefault="007A08CB" w:rsidP="008F650C">
      <w:pPr>
        <w:spacing w:after="0" w:line="240" w:lineRule="auto"/>
      </w:pPr>
      <w:r>
        <w:separator/>
      </w:r>
    </w:p>
  </w:endnote>
  <w:endnote w:type="continuationSeparator" w:id="0">
    <w:p w14:paraId="2EF8F5E6" w14:textId="77777777" w:rsidR="007A08CB" w:rsidRDefault="007A08CB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2226B" w14:textId="77777777" w:rsidR="007A08CB" w:rsidRDefault="007A08CB" w:rsidP="008F650C">
      <w:pPr>
        <w:spacing w:after="0" w:line="240" w:lineRule="auto"/>
      </w:pPr>
      <w:r>
        <w:separator/>
      </w:r>
    </w:p>
  </w:footnote>
  <w:footnote w:type="continuationSeparator" w:id="0">
    <w:p w14:paraId="4E85605B" w14:textId="77777777" w:rsidR="007A08CB" w:rsidRDefault="007A08CB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7A08CB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7A08CB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7A08CB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70B6"/>
    <w:multiLevelType w:val="hybridMultilevel"/>
    <w:tmpl w:val="8148266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D1279"/>
    <w:multiLevelType w:val="hybridMultilevel"/>
    <w:tmpl w:val="AAA2B97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195D79"/>
    <w:multiLevelType w:val="hybridMultilevel"/>
    <w:tmpl w:val="486A8F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53490"/>
    <w:multiLevelType w:val="hybridMultilevel"/>
    <w:tmpl w:val="675ED66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AA0D87"/>
    <w:multiLevelType w:val="hybridMultilevel"/>
    <w:tmpl w:val="5A4C8F4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9124C1"/>
    <w:multiLevelType w:val="hybridMultilevel"/>
    <w:tmpl w:val="7D163C2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2D6FA2"/>
    <w:multiLevelType w:val="hybridMultilevel"/>
    <w:tmpl w:val="B928D70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78206B"/>
    <w:multiLevelType w:val="hybridMultilevel"/>
    <w:tmpl w:val="E1D2BD6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22968"/>
    <w:multiLevelType w:val="hybridMultilevel"/>
    <w:tmpl w:val="909C31F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3E5BB1"/>
    <w:multiLevelType w:val="hybridMultilevel"/>
    <w:tmpl w:val="A8787C6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F57E4F"/>
    <w:multiLevelType w:val="hybridMultilevel"/>
    <w:tmpl w:val="BD2A7CE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30E09"/>
    <w:multiLevelType w:val="hybridMultilevel"/>
    <w:tmpl w:val="2F42567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D0B4D"/>
    <w:multiLevelType w:val="hybridMultilevel"/>
    <w:tmpl w:val="6BE244D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284B55"/>
    <w:multiLevelType w:val="hybridMultilevel"/>
    <w:tmpl w:val="775A23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B3F78"/>
    <w:multiLevelType w:val="hybridMultilevel"/>
    <w:tmpl w:val="1F5A4030"/>
    <w:lvl w:ilvl="0" w:tplc="C08690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60D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AE09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8C6C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7C8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603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60F2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821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B0F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B080D66"/>
    <w:multiLevelType w:val="hybridMultilevel"/>
    <w:tmpl w:val="50BE21F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881B5F"/>
    <w:multiLevelType w:val="hybridMultilevel"/>
    <w:tmpl w:val="770A377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CD62555"/>
    <w:multiLevelType w:val="hybridMultilevel"/>
    <w:tmpl w:val="F2BEE2A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A110EE"/>
    <w:multiLevelType w:val="hybridMultilevel"/>
    <w:tmpl w:val="495EE7B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13"/>
  </w:num>
  <w:num w:numId="4">
    <w:abstractNumId w:val="16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5"/>
  </w:num>
  <w:num w:numId="10">
    <w:abstractNumId w:val="2"/>
  </w:num>
  <w:num w:numId="11">
    <w:abstractNumId w:val="18"/>
  </w:num>
  <w:num w:numId="12">
    <w:abstractNumId w:val="1"/>
  </w:num>
  <w:num w:numId="13">
    <w:abstractNumId w:val="7"/>
  </w:num>
  <w:num w:numId="14">
    <w:abstractNumId w:val="9"/>
  </w:num>
  <w:num w:numId="15">
    <w:abstractNumId w:val="12"/>
  </w:num>
  <w:num w:numId="16">
    <w:abstractNumId w:val="3"/>
  </w:num>
  <w:num w:numId="17">
    <w:abstractNumId w:val="11"/>
  </w:num>
  <w:num w:numId="18">
    <w:abstractNumId w:val="1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0A56BD"/>
    <w:rsid w:val="00116DE2"/>
    <w:rsid w:val="00161CF0"/>
    <w:rsid w:val="00192B49"/>
    <w:rsid w:val="001A74BD"/>
    <w:rsid w:val="001D2A1A"/>
    <w:rsid w:val="00225BB3"/>
    <w:rsid w:val="002613FD"/>
    <w:rsid w:val="002F586B"/>
    <w:rsid w:val="003724F7"/>
    <w:rsid w:val="00375660"/>
    <w:rsid w:val="003B7CF5"/>
    <w:rsid w:val="003E66A4"/>
    <w:rsid w:val="003F3F26"/>
    <w:rsid w:val="004B7395"/>
    <w:rsid w:val="00596CA2"/>
    <w:rsid w:val="00597276"/>
    <w:rsid w:val="005B7760"/>
    <w:rsid w:val="005D3AAF"/>
    <w:rsid w:val="00621534"/>
    <w:rsid w:val="0074436E"/>
    <w:rsid w:val="007A08CB"/>
    <w:rsid w:val="007F3FA4"/>
    <w:rsid w:val="00833CBE"/>
    <w:rsid w:val="00862D93"/>
    <w:rsid w:val="00864C0D"/>
    <w:rsid w:val="00884A25"/>
    <w:rsid w:val="008A2841"/>
    <w:rsid w:val="008B21A1"/>
    <w:rsid w:val="008F1D22"/>
    <w:rsid w:val="008F650C"/>
    <w:rsid w:val="009223E8"/>
    <w:rsid w:val="00924AAF"/>
    <w:rsid w:val="00981743"/>
    <w:rsid w:val="00994DEC"/>
    <w:rsid w:val="009A1DBE"/>
    <w:rsid w:val="00A133CC"/>
    <w:rsid w:val="00A43984"/>
    <w:rsid w:val="00A66112"/>
    <w:rsid w:val="00A750A0"/>
    <w:rsid w:val="00A83A30"/>
    <w:rsid w:val="00AA23B1"/>
    <w:rsid w:val="00AA4A8D"/>
    <w:rsid w:val="00AE340C"/>
    <w:rsid w:val="00B01274"/>
    <w:rsid w:val="00B23A29"/>
    <w:rsid w:val="00B440DF"/>
    <w:rsid w:val="00B52478"/>
    <w:rsid w:val="00C04F01"/>
    <w:rsid w:val="00C60359"/>
    <w:rsid w:val="00CC364A"/>
    <w:rsid w:val="00CD2C2A"/>
    <w:rsid w:val="00DA0754"/>
    <w:rsid w:val="00DD3422"/>
    <w:rsid w:val="00E218D8"/>
    <w:rsid w:val="00E556EC"/>
    <w:rsid w:val="00ED1FC9"/>
    <w:rsid w:val="00F27AD2"/>
    <w:rsid w:val="00F562DF"/>
    <w:rsid w:val="00FB7ACD"/>
    <w:rsid w:val="00FC6CC0"/>
    <w:rsid w:val="00FC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F7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3724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24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39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  <w:rPr>
      <w:rFonts w:eastAsiaTheme="minorHAnsi"/>
    </w:r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  <w:rPr>
      <w:rFonts w:eastAsiaTheme="minorHAns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character" w:customStyle="1" w:styleId="Ttulo1Car">
    <w:name w:val="Título 1 Car"/>
    <w:basedOn w:val="Fuentedeprrafopredeter"/>
    <w:link w:val="Ttulo1"/>
    <w:uiPriority w:val="9"/>
    <w:rsid w:val="003724F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724F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A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597276"/>
    <w:pPr>
      <w:ind w:left="720"/>
      <w:contextualSpacing/>
    </w:pPr>
  </w:style>
  <w:style w:type="paragraph" w:styleId="Sinespaciado">
    <w:name w:val="No Spacing"/>
    <w:uiPriority w:val="1"/>
    <w:qFormat/>
    <w:rsid w:val="007F3FA4"/>
    <w:pPr>
      <w:spacing w:after="0" w:line="240" w:lineRule="auto"/>
    </w:pPr>
    <w:rPr>
      <w:rFonts w:eastAsiaTheme="minorEastAsia"/>
    </w:rPr>
  </w:style>
  <w:style w:type="character" w:styleId="Textoennegrita">
    <w:name w:val="Strong"/>
    <w:basedOn w:val="Fuentedeprrafopredeter"/>
    <w:uiPriority w:val="22"/>
    <w:qFormat/>
    <w:rsid w:val="004B7395"/>
    <w:rPr>
      <w:b/>
      <w:bCs/>
    </w:rPr>
  </w:style>
  <w:style w:type="table" w:styleId="Tablaconcuadrcula">
    <w:name w:val="Table Grid"/>
    <w:basedOn w:val="Tablanormal"/>
    <w:uiPriority w:val="39"/>
    <w:rsid w:val="004B7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439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1329</Words>
  <Characters>7311</Characters>
  <Application>Microsoft Office Word</Application>
  <DocSecurity>0</DocSecurity>
  <Lines>60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76</cp:revision>
  <dcterms:created xsi:type="dcterms:W3CDTF">2026-01-27T00:36:00Z</dcterms:created>
  <dcterms:modified xsi:type="dcterms:W3CDTF">2026-02-11T20:50:00Z</dcterms:modified>
</cp:coreProperties>
</file>