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E7B89" w14:textId="77777777" w:rsidR="002916C7" w:rsidRDefault="002916C7" w:rsidP="002916C7">
      <w:pPr>
        <w:pStyle w:val="Ttulo1"/>
        <w:spacing w:line="360" w:lineRule="auto"/>
        <w:rPr>
          <w:rFonts w:ascii="Arial" w:eastAsia="Times New Roman" w:hAnsi="Arial" w:cs="Arial"/>
          <w:b/>
          <w:bCs/>
          <w:color w:val="auto"/>
          <w:sz w:val="24"/>
          <w:szCs w:val="24"/>
          <w:lang w:val="es-CO" w:eastAsia="es-CO"/>
        </w:rPr>
      </w:pPr>
      <w:bookmarkStart w:id="0" w:name="_Hlk221100322"/>
      <w:bookmarkEnd w:id="0"/>
    </w:p>
    <w:p w14:paraId="7FEAD7CF" w14:textId="77777777" w:rsidR="002916C7" w:rsidRDefault="002916C7" w:rsidP="002916C7">
      <w:pPr>
        <w:pStyle w:val="Ttulo1"/>
        <w:spacing w:line="360" w:lineRule="auto"/>
        <w:rPr>
          <w:rFonts w:ascii="Arial" w:eastAsia="Times New Roman" w:hAnsi="Arial" w:cs="Arial"/>
          <w:b/>
          <w:bCs/>
          <w:color w:val="auto"/>
          <w:sz w:val="24"/>
          <w:szCs w:val="24"/>
          <w:lang w:val="es-CO" w:eastAsia="es-CO"/>
        </w:rPr>
      </w:pPr>
    </w:p>
    <w:p w14:paraId="0146F363" w14:textId="3A764661" w:rsidR="002916C7" w:rsidRDefault="002916C7" w:rsidP="002916C7">
      <w:pPr>
        <w:rPr>
          <w:lang w:val="es-CO" w:eastAsia="es-CO"/>
        </w:rPr>
      </w:pPr>
    </w:p>
    <w:p w14:paraId="6F48F233" w14:textId="77777777" w:rsidR="002916C7" w:rsidRDefault="002916C7" w:rsidP="002916C7">
      <w:pPr>
        <w:rPr>
          <w:lang w:val="es-CO" w:eastAsia="es-CO"/>
        </w:rPr>
      </w:pPr>
    </w:p>
    <w:p w14:paraId="757DE236" w14:textId="77777777" w:rsidR="002916C7" w:rsidRDefault="002916C7" w:rsidP="002916C7">
      <w:pPr>
        <w:rPr>
          <w:lang w:val="es-CO" w:eastAsia="es-CO"/>
        </w:rPr>
      </w:pPr>
    </w:p>
    <w:p w14:paraId="604F1E47" w14:textId="77777777" w:rsidR="002916C7" w:rsidRDefault="002916C7" w:rsidP="002916C7">
      <w:pPr>
        <w:rPr>
          <w:lang w:val="es-CO" w:eastAsia="es-CO"/>
        </w:rPr>
      </w:pPr>
    </w:p>
    <w:p w14:paraId="5994031B" w14:textId="77777777" w:rsidR="002916C7" w:rsidRDefault="002916C7" w:rsidP="002916C7">
      <w:pPr>
        <w:rPr>
          <w:lang w:val="es-CO" w:eastAsia="es-CO"/>
        </w:rPr>
      </w:pPr>
    </w:p>
    <w:p w14:paraId="4E96D13B" w14:textId="5292270C" w:rsidR="002916C7" w:rsidRPr="00C61D69" w:rsidRDefault="002916C7" w:rsidP="002916C7">
      <w:pPr>
        <w:jc w:val="center"/>
        <w:rPr>
          <w:rFonts w:ascii="Arial" w:hAnsi="Arial" w:cs="Arial"/>
          <w:b/>
          <w:bCs/>
          <w:i/>
          <w:iCs/>
          <w:sz w:val="36"/>
          <w:szCs w:val="36"/>
          <w:lang w:val="es-CO" w:eastAsia="es-CO"/>
        </w:rPr>
      </w:pPr>
      <w:r w:rsidRPr="00C61D69">
        <w:rPr>
          <w:rFonts w:ascii="Arial" w:hAnsi="Arial" w:cs="Arial"/>
          <w:b/>
          <w:bCs/>
          <w:i/>
          <w:iCs/>
          <w:sz w:val="36"/>
          <w:szCs w:val="36"/>
          <w:lang w:val="es-CO" w:eastAsia="es-CO"/>
        </w:rPr>
        <w:t>PERFIL DE MORBILIDAD INSTITUCIONAL: 2025</w:t>
      </w:r>
    </w:p>
    <w:p w14:paraId="24ED4100" w14:textId="77777777" w:rsidR="002916C7" w:rsidRPr="002916C7" w:rsidRDefault="002916C7" w:rsidP="002916C7">
      <w:pPr>
        <w:rPr>
          <w:rFonts w:ascii="Arial" w:hAnsi="Arial" w:cs="Arial"/>
          <w:sz w:val="20"/>
          <w:szCs w:val="20"/>
          <w:lang w:val="es-CO" w:eastAsia="es-CO"/>
        </w:rPr>
      </w:pPr>
    </w:p>
    <w:p w14:paraId="7C95304F" w14:textId="77777777" w:rsidR="002916C7" w:rsidRPr="002916C7" w:rsidRDefault="002916C7" w:rsidP="002916C7">
      <w:pPr>
        <w:rPr>
          <w:rFonts w:ascii="Arial" w:hAnsi="Arial" w:cs="Arial"/>
          <w:sz w:val="20"/>
          <w:szCs w:val="20"/>
          <w:lang w:val="es-CO" w:eastAsia="es-CO"/>
        </w:rPr>
      </w:pPr>
    </w:p>
    <w:p w14:paraId="68FED87D" w14:textId="77777777" w:rsidR="002916C7" w:rsidRPr="002916C7" w:rsidRDefault="002916C7" w:rsidP="002916C7">
      <w:pPr>
        <w:rPr>
          <w:rFonts w:ascii="Arial" w:hAnsi="Arial" w:cs="Arial"/>
          <w:sz w:val="20"/>
          <w:szCs w:val="20"/>
          <w:lang w:val="es-CO" w:eastAsia="es-CO"/>
        </w:rPr>
      </w:pPr>
    </w:p>
    <w:p w14:paraId="68421F1D" w14:textId="77777777" w:rsidR="002916C7" w:rsidRPr="002916C7" w:rsidRDefault="002916C7" w:rsidP="002916C7">
      <w:pPr>
        <w:rPr>
          <w:rFonts w:ascii="Arial" w:hAnsi="Arial" w:cs="Arial"/>
          <w:sz w:val="20"/>
          <w:szCs w:val="20"/>
          <w:lang w:val="es-CO" w:eastAsia="es-CO"/>
        </w:rPr>
      </w:pPr>
    </w:p>
    <w:p w14:paraId="4FCC84EB" w14:textId="77777777" w:rsidR="002916C7" w:rsidRPr="002916C7" w:rsidRDefault="002916C7" w:rsidP="002916C7">
      <w:pPr>
        <w:rPr>
          <w:rFonts w:ascii="Arial" w:hAnsi="Arial" w:cs="Arial"/>
          <w:sz w:val="20"/>
          <w:szCs w:val="20"/>
          <w:lang w:val="es-CO" w:eastAsia="es-CO"/>
        </w:rPr>
      </w:pPr>
    </w:p>
    <w:p w14:paraId="428852B7" w14:textId="77777777" w:rsidR="002916C7" w:rsidRPr="002916C7" w:rsidRDefault="002916C7" w:rsidP="002916C7">
      <w:pPr>
        <w:rPr>
          <w:rFonts w:ascii="Arial" w:hAnsi="Arial" w:cs="Arial"/>
          <w:sz w:val="20"/>
          <w:szCs w:val="20"/>
          <w:lang w:val="es-CO" w:eastAsia="es-CO"/>
        </w:rPr>
      </w:pPr>
    </w:p>
    <w:p w14:paraId="035D63B5" w14:textId="77777777" w:rsidR="002916C7" w:rsidRDefault="002916C7" w:rsidP="002916C7">
      <w:pPr>
        <w:rPr>
          <w:rFonts w:ascii="Arial" w:hAnsi="Arial" w:cs="Arial"/>
          <w:sz w:val="20"/>
          <w:szCs w:val="20"/>
          <w:lang w:val="es-CO" w:eastAsia="es-CO"/>
        </w:rPr>
      </w:pPr>
    </w:p>
    <w:p w14:paraId="1FAB31CD" w14:textId="77777777" w:rsidR="002916C7" w:rsidRDefault="002916C7" w:rsidP="002916C7">
      <w:pPr>
        <w:rPr>
          <w:rFonts w:ascii="Arial" w:hAnsi="Arial" w:cs="Arial"/>
          <w:sz w:val="20"/>
          <w:szCs w:val="20"/>
          <w:lang w:val="es-CO" w:eastAsia="es-CO"/>
        </w:rPr>
      </w:pPr>
    </w:p>
    <w:p w14:paraId="3D807C27" w14:textId="77777777" w:rsidR="002916C7" w:rsidRDefault="002916C7" w:rsidP="002916C7">
      <w:pPr>
        <w:rPr>
          <w:rFonts w:ascii="Arial" w:hAnsi="Arial" w:cs="Arial"/>
          <w:sz w:val="20"/>
          <w:szCs w:val="20"/>
          <w:lang w:val="es-CO" w:eastAsia="es-CO"/>
        </w:rPr>
      </w:pPr>
    </w:p>
    <w:p w14:paraId="61F8D5A7" w14:textId="77777777" w:rsidR="002916C7" w:rsidRDefault="002916C7" w:rsidP="002916C7">
      <w:pPr>
        <w:rPr>
          <w:rFonts w:ascii="Arial" w:hAnsi="Arial" w:cs="Arial"/>
          <w:sz w:val="20"/>
          <w:szCs w:val="20"/>
          <w:lang w:val="es-CO" w:eastAsia="es-CO"/>
        </w:rPr>
      </w:pPr>
    </w:p>
    <w:p w14:paraId="280738C2" w14:textId="77777777" w:rsidR="002916C7" w:rsidRDefault="002916C7" w:rsidP="002916C7">
      <w:pPr>
        <w:rPr>
          <w:rFonts w:ascii="Arial" w:hAnsi="Arial" w:cs="Arial"/>
          <w:sz w:val="20"/>
          <w:szCs w:val="20"/>
          <w:lang w:val="es-CO" w:eastAsia="es-CO"/>
        </w:rPr>
      </w:pPr>
    </w:p>
    <w:p w14:paraId="37962031" w14:textId="77777777" w:rsidR="002916C7" w:rsidRDefault="002916C7" w:rsidP="002916C7">
      <w:pPr>
        <w:rPr>
          <w:rFonts w:ascii="Arial" w:hAnsi="Arial" w:cs="Arial"/>
          <w:sz w:val="20"/>
          <w:szCs w:val="20"/>
          <w:lang w:val="es-CO" w:eastAsia="es-CO"/>
        </w:rPr>
      </w:pPr>
    </w:p>
    <w:p w14:paraId="49D062CE" w14:textId="77777777" w:rsidR="002916C7" w:rsidRPr="002916C7" w:rsidRDefault="002916C7" w:rsidP="002916C7">
      <w:pPr>
        <w:rPr>
          <w:rFonts w:ascii="Arial" w:hAnsi="Arial" w:cs="Arial"/>
          <w:sz w:val="20"/>
          <w:szCs w:val="20"/>
          <w:lang w:val="es-CO" w:eastAsia="es-CO"/>
        </w:rPr>
      </w:pPr>
    </w:p>
    <w:p w14:paraId="52A8805C" w14:textId="77777777" w:rsidR="002916C7" w:rsidRPr="002916C7" w:rsidRDefault="002916C7" w:rsidP="002916C7">
      <w:pPr>
        <w:rPr>
          <w:rFonts w:ascii="Arial" w:hAnsi="Arial" w:cs="Arial"/>
          <w:sz w:val="20"/>
          <w:szCs w:val="20"/>
          <w:lang w:val="es-CO" w:eastAsia="es-CO"/>
        </w:rPr>
      </w:pPr>
    </w:p>
    <w:p w14:paraId="1DB5B46E" w14:textId="77777777" w:rsidR="002916C7" w:rsidRDefault="002916C7" w:rsidP="002916C7">
      <w:pPr>
        <w:rPr>
          <w:lang w:val="es-CO" w:eastAsia="es-CO"/>
        </w:rPr>
      </w:pPr>
    </w:p>
    <w:p w14:paraId="1203218C" w14:textId="77777777" w:rsidR="002916C7" w:rsidRDefault="002916C7" w:rsidP="002916C7">
      <w:pPr>
        <w:rPr>
          <w:lang w:val="es-CO" w:eastAsia="es-CO"/>
        </w:rPr>
      </w:pPr>
    </w:p>
    <w:p w14:paraId="0C37AEAC" w14:textId="77777777" w:rsidR="002916C7" w:rsidRDefault="002916C7" w:rsidP="002916C7">
      <w:pPr>
        <w:rPr>
          <w:lang w:val="es-CO" w:eastAsia="es-CO"/>
        </w:rPr>
      </w:pPr>
    </w:p>
    <w:p w14:paraId="0005A758" w14:textId="77777777" w:rsidR="006C7AF6" w:rsidRDefault="006C7AF6" w:rsidP="002916C7">
      <w:pPr>
        <w:rPr>
          <w:lang w:val="es-CO" w:eastAsia="es-CO"/>
        </w:rPr>
      </w:pPr>
    </w:p>
    <w:p w14:paraId="12F2D41C" w14:textId="77777777" w:rsidR="006C7AF6" w:rsidRDefault="006C7AF6" w:rsidP="002916C7">
      <w:pPr>
        <w:rPr>
          <w:lang w:val="es-CO" w:eastAsia="es-CO"/>
        </w:rPr>
      </w:pPr>
    </w:p>
    <w:p w14:paraId="3399FEAD" w14:textId="77777777" w:rsidR="002916C7" w:rsidRDefault="002916C7" w:rsidP="002916C7">
      <w:pPr>
        <w:rPr>
          <w:lang w:val="es-CO" w:eastAsia="es-CO"/>
        </w:rPr>
      </w:pPr>
    </w:p>
    <w:p w14:paraId="096F8ABB" w14:textId="143DCCB9" w:rsidR="00563945" w:rsidRPr="00563945" w:rsidRDefault="00563945" w:rsidP="002916C7">
      <w:pPr>
        <w:pStyle w:val="Ttulo1"/>
        <w:numPr>
          <w:ilvl w:val="0"/>
          <w:numId w:val="6"/>
        </w:numPr>
        <w:spacing w:line="360" w:lineRule="auto"/>
        <w:jc w:val="center"/>
        <w:rPr>
          <w:rFonts w:ascii="Arial" w:eastAsia="Times New Roman" w:hAnsi="Arial" w:cs="Arial"/>
          <w:b/>
          <w:bCs/>
          <w:color w:val="auto"/>
          <w:sz w:val="24"/>
          <w:szCs w:val="24"/>
          <w:lang w:val="es-CO" w:eastAsia="es-CO"/>
        </w:rPr>
      </w:pPr>
      <w:r w:rsidRPr="00563945">
        <w:rPr>
          <w:rFonts w:ascii="Arial" w:eastAsia="Times New Roman" w:hAnsi="Arial" w:cs="Arial"/>
          <w:b/>
          <w:bCs/>
          <w:color w:val="auto"/>
          <w:sz w:val="24"/>
          <w:szCs w:val="24"/>
          <w:lang w:val="es-CO" w:eastAsia="es-CO"/>
        </w:rPr>
        <w:lastRenderedPageBreak/>
        <w:t>INTRODUCCIÓN</w:t>
      </w:r>
    </w:p>
    <w:p w14:paraId="2DD4D523" w14:textId="77777777" w:rsidR="006C7AF6" w:rsidRPr="006C7AF6" w:rsidRDefault="006C7AF6" w:rsidP="006C7AF6">
      <w:pPr>
        <w:spacing w:before="100" w:beforeAutospacing="1" w:after="100" w:afterAutospacing="1" w:line="360" w:lineRule="auto"/>
        <w:jc w:val="both"/>
        <w:rPr>
          <w:rFonts w:ascii="Arial" w:eastAsia="Times New Roman" w:hAnsi="Arial" w:cs="Arial"/>
          <w:sz w:val="20"/>
          <w:szCs w:val="20"/>
          <w:lang w:val="es-CO" w:eastAsia="es-CO"/>
        </w:rPr>
      </w:pPr>
      <w:r w:rsidRPr="006C7AF6">
        <w:rPr>
          <w:rFonts w:ascii="Arial" w:eastAsia="Times New Roman" w:hAnsi="Arial" w:cs="Arial"/>
          <w:sz w:val="20"/>
          <w:szCs w:val="20"/>
          <w:lang w:val="es-CO" w:eastAsia="es-CO"/>
        </w:rPr>
        <w:t>El presente informe describe el perfil de morbilidad del Hospital Regional de Moniquirá E.S.E. correspondiente al año 2025, a partir del análisis de los diagnósticos registrados conforme a la Clasificación Internacional de Enfermedades, décima revisión (CIE-10). El documento incluye tanto los diagnósticos confirmados como los motivos de consulta asociados a signos y síntomas, correspondientes al grupo R de la CIE-10, los cuales se analizan de manera diferenciada, reconociendo su relevancia en la carga asistencial y en la demanda de los servicios de salud.</w:t>
      </w:r>
    </w:p>
    <w:p w14:paraId="59017548" w14:textId="77777777" w:rsidR="006C7AF6" w:rsidRPr="006C7AF6" w:rsidRDefault="006C7AF6" w:rsidP="006C7AF6">
      <w:pPr>
        <w:spacing w:before="100" w:beforeAutospacing="1" w:after="100" w:afterAutospacing="1" w:line="360" w:lineRule="auto"/>
        <w:jc w:val="both"/>
        <w:rPr>
          <w:rFonts w:ascii="Arial" w:eastAsia="Times New Roman" w:hAnsi="Arial" w:cs="Arial"/>
          <w:sz w:val="20"/>
          <w:szCs w:val="20"/>
          <w:lang w:val="es-CO" w:eastAsia="es-CO"/>
        </w:rPr>
      </w:pPr>
      <w:r w:rsidRPr="006C7AF6">
        <w:rPr>
          <w:rFonts w:ascii="Arial" w:eastAsia="Times New Roman" w:hAnsi="Arial" w:cs="Arial"/>
          <w:sz w:val="20"/>
          <w:szCs w:val="20"/>
          <w:lang w:val="es-CO" w:eastAsia="es-CO"/>
        </w:rPr>
        <w:t>El análisis de la morbilidad atendida permite identificar tendencias epidemiológicas relevantes y reconocer patologías prioritarias que generan un impacto significativo en la utilización de los recursos institucionales. En este sentido, el perfil de morbilidad constituye una línea base para el seguimiento de indicadores de salud, la evaluación de intervenciones implementadas y la formulación de estrategias orientadas al fortalecimiento de la calidad de la atención y los resultados en salud.</w:t>
      </w:r>
    </w:p>
    <w:p w14:paraId="702CBC44" w14:textId="36D210A2" w:rsidR="00563945" w:rsidRPr="006C7AF6" w:rsidRDefault="006C7AF6" w:rsidP="006C7AF6">
      <w:pPr>
        <w:spacing w:before="100" w:beforeAutospacing="1" w:after="100" w:afterAutospacing="1" w:line="360" w:lineRule="auto"/>
        <w:jc w:val="both"/>
        <w:rPr>
          <w:rFonts w:ascii="Arial" w:eastAsia="Times New Roman" w:hAnsi="Arial" w:cs="Arial"/>
          <w:sz w:val="20"/>
          <w:szCs w:val="20"/>
          <w:lang w:val="es-CO" w:eastAsia="es-CO"/>
        </w:rPr>
      </w:pPr>
      <w:r w:rsidRPr="006C7AF6">
        <w:rPr>
          <w:rFonts w:ascii="Arial" w:eastAsia="Times New Roman" w:hAnsi="Arial" w:cs="Arial"/>
          <w:sz w:val="20"/>
          <w:szCs w:val="20"/>
          <w:lang w:val="es-CO" w:eastAsia="es-CO"/>
        </w:rPr>
        <w:t xml:space="preserve">Este informe tiene como propósito servir como un insumo técnico y estratégico para los diferentes niveles directivos del hospital, apoyando la toma de decisiones relacionadas con la planeación institucional, la priorización de guías de práctica clínica, la gestión del riesgo en salud y el mejoramiento continuo de los procesos asistenciales. De esta manera, el perfil de morbilidad del año 2025 se consolida como una herramienta clave para orientar acciones que contribuyan al fortalecimiento de la atención integral, la eficiencia en el uso de los recursos y el cumplimiento de los objetivos misionales de la </w:t>
      </w:r>
      <w:r w:rsidR="003D7022" w:rsidRPr="006C7AF6">
        <w:rPr>
          <w:rFonts w:ascii="Arial" w:eastAsia="Times New Roman" w:hAnsi="Arial" w:cs="Arial"/>
          <w:sz w:val="20"/>
          <w:szCs w:val="20"/>
          <w:lang w:val="es-CO" w:eastAsia="es-CO"/>
        </w:rPr>
        <w:t>institución.</w:t>
      </w:r>
    </w:p>
    <w:p w14:paraId="0EA7FC29" w14:textId="7827BBC5" w:rsidR="00A419A7" w:rsidRDefault="00A419A7" w:rsidP="002916C7">
      <w:pPr>
        <w:pStyle w:val="Ttulo1"/>
        <w:numPr>
          <w:ilvl w:val="0"/>
          <w:numId w:val="6"/>
        </w:numPr>
        <w:spacing w:line="360" w:lineRule="auto"/>
        <w:jc w:val="center"/>
        <w:rPr>
          <w:rFonts w:ascii="Arial" w:hAnsi="Arial" w:cs="Arial"/>
          <w:b/>
          <w:bCs/>
          <w:color w:val="auto"/>
          <w:sz w:val="24"/>
          <w:szCs w:val="24"/>
          <w:lang w:val="es-CO"/>
        </w:rPr>
      </w:pPr>
      <w:r>
        <w:rPr>
          <w:rFonts w:ascii="Arial" w:hAnsi="Arial" w:cs="Arial"/>
          <w:b/>
          <w:bCs/>
          <w:color w:val="auto"/>
          <w:sz w:val="24"/>
          <w:szCs w:val="24"/>
          <w:lang w:val="es-CO"/>
        </w:rPr>
        <w:t>OBJETIVOS</w:t>
      </w:r>
    </w:p>
    <w:p w14:paraId="7D23A04B" w14:textId="15A993E1" w:rsidR="00BC3716" w:rsidRPr="00A00510" w:rsidRDefault="00BC3716" w:rsidP="00CC2897">
      <w:pPr>
        <w:spacing w:line="360" w:lineRule="auto"/>
        <w:jc w:val="both"/>
        <w:rPr>
          <w:rFonts w:ascii="Arial" w:hAnsi="Arial" w:cs="Arial"/>
          <w:b/>
          <w:bCs/>
          <w:sz w:val="20"/>
          <w:szCs w:val="20"/>
          <w:lang w:val="es-CO"/>
        </w:rPr>
      </w:pPr>
      <w:r w:rsidRPr="00A00510">
        <w:rPr>
          <w:rFonts w:ascii="Arial" w:hAnsi="Arial" w:cs="Arial"/>
          <w:b/>
          <w:bCs/>
          <w:sz w:val="20"/>
          <w:szCs w:val="20"/>
          <w:lang w:val="es-CO"/>
        </w:rPr>
        <w:t>2.1 Objetivo General</w:t>
      </w:r>
    </w:p>
    <w:p w14:paraId="79A4466F" w14:textId="4CFF671D" w:rsidR="00A419A7" w:rsidRDefault="00BC3716" w:rsidP="00BC3716">
      <w:pPr>
        <w:spacing w:line="360" w:lineRule="auto"/>
        <w:jc w:val="both"/>
        <w:rPr>
          <w:rFonts w:ascii="Arial" w:hAnsi="Arial" w:cs="Arial"/>
          <w:sz w:val="20"/>
          <w:szCs w:val="20"/>
          <w:lang w:val="es-CO"/>
        </w:rPr>
      </w:pPr>
      <w:r w:rsidRPr="00BC3716">
        <w:rPr>
          <w:rFonts w:ascii="Arial" w:hAnsi="Arial" w:cs="Arial"/>
          <w:sz w:val="20"/>
          <w:szCs w:val="20"/>
          <w:lang w:val="es-CO"/>
        </w:rPr>
        <w:t xml:space="preserve">Describir y analizar el </w:t>
      </w:r>
      <w:r w:rsidRPr="00BC3716">
        <w:rPr>
          <w:rStyle w:val="Textoennegrita"/>
          <w:rFonts w:ascii="Arial" w:hAnsi="Arial" w:cs="Arial"/>
          <w:b w:val="0"/>
          <w:bCs w:val="0"/>
          <w:sz w:val="20"/>
          <w:szCs w:val="20"/>
          <w:lang w:val="es-CO"/>
        </w:rPr>
        <w:t>perfil de morbilidad</w:t>
      </w:r>
      <w:r w:rsidRPr="00BC3716">
        <w:rPr>
          <w:rFonts w:ascii="Arial" w:hAnsi="Arial" w:cs="Arial"/>
          <w:sz w:val="20"/>
          <w:szCs w:val="20"/>
          <w:lang w:val="es-CO"/>
        </w:rPr>
        <w:t xml:space="preserve"> de la población atendida en la institución durante el periodo evaluado, a partir de la información registrada en las fuentes institucionales y codificada según la </w:t>
      </w:r>
      <w:r w:rsidRPr="00BC3716">
        <w:rPr>
          <w:rStyle w:val="Textoennegrita"/>
          <w:rFonts w:ascii="Arial" w:hAnsi="Arial" w:cs="Arial"/>
          <w:b w:val="0"/>
          <w:bCs w:val="0"/>
          <w:sz w:val="20"/>
          <w:szCs w:val="20"/>
          <w:lang w:val="es-CO"/>
        </w:rPr>
        <w:t>Clasificación Internacional de Enfermedades – CIE-10</w:t>
      </w:r>
      <w:r w:rsidRPr="00BC3716">
        <w:rPr>
          <w:rFonts w:ascii="Arial" w:hAnsi="Arial" w:cs="Arial"/>
          <w:b/>
          <w:bCs/>
          <w:sz w:val="20"/>
          <w:szCs w:val="20"/>
          <w:lang w:val="es-CO"/>
        </w:rPr>
        <w:t>,</w:t>
      </w:r>
      <w:r w:rsidRPr="00BC3716">
        <w:rPr>
          <w:rFonts w:ascii="Arial" w:hAnsi="Arial" w:cs="Arial"/>
          <w:sz w:val="20"/>
          <w:szCs w:val="20"/>
          <w:lang w:val="es-CO"/>
        </w:rPr>
        <w:t xml:space="preserve"> con el fin de apoyar la planeación, priorización y mejora de los servicios de salud.</w:t>
      </w:r>
    </w:p>
    <w:p w14:paraId="2C225FFA" w14:textId="26730642" w:rsidR="00CC2897" w:rsidRPr="00A00510" w:rsidRDefault="00BC3716" w:rsidP="00CC2897">
      <w:pPr>
        <w:pStyle w:val="Prrafodelista"/>
        <w:numPr>
          <w:ilvl w:val="1"/>
          <w:numId w:val="10"/>
        </w:numPr>
        <w:spacing w:line="360" w:lineRule="auto"/>
        <w:jc w:val="both"/>
        <w:rPr>
          <w:rFonts w:ascii="Arial" w:hAnsi="Arial" w:cs="Arial"/>
          <w:b/>
          <w:bCs/>
          <w:sz w:val="20"/>
          <w:szCs w:val="20"/>
          <w:lang w:val="es-CO"/>
        </w:rPr>
      </w:pPr>
      <w:r w:rsidRPr="00A00510">
        <w:rPr>
          <w:rFonts w:ascii="Arial" w:hAnsi="Arial" w:cs="Arial"/>
          <w:b/>
          <w:bCs/>
          <w:sz w:val="20"/>
          <w:szCs w:val="20"/>
          <w:lang w:val="es-CO"/>
        </w:rPr>
        <w:t>Objetivo</w:t>
      </w:r>
      <w:r w:rsidR="00A00510">
        <w:rPr>
          <w:rFonts w:ascii="Arial" w:hAnsi="Arial" w:cs="Arial"/>
          <w:b/>
          <w:bCs/>
          <w:sz w:val="20"/>
          <w:szCs w:val="20"/>
          <w:lang w:val="es-CO"/>
        </w:rPr>
        <w:t>s</w:t>
      </w:r>
      <w:r w:rsidRPr="00A00510">
        <w:rPr>
          <w:rFonts w:ascii="Arial" w:hAnsi="Arial" w:cs="Arial"/>
          <w:b/>
          <w:bCs/>
          <w:sz w:val="20"/>
          <w:szCs w:val="20"/>
          <w:lang w:val="es-CO"/>
        </w:rPr>
        <w:t xml:space="preserve"> Específicos</w:t>
      </w:r>
    </w:p>
    <w:p w14:paraId="64E9FFCC" w14:textId="77777777" w:rsidR="00CC2897" w:rsidRPr="00CC2897" w:rsidRDefault="0064245C" w:rsidP="00CC2897">
      <w:pPr>
        <w:pStyle w:val="Prrafodelista"/>
        <w:numPr>
          <w:ilvl w:val="0"/>
          <w:numId w:val="11"/>
        </w:numPr>
        <w:spacing w:line="360" w:lineRule="auto"/>
        <w:jc w:val="both"/>
        <w:rPr>
          <w:rFonts w:ascii="Arial" w:hAnsi="Arial" w:cs="Arial"/>
          <w:sz w:val="20"/>
          <w:szCs w:val="20"/>
          <w:lang w:val="es-CO"/>
        </w:rPr>
      </w:pPr>
      <w:r w:rsidRPr="00CC2897">
        <w:rPr>
          <w:rFonts w:ascii="Arial" w:eastAsia="Times New Roman" w:hAnsi="Arial" w:cs="Arial"/>
          <w:sz w:val="20"/>
          <w:szCs w:val="20"/>
          <w:lang w:val="es-CO" w:eastAsia="es-CO"/>
        </w:rPr>
        <w:t>Analizar la distribución de la morbilidad según servicios de atención.</w:t>
      </w:r>
    </w:p>
    <w:p w14:paraId="1C2FE221" w14:textId="09CEFDC4" w:rsidR="0064245C" w:rsidRPr="00CC2897" w:rsidRDefault="0064245C" w:rsidP="00CC2897">
      <w:pPr>
        <w:pStyle w:val="Prrafodelista"/>
        <w:numPr>
          <w:ilvl w:val="0"/>
          <w:numId w:val="11"/>
        </w:numPr>
        <w:spacing w:line="360" w:lineRule="auto"/>
        <w:jc w:val="both"/>
        <w:rPr>
          <w:rFonts w:ascii="Arial" w:hAnsi="Arial" w:cs="Arial"/>
          <w:sz w:val="20"/>
          <w:szCs w:val="20"/>
          <w:lang w:val="es-CO"/>
        </w:rPr>
      </w:pPr>
      <w:r w:rsidRPr="00CC2897">
        <w:rPr>
          <w:rFonts w:ascii="Arial" w:eastAsia="Times New Roman" w:hAnsi="Arial" w:cs="Arial"/>
          <w:sz w:val="20"/>
          <w:szCs w:val="20"/>
          <w:lang w:val="es-CO" w:eastAsia="es-CO"/>
        </w:rPr>
        <w:t>Generar información epidemiológica confiable y trazable que sirva como insumo para la toma de decisiones clínicas, administrativas y de gestión en salud.</w:t>
      </w:r>
    </w:p>
    <w:p w14:paraId="50E47777" w14:textId="77777777" w:rsidR="00BC3716" w:rsidRPr="00BC3716" w:rsidRDefault="00BC3716" w:rsidP="00BC3716">
      <w:pPr>
        <w:spacing w:line="360" w:lineRule="auto"/>
        <w:ind w:left="360"/>
        <w:jc w:val="both"/>
        <w:rPr>
          <w:rFonts w:ascii="Arial" w:hAnsi="Arial" w:cs="Arial"/>
          <w:sz w:val="20"/>
          <w:szCs w:val="20"/>
          <w:lang w:val="es-CO"/>
        </w:rPr>
      </w:pPr>
    </w:p>
    <w:p w14:paraId="094F6789" w14:textId="637806C1" w:rsidR="00563945" w:rsidRPr="00563945" w:rsidRDefault="00563945" w:rsidP="002916C7">
      <w:pPr>
        <w:pStyle w:val="Ttulo1"/>
        <w:numPr>
          <w:ilvl w:val="0"/>
          <w:numId w:val="6"/>
        </w:numPr>
        <w:spacing w:line="360" w:lineRule="auto"/>
        <w:jc w:val="center"/>
        <w:rPr>
          <w:rFonts w:ascii="Arial" w:hAnsi="Arial" w:cs="Arial"/>
          <w:b/>
          <w:bCs/>
          <w:color w:val="auto"/>
          <w:sz w:val="24"/>
          <w:szCs w:val="24"/>
          <w:lang w:val="es-CO"/>
        </w:rPr>
      </w:pPr>
      <w:r w:rsidRPr="00563945">
        <w:rPr>
          <w:rFonts w:ascii="Arial" w:hAnsi="Arial" w:cs="Arial"/>
          <w:b/>
          <w:bCs/>
          <w:color w:val="auto"/>
          <w:sz w:val="24"/>
          <w:szCs w:val="24"/>
          <w:lang w:val="es-CO"/>
        </w:rPr>
        <w:lastRenderedPageBreak/>
        <w:t>METODOLOGÍA</w:t>
      </w:r>
    </w:p>
    <w:p w14:paraId="245CD6F5" w14:textId="48C05263" w:rsidR="00A4712A" w:rsidRPr="00A4712A" w:rsidRDefault="00A4712A" w:rsidP="00A4712A">
      <w:pPr>
        <w:pStyle w:val="NormalWeb"/>
        <w:spacing w:line="360" w:lineRule="auto"/>
        <w:jc w:val="both"/>
        <w:rPr>
          <w:rFonts w:ascii="Arial" w:hAnsi="Arial" w:cs="Arial"/>
          <w:sz w:val="20"/>
          <w:szCs w:val="20"/>
        </w:rPr>
      </w:pPr>
      <w:r w:rsidRPr="00A4712A">
        <w:rPr>
          <w:rFonts w:ascii="Arial" w:hAnsi="Arial" w:cs="Arial"/>
          <w:sz w:val="20"/>
          <w:szCs w:val="20"/>
        </w:rPr>
        <w:t>Se realizó un estudio descriptivo de corte transversal a partir del análisis de los registros asistenciales del Hospital Regional de Moniquirá E.S.E correspondientes al periodo comprendido entre el 1 de enero y el 31 de diciembre de 2025. La información fue obtenida de las bases de datos institucionales, que incluyen los diagnósticos registrados en los diferentes servicios de atención, codificados según la Clasificación Internacional de Enfermedades, décima revisión (CIE-10).</w:t>
      </w:r>
    </w:p>
    <w:p w14:paraId="7679842D" w14:textId="4B4938B9" w:rsidR="00F72E34" w:rsidRPr="00F72E34" w:rsidRDefault="00A4712A" w:rsidP="00A4712A">
      <w:pPr>
        <w:pStyle w:val="NormalWeb"/>
        <w:spacing w:line="360" w:lineRule="auto"/>
        <w:jc w:val="both"/>
        <w:rPr>
          <w:rFonts w:ascii="Arial" w:hAnsi="Arial" w:cs="Arial"/>
          <w:sz w:val="20"/>
          <w:szCs w:val="20"/>
        </w:rPr>
      </w:pPr>
      <w:r w:rsidRPr="00A4712A">
        <w:rPr>
          <w:rFonts w:ascii="Arial" w:hAnsi="Arial" w:cs="Arial"/>
          <w:sz w:val="20"/>
          <w:szCs w:val="20"/>
        </w:rPr>
        <w:t xml:space="preserve">La población de estudio estuvo constituida por todas las atenciones registradas durante el periodo analizado en los servicios de urgencias, consulta externa y hospitalización. </w:t>
      </w:r>
      <w:r w:rsidR="00F72E34" w:rsidRPr="00F72E34">
        <w:rPr>
          <w:rFonts w:ascii="Arial" w:hAnsi="Arial" w:cs="Arial"/>
          <w:sz w:val="20"/>
          <w:szCs w:val="20"/>
        </w:rPr>
        <w:t>Se excluyeron de este análisis los diagnósticos clasificados en el grupo R (síntomas, signos y hallazgos clínicos no especificados), así como los diagnósticos relacionados con</w:t>
      </w:r>
      <w:r w:rsidR="00B34430">
        <w:rPr>
          <w:rFonts w:ascii="Arial" w:hAnsi="Arial" w:cs="Arial"/>
          <w:sz w:val="20"/>
          <w:szCs w:val="20"/>
        </w:rPr>
        <w:t xml:space="preserve"> sospechas diagnósticas (ejemplo </w:t>
      </w:r>
      <w:r w:rsidR="00B1714E">
        <w:rPr>
          <w:rFonts w:ascii="Arial" w:hAnsi="Arial" w:cs="Arial"/>
          <w:sz w:val="20"/>
          <w:szCs w:val="20"/>
        </w:rPr>
        <w:t>H400 sospecha de glaucoma)</w:t>
      </w:r>
      <w:r w:rsidR="00B34430">
        <w:rPr>
          <w:rFonts w:ascii="Arial" w:hAnsi="Arial" w:cs="Arial"/>
          <w:sz w:val="20"/>
          <w:szCs w:val="20"/>
        </w:rPr>
        <w:t>,</w:t>
      </w:r>
      <w:r w:rsidR="00F72E34" w:rsidRPr="00F72E34">
        <w:rPr>
          <w:rFonts w:ascii="Arial" w:hAnsi="Arial" w:cs="Arial"/>
          <w:sz w:val="20"/>
          <w:szCs w:val="20"/>
        </w:rPr>
        <w:t xml:space="preserve"> eventos obstétricos fisiológicos, tales como el falso trabajo de parto y el trabajo de parto sin complicaciones</w:t>
      </w:r>
      <w:r w:rsidR="00F72E34">
        <w:rPr>
          <w:rFonts w:ascii="Arial" w:hAnsi="Arial" w:cs="Arial"/>
          <w:sz w:val="20"/>
          <w:szCs w:val="20"/>
        </w:rPr>
        <w:t>.</w:t>
      </w:r>
    </w:p>
    <w:p w14:paraId="61F0954F" w14:textId="720ADC54" w:rsidR="00A4712A" w:rsidRDefault="00A4712A" w:rsidP="00A4712A">
      <w:pPr>
        <w:pStyle w:val="NormalWeb"/>
        <w:spacing w:line="360" w:lineRule="auto"/>
        <w:jc w:val="both"/>
        <w:rPr>
          <w:rFonts w:ascii="Arial" w:hAnsi="Arial" w:cs="Arial"/>
          <w:sz w:val="20"/>
          <w:szCs w:val="20"/>
        </w:rPr>
      </w:pPr>
      <w:r w:rsidRPr="00A4712A">
        <w:rPr>
          <w:rFonts w:ascii="Arial" w:hAnsi="Arial" w:cs="Arial"/>
          <w:sz w:val="20"/>
          <w:szCs w:val="20"/>
        </w:rPr>
        <w:t>El análisis de la información se realizó mediante estadística descriptiva, utilizando frecuencias absolutas y relativas para la caracterización de los diagnósticos, así como su distribución por servicio de atención. Los resultados se presentaron en tablas y gráficos que permiten una visualización clara y facilitan la interpretación de los hallazgos para la toma de decisiones gerenciales</w:t>
      </w:r>
      <w:r w:rsidR="00F92D3E">
        <w:rPr>
          <w:rFonts w:ascii="Arial" w:hAnsi="Arial" w:cs="Arial"/>
          <w:sz w:val="20"/>
          <w:szCs w:val="20"/>
        </w:rPr>
        <w:t xml:space="preserve"> (Ver Anexo 1)</w:t>
      </w:r>
      <w:r w:rsidRPr="00A4712A">
        <w:rPr>
          <w:rFonts w:ascii="Arial" w:hAnsi="Arial" w:cs="Arial"/>
          <w:sz w:val="20"/>
          <w:szCs w:val="20"/>
        </w:rPr>
        <w:t>.</w:t>
      </w:r>
    </w:p>
    <w:p w14:paraId="1EAC5CBE" w14:textId="5E401E29" w:rsidR="003E20A1" w:rsidRPr="002916C7" w:rsidRDefault="003E20A1" w:rsidP="002916C7">
      <w:pPr>
        <w:pStyle w:val="Prrafodelista"/>
        <w:numPr>
          <w:ilvl w:val="0"/>
          <w:numId w:val="6"/>
        </w:numPr>
        <w:spacing w:line="360" w:lineRule="auto"/>
        <w:jc w:val="center"/>
        <w:rPr>
          <w:rFonts w:ascii="Arial" w:hAnsi="Arial" w:cs="Arial"/>
          <w:b/>
          <w:bCs/>
          <w:sz w:val="24"/>
          <w:szCs w:val="24"/>
          <w:lang w:val="es-CO"/>
        </w:rPr>
      </w:pPr>
      <w:r w:rsidRPr="002916C7">
        <w:rPr>
          <w:rFonts w:ascii="Arial" w:hAnsi="Arial" w:cs="Arial"/>
          <w:b/>
          <w:bCs/>
          <w:sz w:val="24"/>
          <w:szCs w:val="24"/>
          <w:lang w:val="es-CO"/>
        </w:rPr>
        <w:t>RESULTADOS</w:t>
      </w:r>
    </w:p>
    <w:p w14:paraId="110C3B36" w14:textId="292DB209" w:rsidR="00563945" w:rsidRPr="00E2476B" w:rsidRDefault="003E20A1" w:rsidP="00270518">
      <w:pPr>
        <w:pStyle w:val="Prrafodelista"/>
        <w:numPr>
          <w:ilvl w:val="1"/>
          <w:numId w:val="12"/>
        </w:numPr>
        <w:spacing w:line="360" w:lineRule="auto"/>
        <w:rPr>
          <w:rFonts w:ascii="Arial" w:hAnsi="Arial" w:cs="Arial"/>
          <w:b/>
          <w:bCs/>
          <w:sz w:val="20"/>
          <w:szCs w:val="20"/>
          <w:lang w:val="es-CO"/>
        </w:rPr>
      </w:pPr>
      <w:r w:rsidRPr="00E2476B">
        <w:rPr>
          <w:rFonts w:ascii="Arial" w:hAnsi="Arial" w:cs="Arial"/>
          <w:b/>
          <w:bCs/>
          <w:sz w:val="20"/>
          <w:szCs w:val="20"/>
          <w:lang w:val="es-CO"/>
        </w:rPr>
        <w:t>Perfil de morbilidad general (diagnósticos confirmados)</w:t>
      </w:r>
      <w:r w:rsidR="00F92D3E" w:rsidRPr="00E2476B">
        <w:rPr>
          <w:rFonts w:ascii="Arial" w:hAnsi="Arial" w:cs="Arial"/>
          <w:b/>
          <w:bCs/>
          <w:sz w:val="20"/>
          <w:szCs w:val="20"/>
          <w:lang w:val="es-CO"/>
        </w:rPr>
        <w:t xml:space="preserve"> </w:t>
      </w:r>
    </w:p>
    <w:p w14:paraId="002C7163" w14:textId="583973DE" w:rsidR="003D7022" w:rsidRPr="003D7022" w:rsidRDefault="003D7022" w:rsidP="00717ECA">
      <w:pPr>
        <w:spacing w:before="100" w:beforeAutospacing="1" w:after="100" w:afterAutospacing="1" w:line="360" w:lineRule="auto"/>
        <w:jc w:val="both"/>
        <w:rPr>
          <w:rFonts w:ascii="Arial" w:eastAsia="Times New Roman" w:hAnsi="Arial" w:cs="Arial"/>
          <w:sz w:val="20"/>
          <w:szCs w:val="20"/>
          <w:lang w:val="es-CO" w:eastAsia="es-CO"/>
        </w:rPr>
      </w:pPr>
      <w:r w:rsidRPr="003D7022">
        <w:rPr>
          <w:rFonts w:ascii="Arial" w:eastAsia="Times New Roman" w:hAnsi="Arial" w:cs="Arial"/>
          <w:sz w:val="20"/>
          <w:szCs w:val="20"/>
          <w:lang w:val="es-CO" w:eastAsia="es-CO"/>
        </w:rPr>
        <w:t xml:space="preserve">Durante el año 2025, en la institución se registraron un total de </w:t>
      </w:r>
      <w:r w:rsidRPr="003D7022">
        <w:rPr>
          <w:rFonts w:ascii="Arial" w:eastAsia="Times New Roman" w:hAnsi="Arial" w:cs="Arial"/>
          <w:b/>
          <w:bCs/>
          <w:sz w:val="20"/>
          <w:szCs w:val="20"/>
          <w:lang w:val="es-CO" w:eastAsia="es-CO"/>
        </w:rPr>
        <w:t>12</w:t>
      </w:r>
      <w:r w:rsidR="008B146C">
        <w:rPr>
          <w:rFonts w:ascii="Arial" w:eastAsia="Times New Roman" w:hAnsi="Arial" w:cs="Arial"/>
          <w:b/>
          <w:bCs/>
          <w:sz w:val="20"/>
          <w:szCs w:val="20"/>
          <w:lang w:val="es-CO" w:eastAsia="es-CO"/>
        </w:rPr>
        <w:t>6.5</w:t>
      </w:r>
      <w:r w:rsidR="00696DC4">
        <w:rPr>
          <w:rFonts w:ascii="Arial" w:eastAsia="Times New Roman" w:hAnsi="Arial" w:cs="Arial"/>
          <w:b/>
          <w:bCs/>
          <w:sz w:val="20"/>
          <w:szCs w:val="20"/>
          <w:lang w:val="es-CO" w:eastAsia="es-CO"/>
        </w:rPr>
        <w:t>6</w:t>
      </w:r>
      <w:r w:rsidR="008B146C">
        <w:rPr>
          <w:rFonts w:ascii="Arial" w:eastAsia="Times New Roman" w:hAnsi="Arial" w:cs="Arial"/>
          <w:b/>
          <w:bCs/>
          <w:sz w:val="20"/>
          <w:szCs w:val="20"/>
          <w:lang w:val="es-CO" w:eastAsia="es-CO"/>
        </w:rPr>
        <w:t>9</w:t>
      </w:r>
      <w:r w:rsidRPr="003D7022">
        <w:rPr>
          <w:rFonts w:ascii="Arial" w:eastAsia="Times New Roman" w:hAnsi="Arial" w:cs="Arial"/>
          <w:b/>
          <w:bCs/>
          <w:sz w:val="20"/>
          <w:szCs w:val="20"/>
          <w:lang w:val="es-CO" w:eastAsia="es-CO"/>
        </w:rPr>
        <w:t xml:space="preserve"> atenciones</w:t>
      </w:r>
      <w:r w:rsidRPr="003D7022">
        <w:rPr>
          <w:rFonts w:ascii="Arial" w:eastAsia="Times New Roman" w:hAnsi="Arial" w:cs="Arial"/>
          <w:sz w:val="20"/>
          <w:szCs w:val="20"/>
          <w:lang w:val="es-CO" w:eastAsia="es-CO"/>
        </w:rPr>
        <w:t xml:space="preserve">. A partir de la organización y depuración de los diagnósticos codificados según la Clasificación Internacional de Enfermedades, décima revisión (CIE-10), se obtuvo un primer análisis de la morbilidad atendida, cuyos resultados se presentan </w:t>
      </w:r>
      <w:r w:rsidR="002002F9">
        <w:rPr>
          <w:rFonts w:ascii="Arial" w:eastAsia="Times New Roman" w:hAnsi="Arial" w:cs="Arial"/>
          <w:sz w:val="20"/>
          <w:szCs w:val="20"/>
          <w:lang w:val="es-CO" w:eastAsia="es-CO"/>
        </w:rPr>
        <w:t xml:space="preserve">en el Gráfico 1. </w:t>
      </w:r>
    </w:p>
    <w:p w14:paraId="44068608" w14:textId="2A740B11" w:rsidR="003D7022" w:rsidRPr="003D7022" w:rsidRDefault="003D7022" w:rsidP="00717ECA">
      <w:pPr>
        <w:spacing w:before="100" w:beforeAutospacing="1" w:after="100" w:afterAutospacing="1" w:line="360" w:lineRule="auto"/>
        <w:jc w:val="both"/>
        <w:rPr>
          <w:rFonts w:ascii="Arial" w:eastAsia="Times New Roman" w:hAnsi="Arial" w:cs="Arial"/>
          <w:sz w:val="20"/>
          <w:szCs w:val="20"/>
          <w:lang w:val="es-CO" w:eastAsia="es-CO"/>
        </w:rPr>
      </w:pPr>
      <w:r w:rsidRPr="003D7022">
        <w:rPr>
          <w:rFonts w:ascii="Arial" w:eastAsia="Times New Roman" w:hAnsi="Arial" w:cs="Arial"/>
          <w:sz w:val="20"/>
          <w:szCs w:val="20"/>
          <w:lang w:val="es-CO" w:eastAsia="es-CO"/>
        </w:rPr>
        <w:t xml:space="preserve">No obstante, con el fin de facilitar la interpretación epidemiológica y permitir un análisis más integral del comportamiento de la morbilidad, los diagnósticos fueron posteriormente </w:t>
      </w:r>
      <w:r w:rsidR="00180E5E">
        <w:rPr>
          <w:rFonts w:ascii="Arial" w:eastAsia="Times New Roman" w:hAnsi="Arial" w:cs="Arial"/>
          <w:sz w:val="20"/>
          <w:szCs w:val="20"/>
          <w:lang w:val="es-CO" w:eastAsia="es-CO"/>
        </w:rPr>
        <w:t>organizados</w:t>
      </w:r>
      <w:r w:rsidRPr="003D7022">
        <w:rPr>
          <w:rFonts w:ascii="Arial" w:eastAsia="Times New Roman" w:hAnsi="Arial" w:cs="Arial"/>
          <w:sz w:val="20"/>
          <w:szCs w:val="20"/>
          <w:lang w:val="es-CO" w:eastAsia="es-CO"/>
        </w:rPr>
        <w:t xml:space="preserve"> por grupos de patologías, obteniéndose un segundo análisis</w:t>
      </w:r>
      <w:r>
        <w:rPr>
          <w:rFonts w:ascii="Arial" w:eastAsia="Times New Roman" w:hAnsi="Arial" w:cs="Arial"/>
          <w:sz w:val="20"/>
          <w:szCs w:val="20"/>
          <w:lang w:val="es-CO" w:eastAsia="es-CO"/>
        </w:rPr>
        <w:t xml:space="preserve"> (Gráfico 2.)</w:t>
      </w:r>
      <w:r w:rsidRPr="003D7022">
        <w:rPr>
          <w:rFonts w:ascii="Arial" w:eastAsia="Times New Roman" w:hAnsi="Arial" w:cs="Arial"/>
          <w:sz w:val="20"/>
          <w:szCs w:val="20"/>
          <w:lang w:val="es-CO" w:eastAsia="es-CO"/>
        </w:rPr>
        <w:t>. Este último constituye la base principal para la construcción y presentación del perfil de morbilidad institucional, al permitir identificar de manera más clara los eventos prioritarios y su impacto en la carga asistencial.</w:t>
      </w:r>
    </w:p>
    <w:p w14:paraId="721B706D" w14:textId="77777777" w:rsidR="003D7022" w:rsidRPr="003D7022" w:rsidRDefault="003D7022" w:rsidP="00717ECA">
      <w:pPr>
        <w:spacing w:before="100" w:beforeAutospacing="1" w:after="100" w:afterAutospacing="1" w:line="360" w:lineRule="auto"/>
        <w:jc w:val="both"/>
        <w:rPr>
          <w:rFonts w:ascii="Arial" w:eastAsia="Times New Roman" w:hAnsi="Arial" w:cs="Arial"/>
          <w:lang w:val="es-CO" w:eastAsia="es-CO"/>
        </w:rPr>
      </w:pPr>
    </w:p>
    <w:p w14:paraId="49FC8904" w14:textId="77777777" w:rsidR="003D7022" w:rsidRDefault="003D7022" w:rsidP="003D7022">
      <w:pPr>
        <w:spacing w:line="360" w:lineRule="auto"/>
        <w:rPr>
          <w:rFonts w:ascii="Arial" w:hAnsi="Arial" w:cs="Arial"/>
          <w:b/>
          <w:bCs/>
          <w:lang w:val="es-CO"/>
        </w:rPr>
      </w:pPr>
    </w:p>
    <w:p w14:paraId="0B92A2EF" w14:textId="77777777" w:rsidR="003D7022" w:rsidRDefault="003D7022" w:rsidP="003D7022">
      <w:pPr>
        <w:spacing w:line="360" w:lineRule="auto"/>
        <w:rPr>
          <w:rFonts w:ascii="Arial" w:hAnsi="Arial" w:cs="Arial"/>
          <w:b/>
          <w:bCs/>
          <w:lang w:val="es-CO"/>
        </w:rPr>
      </w:pPr>
    </w:p>
    <w:p w14:paraId="314CD029" w14:textId="453EEE96" w:rsidR="003D7022" w:rsidRDefault="00F10FCE" w:rsidP="006954B5">
      <w:pPr>
        <w:spacing w:line="360" w:lineRule="auto"/>
        <w:rPr>
          <w:rFonts w:ascii="Arial" w:hAnsi="Arial" w:cs="Arial"/>
          <w:b/>
          <w:bCs/>
          <w:lang w:val="es-CO"/>
        </w:rPr>
      </w:pPr>
      <w:r w:rsidRPr="00231D26">
        <w:rPr>
          <w:noProof/>
          <w:color w:val="385623" w:themeColor="accent6" w:themeShade="80"/>
        </w:rPr>
        <w:lastRenderedPageBreak/>
        <w:drawing>
          <wp:inline distT="0" distB="0" distL="0" distR="0" wp14:anchorId="1A53BA86" wp14:editId="3416B24F">
            <wp:extent cx="6096000" cy="3528060"/>
            <wp:effectExtent l="0" t="0" r="0" b="15240"/>
            <wp:docPr id="1" name="Gráfico 1">
              <a:extLst xmlns:a="http://schemas.openxmlformats.org/drawingml/2006/main">
                <a:ext uri="{FF2B5EF4-FFF2-40B4-BE49-F238E27FC236}">
                  <a16:creationId xmlns:a16="http://schemas.microsoft.com/office/drawing/2014/main" id="{F5FC270D-8E38-4F2F-8FEF-5DE5C641D9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F24600B" w14:textId="30993CD0" w:rsidR="00F92D3E" w:rsidRPr="003D7022" w:rsidRDefault="00F92D3E" w:rsidP="003D7022">
      <w:pPr>
        <w:spacing w:line="360" w:lineRule="auto"/>
        <w:jc w:val="center"/>
        <w:rPr>
          <w:rFonts w:ascii="Arial" w:hAnsi="Arial" w:cs="Arial"/>
          <w:b/>
          <w:bCs/>
          <w:sz w:val="18"/>
          <w:szCs w:val="18"/>
          <w:lang w:val="es-CO"/>
        </w:rPr>
      </w:pPr>
      <w:r w:rsidRPr="003D7022">
        <w:rPr>
          <w:rFonts w:ascii="Arial" w:hAnsi="Arial" w:cs="Arial"/>
          <w:b/>
          <w:bCs/>
          <w:sz w:val="18"/>
          <w:szCs w:val="18"/>
          <w:lang w:val="es-CO"/>
        </w:rPr>
        <w:t xml:space="preserve">Gráfico 1. Principales </w:t>
      </w:r>
      <w:r w:rsidR="003D7022">
        <w:rPr>
          <w:rFonts w:ascii="Arial" w:hAnsi="Arial" w:cs="Arial"/>
          <w:b/>
          <w:bCs/>
          <w:sz w:val="18"/>
          <w:szCs w:val="18"/>
          <w:lang w:val="es-CO"/>
        </w:rPr>
        <w:t xml:space="preserve">códigos CIE- 10 </w:t>
      </w:r>
      <w:r w:rsidRPr="003D7022">
        <w:rPr>
          <w:rFonts w:ascii="Arial" w:hAnsi="Arial" w:cs="Arial"/>
          <w:b/>
          <w:bCs/>
          <w:sz w:val="18"/>
          <w:szCs w:val="18"/>
          <w:lang w:val="es-CO"/>
        </w:rPr>
        <w:t>Hospital Regional Moniquirá E.S.E 2025</w:t>
      </w:r>
    </w:p>
    <w:p w14:paraId="04340EB6" w14:textId="78178A2F" w:rsidR="000001A1" w:rsidRDefault="00231D26" w:rsidP="003E20A1">
      <w:pPr>
        <w:spacing w:line="360" w:lineRule="auto"/>
        <w:rPr>
          <w:rFonts w:ascii="Arial" w:hAnsi="Arial" w:cs="Arial"/>
          <w:b/>
          <w:bCs/>
          <w:lang w:val="es-CO"/>
        </w:rPr>
      </w:pPr>
      <w:r>
        <w:rPr>
          <w:noProof/>
        </w:rPr>
        <w:drawing>
          <wp:inline distT="0" distB="0" distL="0" distR="0" wp14:anchorId="3A1D2EED" wp14:editId="65C342DC">
            <wp:extent cx="6035040" cy="3246120"/>
            <wp:effectExtent l="0" t="0" r="3810" b="11430"/>
            <wp:docPr id="13" name="Gráfico 13">
              <a:extLst xmlns:a="http://schemas.openxmlformats.org/drawingml/2006/main">
                <a:ext uri="{FF2B5EF4-FFF2-40B4-BE49-F238E27FC236}">
                  <a16:creationId xmlns:a16="http://schemas.microsoft.com/office/drawing/2014/main" id="{A084C5BE-A7A8-46E9-902C-B74B5BA5D4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F6F9AFA" w14:textId="2368C78F" w:rsidR="003E20A1" w:rsidRDefault="00944CD7" w:rsidP="00231D26">
      <w:pPr>
        <w:spacing w:line="360" w:lineRule="auto"/>
        <w:jc w:val="center"/>
        <w:rPr>
          <w:rFonts w:ascii="Arial" w:hAnsi="Arial" w:cs="Arial"/>
          <w:b/>
          <w:bCs/>
          <w:sz w:val="18"/>
          <w:szCs w:val="18"/>
          <w:lang w:val="es-CO"/>
        </w:rPr>
      </w:pPr>
      <w:r w:rsidRPr="00944CD7">
        <w:rPr>
          <w:rFonts w:ascii="Arial" w:hAnsi="Arial" w:cs="Arial"/>
          <w:b/>
          <w:bCs/>
          <w:sz w:val="18"/>
          <w:szCs w:val="18"/>
          <w:lang w:val="es-CO"/>
        </w:rPr>
        <w:t xml:space="preserve">Gráfico </w:t>
      </w:r>
      <w:r w:rsidR="00F44D05">
        <w:rPr>
          <w:rFonts w:ascii="Arial" w:hAnsi="Arial" w:cs="Arial"/>
          <w:b/>
          <w:bCs/>
          <w:sz w:val="18"/>
          <w:szCs w:val="18"/>
          <w:lang w:val="es-CO"/>
        </w:rPr>
        <w:t>2</w:t>
      </w:r>
      <w:r w:rsidRPr="00944CD7">
        <w:rPr>
          <w:rFonts w:ascii="Arial" w:hAnsi="Arial" w:cs="Arial"/>
          <w:b/>
          <w:bCs/>
          <w:sz w:val="18"/>
          <w:szCs w:val="18"/>
          <w:lang w:val="es-CO"/>
        </w:rPr>
        <w:t xml:space="preserve">. </w:t>
      </w:r>
      <w:r w:rsidR="003E3ECE">
        <w:rPr>
          <w:rFonts w:ascii="Arial" w:hAnsi="Arial" w:cs="Arial"/>
          <w:b/>
          <w:bCs/>
          <w:sz w:val="18"/>
          <w:szCs w:val="18"/>
          <w:lang w:val="es-CO"/>
        </w:rPr>
        <w:t xml:space="preserve">Principales </w:t>
      </w:r>
      <w:r w:rsidR="000001A1">
        <w:rPr>
          <w:rFonts w:ascii="Arial" w:hAnsi="Arial" w:cs="Arial"/>
          <w:b/>
          <w:bCs/>
          <w:sz w:val="18"/>
          <w:szCs w:val="18"/>
          <w:lang w:val="es-CO"/>
        </w:rPr>
        <w:t>p</w:t>
      </w:r>
      <w:r w:rsidR="000001A1" w:rsidRPr="00944CD7">
        <w:rPr>
          <w:rFonts w:ascii="Arial" w:hAnsi="Arial" w:cs="Arial"/>
          <w:b/>
          <w:bCs/>
          <w:sz w:val="18"/>
          <w:szCs w:val="18"/>
          <w:lang w:val="es-CO"/>
        </w:rPr>
        <w:t xml:space="preserve">atologías </w:t>
      </w:r>
      <w:r w:rsidR="003D7022">
        <w:rPr>
          <w:rFonts w:ascii="Arial" w:hAnsi="Arial" w:cs="Arial"/>
          <w:b/>
          <w:bCs/>
          <w:sz w:val="18"/>
          <w:szCs w:val="18"/>
          <w:lang w:val="es-CO"/>
        </w:rPr>
        <w:t xml:space="preserve">en </w:t>
      </w:r>
      <w:r w:rsidRPr="00944CD7">
        <w:rPr>
          <w:rFonts w:ascii="Arial" w:hAnsi="Arial" w:cs="Arial"/>
          <w:b/>
          <w:bCs/>
          <w:sz w:val="18"/>
          <w:szCs w:val="18"/>
          <w:lang w:val="es-CO"/>
        </w:rPr>
        <w:t xml:space="preserve">Hospital Regional Moniquirá </w:t>
      </w:r>
      <w:r w:rsidR="00D54B25">
        <w:rPr>
          <w:rFonts w:ascii="Arial" w:hAnsi="Arial" w:cs="Arial"/>
          <w:b/>
          <w:bCs/>
          <w:sz w:val="18"/>
          <w:szCs w:val="18"/>
          <w:lang w:val="es-CO"/>
        </w:rPr>
        <w:t xml:space="preserve">E.S.E </w:t>
      </w:r>
      <w:r w:rsidRPr="00944CD7">
        <w:rPr>
          <w:rFonts w:ascii="Arial" w:hAnsi="Arial" w:cs="Arial"/>
          <w:b/>
          <w:bCs/>
          <w:sz w:val="18"/>
          <w:szCs w:val="18"/>
          <w:lang w:val="es-CO"/>
        </w:rPr>
        <w:t>2025</w:t>
      </w:r>
    </w:p>
    <w:p w14:paraId="2A13D233" w14:textId="77777777" w:rsidR="00231D26" w:rsidRDefault="00231D26" w:rsidP="00231D26">
      <w:pPr>
        <w:spacing w:line="360" w:lineRule="auto"/>
        <w:jc w:val="center"/>
        <w:rPr>
          <w:rFonts w:ascii="Arial" w:hAnsi="Arial" w:cs="Arial"/>
          <w:b/>
          <w:bCs/>
          <w:sz w:val="18"/>
          <w:szCs w:val="18"/>
          <w:lang w:val="es-CO"/>
        </w:rPr>
      </w:pPr>
    </w:p>
    <w:p w14:paraId="05BD4260" w14:textId="691DB49C"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lastRenderedPageBreak/>
        <w:t>La hipertensión arterial esencial se posicionó como la principal condición de morbilidad, con 9.223 atenciones, lo que corresponde aproximadamente al 7,3 % del total. Este comportamiento confirma su alta prevalencia y su impacto sostenido sobre la demanda de servicios, asociado a su carácter crónico y a la necesidad de seguimiento continuo.</w:t>
      </w:r>
    </w:p>
    <w:p w14:paraId="48A815F8" w14:textId="7332B3CE"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 xml:space="preserve">En segundo lugar, la diabetes mellitus registró 3.743 atenciones, equivalente al 3,0 % del total. Para este análisis </w:t>
      </w:r>
      <w:r w:rsidR="005919F1">
        <w:rPr>
          <w:rFonts w:ascii="Arial" w:hAnsi="Arial" w:cs="Arial"/>
          <w:sz w:val="20"/>
          <w:szCs w:val="20"/>
        </w:rPr>
        <w:t>se excluyeron</w:t>
      </w:r>
      <w:r w:rsidRPr="00681379">
        <w:rPr>
          <w:rFonts w:ascii="Arial" w:hAnsi="Arial" w:cs="Arial"/>
          <w:sz w:val="20"/>
          <w:szCs w:val="20"/>
        </w:rPr>
        <w:t xml:space="preserve"> la diabetes insípida y los exámenes de pesquisa, con el fin de reflejar de manera más precisa la carga real de esta patología metabólica crónica. Su frecuencia resalta la importancia de fortalecer las estrategias de control, seguimiento y prevención de complicaciones.</w:t>
      </w:r>
    </w:p>
    <w:p w14:paraId="735FB4AA" w14:textId="77777777"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La hiperplasia de la próstata ocupó el tercer lugar, con 2.805 atenciones, lo que representa el 2,2 % del total. Este resultado es consistente con una patología crónica de alta demanda asistencial, especialmente en población adulta y adulta mayor, con impacto relevante en la consulta ambulatoria.</w:t>
      </w:r>
    </w:p>
    <w:p w14:paraId="39A2DB57" w14:textId="36D7CA4A"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 xml:space="preserve">Las infecciones respiratorias agudas de vías aéreas superiores </w:t>
      </w:r>
      <w:r w:rsidR="00BD09FD">
        <w:rPr>
          <w:rFonts w:ascii="Arial" w:hAnsi="Arial" w:cs="Arial"/>
          <w:sz w:val="20"/>
          <w:szCs w:val="20"/>
        </w:rPr>
        <w:t xml:space="preserve">(IRA – vía </w:t>
      </w:r>
      <w:r w:rsidRPr="00681379">
        <w:rPr>
          <w:rFonts w:ascii="Arial" w:hAnsi="Arial" w:cs="Arial"/>
          <w:sz w:val="20"/>
          <w:szCs w:val="20"/>
        </w:rPr>
        <w:t xml:space="preserve">registraron 2.401 atenciones, correspondientes al 1,9 % del total. Este grupo incluyó diagnósticos como sinusitis aguda, faringitis aguda, amigdalitis aguda, rinofaringitis aguda, laringitis aguda e infección respiratoria aguda de vías superiores no especificada. </w:t>
      </w:r>
      <w:r w:rsidR="00BD09FD" w:rsidRPr="00681379">
        <w:rPr>
          <w:rFonts w:ascii="Arial" w:hAnsi="Arial" w:cs="Arial"/>
          <w:sz w:val="20"/>
          <w:szCs w:val="20"/>
        </w:rPr>
        <w:t>Las gastroenteritis y colitis alcanzaron 2.175 atenciones, correspondientes al 1,7 % del total</w:t>
      </w:r>
      <w:r w:rsidR="00BD09FD">
        <w:rPr>
          <w:rFonts w:ascii="Arial" w:hAnsi="Arial" w:cs="Arial"/>
          <w:sz w:val="20"/>
          <w:szCs w:val="20"/>
        </w:rPr>
        <w:t xml:space="preserve">. </w:t>
      </w:r>
      <w:r w:rsidRPr="00681379">
        <w:rPr>
          <w:rFonts w:ascii="Arial" w:hAnsi="Arial" w:cs="Arial"/>
          <w:sz w:val="20"/>
          <w:szCs w:val="20"/>
        </w:rPr>
        <w:t>Su frecuencia refleja una alta carga de patologías infecciosas agudas de baja complejidad</w:t>
      </w:r>
      <w:r w:rsidR="007D15E4">
        <w:rPr>
          <w:rFonts w:ascii="Arial" w:hAnsi="Arial" w:cs="Arial"/>
          <w:sz w:val="20"/>
          <w:szCs w:val="20"/>
        </w:rPr>
        <w:t xml:space="preserve"> </w:t>
      </w:r>
      <w:r w:rsidR="00957E42">
        <w:rPr>
          <w:rFonts w:ascii="Arial" w:hAnsi="Arial" w:cs="Arial"/>
          <w:sz w:val="20"/>
          <w:szCs w:val="20"/>
        </w:rPr>
        <w:t xml:space="preserve">en el servicio de urgencias. </w:t>
      </w:r>
    </w:p>
    <w:p w14:paraId="51E8044F" w14:textId="77777777" w:rsidR="007D15E4"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El lumbago, incluyendo lumbago con ciática, presentó 2.376 atenciones, lo que equivale al 1,9 % del total. Esta condición se consolida como una de las principales causas de consulta dentro de las patologías osteomusculares, con impacto significativo en la demanda de atención y en la utilización de servicios de salud.</w:t>
      </w:r>
      <w:r w:rsidR="00C20971">
        <w:rPr>
          <w:rFonts w:ascii="Arial" w:hAnsi="Arial" w:cs="Arial"/>
          <w:sz w:val="20"/>
          <w:szCs w:val="20"/>
        </w:rPr>
        <w:t xml:space="preserve"> </w:t>
      </w:r>
    </w:p>
    <w:p w14:paraId="6942D015" w14:textId="77777777" w:rsidR="0004316F"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 xml:space="preserve">La insuficiencia venosa crónica periférica registró 1.618 atenciones, lo que representa el 1,3 % del total. El hipotiroidismo presentó 1.516 atenciones, equivalente al 1,2 % del total, consolidándose como </w:t>
      </w:r>
      <w:r w:rsidR="007D15E4">
        <w:rPr>
          <w:rFonts w:ascii="Arial" w:hAnsi="Arial" w:cs="Arial"/>
          <w:sz w:val="20"/>
          <w:szCs w:val="20"/>
        </w:rPr>
        <w:t>la segunda</w:t>
      </w:r>
      <w:r w:rsidRPr="00681379">
        <w:rPr>
          <w:rFonts w:ascii="Arial" w:hAnsi="Arial" w:cs="Arial"/>
          <w:sz w:val="20"/>
          <w:szCs w:val="20"/>
        </w:rPr>
        <w:t xml:space="preserve"> patologías endocrinas crónicas atendidas en la institución</w:t>
      </w:r>
      <w:r w:rsidR="007D15E4">
        <w:rPr>
          <w:rFonts w:ascii="Arial" w:hAnsi="Arial" w:cs="Arial"/>
          <w:sz w:val="20"/>
          <w:szCs w:val="20"/>
        </w:rPr>
        <w:t>.</w:t>
      </w:r>
    </w:p>
    <w:p w14:paraId="415CF406" w14:textId="433598D6"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La cardiomiopatía isquémica registró 1.034 atenciones, correspondientes al 0,8 % del total Aunque su frecuencia es menor en comparación con otras condiciones, se trata de una patología cardiovascular crónica de alta complejidad y alto impacto clínico, relevante para la gestión del riesgo y la planificación de la atención integral.</w:t>
      </w:r>
    </w:p>
    <w:p w14:paraId="260A4FDD" w14:textId="0E97F411"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Finalmente, la infección de vías urinarias, alcanzó 884 atenciones, lo que equivale al 0,7 % del total, manteniéndose como una causa frecuente de consulta y relevante para el fortalecimiento de estrategias de diagnóstico</w:t>
      </w:r>
      <w:r w:rsidR="0004316F">
        <w:rPr>
          <w:rFonts w:ascii="Arial" w:hAnsi="Arial" w:cs="Arial"/>
          <w:sz w:val="20"/>
          <w:szCs w:val="20"/>
        </w:rPr>
        <w:t xml:space="preserve">- tratamiento </w:t>
      </w:r>
      <w:r w:rsidRPr="00681379">
        <w:rPr>
          <w:rFonts w:ascii="Arial" w:hAnsi="Arial" w:cs="Arial"/>
          <w:sz w:val="20"/>
          <w:szCs w:val="20"/>
        </w:rPr>
        <w:t>oportuno y prevención de recurrencias.</w:t>
      </w:r>
    </w:p>
    <w:p w14:paraId="38928136" w14:textId="25EFFCEE"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lastRenderedPageBreak/>
        <w:t>En conjunto, el perfil de morbilidad institucional evidencia un predominio de enfermedades crónicas no transmisibles, particularmente cardiovasculares, endocrinas y osteomusculares, que concentran una proporción significativa de las atenciones realizadas durante el año 2025. Estas condiciones coexisten con patologías infecciosas agudas de alta frecuencia, como las infecciones respiratorias superiores y las enfermedades gastrointestinales</w:t>
      </w:r>
      <w:r w:rsidR="00BA527E">
        <w:rPr>
          <w:rFonts w:ascii="Arial" w:hAnsi="Arial" w:cs="Arial"/>
          <w:sz w:val="20"/>
          <w:szCs w:val="20"/>
        </w:rPr>
        <w:t xml:space="preserve">. </w:t>
      </w:r>
    </w:p>
    <w:p w14:paraId="6773D127" w14:textId="45575C74" w:rsidR="00681379" w:rsidRPr="00681379" w:rsidRDefault="00681379" w:rsidP="00681379">
      <w:pPr>
        <w:pStyle w:val="NormalWeb"/>
        <w:spacing w:line="360" w:lineRule="auto"/>
        <w:jc w:val="both"/>
        <w:rPr>
          <w:rFonts w:ascii="Arial" w:hAnsi="Arial" w:cs="Arial"/>
          <w:sz w:val="20"/>
          <w:szCs w:val="20"/>
        </w:rPr>
      </w:pPr>
      <w:r w:rsidRPr="00681379">
        <w:rPr>
          <w:rFonts w:ascii="Arial" w:hAnsi="Arial" w:cs="Arial"/>
          <w:sz w:val="20"/>
          <w:szCs w:val="20"/>
        </w:rPr>
        <w:t xml:space="preserve">Este patrón refleja una carga mixta de morbilidad, caracterizada por la coexistencia de enfermedades crónicas que requieren seguimiento continuo y patologías agudas que incrementan la demanda de atención. Los resultados obtenidos constituyen un insumo clave para la planeación institucional, la priorización de guías de práctica clínica, la gestión del riesgo en salud y el fortalecimiento de estrategias orientadas </w:t>
      </w:r>
      <w:r w:rsidR="00D623BA">
        <w:rPr>
          <w:rFonts w:ascii="Arial" w:hAnsi="Arial" w:cs="Arial"/>
          <w:sz w:val="20"/>
          <w:szCs w:val="20"/>
        </w:rPr>
        <w:t xml:space="preserve">a </w:t>
      </w:r>
      <w:r w:rsidRPr="00681379">
        <w:rPr>
          <w:rFonts w:ascii="Arial" w:hAnsi="Arial" w:cs="Arial"/>
          <w:sz w:val="20"/>
          <w:szCs w:val="20"/>
        </w:rPr>
        <w:t>la eficiencia en el uso de los recursos institucionales.</w:t>
      </w:r>
    </w:p>
    <w:p w14:paraId="0AB42BBF" w14:textId="5724E703" w:rsidR="00B174B3" w:rsidRPr="006F31AC" w:rsidRDefault="00B174B3" w:rsidP="00DA2AE2">
      <w:pPr>
        <w:pStyle w:val="Prrafodelista"/>
        <w:numPr>
          <w:ilvl w:val="1"/>
          <w:numId w:val="12"/>
        </w:numPr>
        <w:spacing w:line="360" w:lineRule="auto"/>
        <w:rPr>
          <w:rFonts w:ascii="Arial" w:hAnsi="Arial" w:cs="Arial"/>
          <w:b/>
          <w:bCs/>
          <w:sz w:val="20"/>
          <w:szCs w:val="20"/>
          <w:lang w:val="es-CO"/>
        </w:rPr>
      </w:pPr>
      <w:r w:rsidRPr="006F31AC">
        <w:rPr>
          <w:rFonts w:ascii="Arial" w:hAnsi="Arial" w:cs="Arial"/>
          <w:b/>
          <w:bCs/>
          <w:sz w:val="20"/>
          <w:szCs w:val="20"/>
          <w:lang w:val="es-CO"/>
        </w:rPr>
        <w:t>Distribución de la morbilidad por servicio de atención</w:t>
      </w:r>
    </w:p>
    <w:p w14:paraId="5E1D5AC2" w14:textId="77777777" w:rsidR="00B174B3" w:rsidRDefault="00B174B3" w:rsidP="00B174B3">
      <w:pPr>
        <w:pStyle w:val="Prrafodelista"/>
        <w:spacing w:line="360" w:lineRule="auto"/>
        <w:ind w:left="0"/>
        <w:jc w:val="both"/>
        <w:rPr>
          <w:rFonts w:ascii="Arial" w:hAnsi="Arial" w:cs="Arial"/>
          <w:sz w:val="20"/>
          <w:szCs w:val="20"/>
          <w:lang w:val="es-CO"/>
        </w:rPr>
      </w:pPr>
    </w:p>
    <w:p w14:paraId="43E9DE9A" w14:textId="5F0C79DD" w:rsidR="00002ACA" w:rsidRDefault="00B174B3" w:rsidP="00B174B3">
      <w:pPr>
        <w:pStyle w:val="Prrafodelista"/>
        <w:spacing w:line="360" w:lineRule="auto"/>
        <w:ind w:left="0"/>
        <w:jc w:val="both"/>
        <w:rPr>
          <w:rFonts w:ascii="Arial" w:hAnsi="Arial" w:cs="Arial"/>
          <w:sz w:val="20"/>
          <w:szCs w:val="20"/>
          <w:lang w:val="es-CO"/>
        </w:rPr>
      </w:pPr>
      <w:r w:rsidRPr="00B174B3">
        <w:rPr>
          <w:rFonts w:ascii="Arial" w:hAnsi="Arial" w:cs="Arial"/>
          <w:sz w:val="20"/>
          <w:szCs w:val="20"/>
          <w:lang w:val="es-CO"/>
        </w:rPr>
        <w:t xml:space="preserve">El análisis por servicio de atención mostró que la mayor proporción de atenciones se concentró en el servicio de </w:t>
      </w:r>
      <w:r>
        <w:rPr>
          <w:rFonts w:ascii="Arial" w:hAnsi="Arial" w:cs="Arial"/>
          <w:sz w:val="20"/>
          <w:szCs w:val="20"/>
          <w:lang w:val="es-CO"/>
        </w:rPr>
        <w:t>consulta externa</w:t>
      </w:r>
      <w:r w:rsidRPr="00B174B3">
        <w:rPr>
          <w:rFonts w:ascii="Arial" w:hAnsi="Arial" w:cs="Arial"/>
          <w:sz w:val="20"/>
          <w:szCs w:val="20"/>
          <w:lang w:val="es-CO"/>
        </w:rPr>
        <w:t>, seguido de</w:t>
      </w:r>
      <w:r>
        <w:rPr>
          <w:rFonts w:ascii="Arial" w:hAnsi="Arial" w:cs="Arial"/>
          <w:sz w:val="20"/>
          <w:szCs w:val="20"/>
          <w:lang w:val="es-CO"/>
        </w:rPr>
        <w:t xml:space="preserve"> urgencias</w:t>
      </w:r>
      <w:r w:rsidRPr="00B174B3">
        <w:rPr>
          <w:rFonts w:ascii="Arial" w:hAnsi="Arial" w:cs="Arial"/>
          <w:sz w:val="20"/>
          <w:szCs w:val="20"/>
          <w:lang w:val="es-CO"/>
        </w:rPr>
        <w:t xml:space="preserve">. </w:t>
      </w:r>
    </w:p>
    <w:p w14:paraId="7CABF79C" w14:textId="6C472430" w:rsidR="00EF608D" w:rsidRDefault="00EF608D" w:rsidP="00B174B3">
      <w:pPr>
        <w:pStyle w:val="Prrafodelista"/>
        <w:spacing w:line="360" w:lineRule="auto"/>
        <w:ind w:left="0"/>
        <w:jc w:val="both"/>
        <w:rPr>
          <w:rFonts w:ascii="Arial" w:hAnsi="Arial" w:cs="Arial"/>
          <w:sz w:val="20"/>
          <w:szCs w:val="20"/>
          <w:lang w:val="es-CO"/>
        </w:rPr>
      </w:pPr>
    </w:p>
    <w:p w14:paraId="004443D9" w14:textId="453539DE" w:rsidR="00EF608D" w:rsidRDefault="00A97BF4" w:rsidP="00DA2AE2">
      <w:pPr>
        <w:pStyle w:val="Prrafodelista"/>
        <w:numPr>
          <w:ilvl w:val="2"/>
          <w:numId w:val="12"/>
        </w:numPr>
        <w:spacing w:line="360" w:lineRule="auto"/>
        <w:jc w:val="both"/>
        <w:rPr>
          <w:rFonts w:ascii="Arial" w:hAnsi="Arial" w:cs="Arial"/>
          <w:b/>
          <w:bCs/>
          <w:sz w:val="20"/>
          <w:szCs w:val="20"/>
          <w:lang w:val="es-CO"/>
        </w:rPr>
      </w:pPr>
      <w:r w:rsidRPr="00A97BF4">
        <w:rPr>
          <w:rFonts w:ascii="Arial" w:hAnsi="Arial" w:cs="Arial"/>
          <w:b/>
          <w:bCs/>
          <w:sz w:val="20"/>
          <w:szCs w:val="20"/>
          <w:lang w:val="es-CO"/>
        </w:rPr>
        <w:t>Consulta Externa</w:t>
      </w:r>
    </w:p>
    <w:p w14:paraId="5917B5F6" w14:textId="77777777" w:rsidR="00362007" w:rsidRDefault="00362007" w:rsidP="00362007">
      <w:pPr>
        <w:pStyle w:val="Prrafodelista"/>
        <w:spacing w:line="360" w:lineRule="auto"/>
        <w:ind w:left="1080"/>
        <w:jc w:val="both"/>
        <w:rPr>
          <w:rFonts w:ascii="Arial" w:hAnsi="Arial" w:cs="Arial"/>
          <w:b/>
          <w:bCs/>
          <w:sz w:val="20"/>
          <w:szCs w:val="20"/>
          <w:lang w:val="es-CO"/>
        </w:rPr>
      </w:pPr>
    </w:p>
    <w:p w14:paraId="62B50BCE" w14:textId="6F96AB8E" w:rsidR="00992114" w:rsidRDefault="00992114" w:rsidP="00992114">
      <w:pPr>
        <w:pStyle w:val="Prrafodelista"/>
        <w:spacing w:line="360" w:lineRule="auto"/>
        <w:ind w:left="0"/>
        <w:jc w:val="both"/>
        <w:rPr>
          <w:rFonts w:ascii="Arial" w:hAnsi="Arial" w:cs="Arial"/>
          <w:sz w:val="20"/>
          <w:szCs w:val="20"/>
          <w:lang w:val="es-CO"/>
        </w:rPr>
      </w:pPr>
      <w:r w:rsidRPr="00992114">
        <w:rPr>
          <w:rFonts w:ascii="Arial" w:hAnsi="Arial" w:cs="Arial"/>
          <w:sz w:val="20"/>
          <w:szCs w:val="20"/>
          <w:lang w:val="es-CO"/>
        </w:rPr>
        <w:t xml:space="preserve">Durante el año 2025 se registraron </w:t>
      </w:r>
      <w:r w:rsidRPr="00992114">
        <w:rPr>
          <w:rStyle w:val="Textoennegrita"/>
          <w:rFonts w:ascii="Arial" w:hAnsi="Arial" w:cs="Arial"/>
          <w:sz w:val="20"/>
          <w:szCs w:val="20"/>
          <w:lang w:val="es-CO"/>
        </w:rPr>
        <w:t>90.1</w:t>
      </w:r>
      <w:r w:rsidR="00B022FA">
        <w:rPr>
          <w:rStyle w:val="Textoennegrita"/>
          <w:rFonts w:ascii="Arial" w:hAnsi="Arial" w:cs="Arial"/>
          <w:sz w:val="20"/>
          <w:szCs w:val="20"/>
          <w:lang w:val="es-CO"/>
        </w:rPr>
        <w:t>17</w:t>
      </w:r>
      <w:r w:rsidRPr="00992114">
        <w:rPr>
          <w:rStyle w:val="Textoennegrita"/>
          <w:rFonts w:ascii="Arial" w:hAnsi="Arial" w:cs="Arial"/>
          <w:sz w:val="20"/>
          <w:szCs w:val="20"/>
          <w:lang w:val="es-CO"/>
        </w:rPr>
        <w:t xml:space="preserve"> atenciones en consulta externa</w:t>
      </w:r>
      <w:r w:rsidRPr="00992114">
        <w:rPr>
          <w:rFonts w:ascii="Arial" w:hAnsi="Arial" w:cs="Arial"/>
          <w:sz w:val="20"/>
          <w:szCs w:val="20"/>
          <w:lang w:val="es-CO"/>
        </w:rPr>
        <w:t xml:space="preserve">. </w:t>
      </w:r>
    </w:p>
    <w:p w14:paraId="60550F57" w14:textId="75350FCA" w:rsidR="00362007" w:rsidRDefault="00A1012B" w:rsidP="00992114">
      <w:pPr>
        <w:pStyle w:val="Prrafodelista"/>
        <w:spacing w:line="360" w:lineRule="auto"/>
        <w:ind w:left="0"/>
        <w:jc w:val="both"/>
        <w:rPr>
          <w:rFonts w:ascii="Arial" w:hAnsi="Arial" w:cs="Arial"/>
          <w:sz w:val="20"/>
          <w:szCs w:val="20"/>
          <w:lang w:val="es-CO"/>
        </w:rPr>
      </w:pPr>
      <w:r>
        <w:rPr>
          <w:noProof/>
        </w:rPr>
        <w:drawing>
          <wp:inline distT="0" distB="0" distL="0" distR="0" wp14:anchorId="0FABC15B" wp14:editId="0EE8DAAD">
            <wp:extent cx="5852160" cy="3383280"/>
            <wp:effectExtent l="0" t="0" r="15240" b="7620"/>
            <wp:docPr id="14" name="Gráfico 14">
              <a:extLst xmlns:a="http://schemas.openxmlformats.org/drawingml/2006/main">
                <a:ext uri="{FF2B5EF4-FFF2-40B4-BE49-F238E27FC236}">
                  <a16:creationId xmlns:a16="http://schemas.microsoft.com/office/drawing/2014/main" id="{A92B088F-C91A-465A-938A-A6CCA70C80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BBB57F" w14:textId="3A5B345E" w:rsidR="00362007" w:rsidRDefault="00362007" w:rsidP="00362007">
      <w:pPr>
        <w:pStyle w:val="Prrafodelista"/>
        <w:spacing w:line="360" w:lineRule="auto"/>
        <w:ind w:left="0"/>
        <w:jc w:val="both"/>
        <w:rPr>
          <w:rFonts w:ascii="Arial" w:hAnsi="Arial" w:cs="Arial"/>
          <w:b/>
          <w:bCs/>
          <w:sz w:val="20"/>
          <w:szCs w:val="20"/>
          <w:lang w:val="es-CO"/>
        </w:rPr>
      </w:pPr>
    </w:p>
    <w:p w14:paraId="602EC092" w14:textId="798767B2" w:rsidR="00362007" w:rsidRDefault="00362007" w:rsidP="00EB275E">
      <w:pPr>
        <w:pStyle w:val="Prrafodelista"/>
        <w:spacing w:line="360" w:lineRule="auto"/>
        <w:ind w:left="732"/>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3</w:t>
      </w:r>
      <w:r w:rsidRPr="003F66A5">
        <w:rPr>
          <w:rFonts w:ascii="Arial" w:hAnsi="Arial" w:cs="Arial"/>
          <w:b/>
          <w:bCs/>
          <w:sz w:val="18"/>
          <w:szCs w:val="18"/>
          <w:lang w:val="es-CO"/>
        </w:rPr>
        <w:t xml:space="preserve">. </w:t>
      </w:r>
      <w:r w:rsidR="006F31AC" w:rsidRPr="003D7022">
        <w:rPr>
          <w:rFonts w:ascii="Arial" w:hAnsi="Arial" w:cs="Arial"/>
          <w:b/>
          <w:bCs/>
          <w:sz w:val="18"/>
          <w:szCs w:val="18"/>
          <w:lang w:val="es-CO"/>
        </w:rPr>
        <w:t xml:space="preserve">Principales </w:t>
      </w:r>
      <w:r w:rsidR="006F31AC">
        <w:rPr>
          <w:rFonts w:ascii="Arial" w:hAnsi="Arial" w:cs="Arial"/>
          <w:b/>
          <w:bCs/>
          <w:sz w:val="18"/>
          <w:szCs w:val="18"/>
          <w:lang w:val="es-CO"/>
        </w:rPr>
        <w:t xml:space="preserve">códigos CIE- 10 </w:t>
      </w:r>
      <w:r w:rsidR="00F72A71">
        <w:rPr>
          <w:rFonts w:ascii="Arial" w:hAnsi="Arial" w:cs="Arial"/>
          <w:b/>
          <w:bCs/>
          <w:sz w:val="18"/>
          <w:szCs w:val="18"/>
          <w:lang w:val="es-CO"/>
        </w:rPr>
        <w:t xml:space="preserve">de </w:t>
      </w:r>
      <w:r>
        <w:rPr>
          <w:rFonts w:ascii="Arial" w:hAnsi="Arial" w:cs="Arial"/>
          <w:b/>
          <w:bCs/>
          <w:sz w:val="18"/>
          <w:szCs w:val="18"/>
          <w:lang w:val="es-CO"/>
        </w:rPr>
        <w:t xml:space="preserve">Consulta Externa </w:t>
      </w:r>
    </w:p>
    <w:p w14:paraId="2C28C428" w14:textId="34EB57DF" w:rsidR="00334CA9" w:rsidRDefault="009970E0" w:rsidP="00724801">
      <w:pPr>
        <w:pStyle w:val="NormalWeb"/>
        <w:spacing w:line="360" w:lineRule="auto"/>
        <w:jc w:val="both"/>
        <w:rPr>
          <w:rFonts w:ascii="Arial" w:hAnsi="Arial" w:cs="Arial"/>
          <w:sz w:val="20"/>
          <w:szCs w:val="20"/>
        </w:rPr>
      </w:pPr>
      <w:r w:rsidRPr="00992114">
        <w:rPr>
          <w:rFonts w:ascii="Arial" w:hAnsi="Arial" w:cs="Arial"/>
          <w:sz w:val="20"/>
          <w:szCs w:val="20"/>
        </w:rPr>
        <w:lastRenderedPageBreak/>
        <w:t>El análisis de l</w:t>
      </w:r>
      <w:r>
        <w:rPr>
          <w:rFonts w:ascii="Arial" w:hAnsi="Arial" w:cs="Arial"/>
          <w:sz w:val="20"/>
          <w:szCs w:val="20"/>
        </w:rPr>
        <w:t>os diez</w:t>
      </w:r>
      <w:r w:rsidRPr="00992114">
        <w:rPr>
          <w:rFonts w:ascii="Arial" w:hAnsi="Arial" w:cs="Arial"/>
          <w:sz w:val="20"/>
          <w:szCs w:val="20"/>
        </w:rPr>
        <w:t xml:space="preserve"> diagnósticos </w:t>
      </w:r>
      <w:r w:rsidR="006F31AC">
        <w:rPr>
          <w:rFonts w:ascii="Arial" w:hAnsi="Arial" w:cs="Arial"/>
          <w:sz w:val="20"/>
          <w:szCs w:val="20"/>
        </w:rPr>
        <w:t xml:space="preserve">CIE-10 </w:t>
      </w:r>
      <w:r w:rsidRPr="00992114">
        <w:rPr>
          <w:rFonts w:ascii="Arial" w:hAnsi="Arial" w:cs="Arial"/>
          <w:sz w:val="20"/>
          <w:szCs w:val="20"/>
        </w:rPr>
        <w:t xml:space="preserve">más frecuentes evidencia un </w:t>
      </w:r>
      <w:r w:rsidRPr="00992114">
        <w:rPr>
          <w:rStyle w:val="Textoennegrita"/>
          <w:rFonts w:ascii="Arial" w:hAnsi="Arial" w:cs="Arial"/>
          <w:b w:val="0"/>
          <w:bCs w:val="0"/>
          <w:sz w:val="20"/>
          <w:szCs w:val="20"/>
        </w:rPr>
        <w:t>claro predominio de enfermedades crónicas no transmisibles</w:t>
      </w:r>
      <w:r w:rsidRPr="00992114">
        <w:rPr>
          <w:rFonts w:ascii="Arial" w:hAnsi="Arial" w:cs="Arial"/>
          <w:sz w:val="20"/>
          <w:szCs w:val="20"/>
        </w:rPr>
        <w:t xml:space="preserve">, lo que refleja un patrón de atención orientado principalmente al seguimiento, control y manejo longitudinal de </w:t>
      </w:r>
      <w:r>
        <w:rPr>
          <w:rFonts w:ascii="Arial" w:hAnsi="Arial" w:cs="Arial"/>
          <w:sz w:val="20"/>
          <w:szCs w:val="20"/>
        </w:rPr>
        <w:t xml:space="preserve">estas </w:t>
      </w:r>
      <w:r w:rsidRPr="00992114">
        <w:rPr>
          <w:rFonts w:ascii="Arial" w:hAnsi="Arial" w:cs="Arial"/>
          <w:sz w:val="20"/>
          <w:szCs w:val="20"/>
        </w:rPr>
        <w:t>patologías</w:t>
      </w:r>
      <w:r w:rsidR="006F31AC">
        <w:rPr>
          <w:rFonts w:ascii="Arial" w:hAnsi="Arial" w:cs="Arial"/>
          <w:sz w:val="20"/>
          <w:szCs w:val="20"/>
        </w:rPr>
        <w:t>, sin embargo, a continuación se resume las condiciones más frecuentes</w:t>
      </w:r>
      <w:r w:rsidR="00180E5E">
        <w:rPr>
          <w:rFonts w:ascii="Arial" w:hAnsi="Arial" w:cs="Arial"/>
          <w:sz w:val="20"/>
          <w:szCs w:val="20"/>
        </w:rPr>
        <w:t xml:space="preserve"> tras </w:t>
      </w:r>
      <w:r w:rsidR="00180E5E">
        <w:rPr>
          <w:rFonts w:ascii="Arial" w:hAnsi="Arial" w:cs="Arial"/>
          <w:sz w:val="20"/>
          <w:szCs w:val="20"/>
        </w:rPr>
        <w:t>organiza</w:t>
      </w:r>
      <w:r w:rsidR="00180E5E">
        <w:rPr>
          <w:rFonts w:ascii="Arial" w:hAnsi="Arial" w:cs="Arial"/>
          <w:sz w:val="20"/>
          <w:szCs w:val="20"/>
        </w:rPr>
        <w:t>ción</w:t>
      </w:r>
      <w:r w:rsidR="00180E5E" w:rsidRPr="003D7022">
        <w:rPr>
          <w:rFonts w:ascii="Arial" w:hAnsi="Arial" w:cs="Arial"/>
          <w:sz w:val="20"/>
          <w:szCs w:val="20"/>
        </w:rPr>
        <w:t xml:space="preserve"> por grupos de patologías</w:t>
      </w:r>
      <w:r w:rsidR="00180E5E">
        <w:rPr>
          <w:rFonts w:ascii="Arial" w:hAnsi="Arial" w:cs="Arial"/>
          <w:sz w:val="20"/>
          <w:szCs w:val="20"/>
        </w:rPr>
        <w:t>:</w:t>
      </w:r>
    </w:p>
    <w:p w14:paraId="0D7866FC" w14:textId="007C0C28" w:rsidR="00180E5E" w:rsidRDefault="00CB2DB5" w:rsidP="00724801">
      <w:pPr>
        <w:pStyle w:val="NormalWeb"/>
        <w:spacing w:line="360" w:lineRule="auto"/>
        <w:jc w:val="both"/>
        <w:rPr>
          <w:rFonts w:ascii="Arial" w:hAnsi="Arial" w:cs="Arial"/>
          <w:sz w:val="20"/>
          <w:szCs w:val="20"/>
        </w:rPr>
      </w:pPr>
      <w:r>
        <w:rPr>
          <w:noProof/>
        </w:rPr>
        <w:drawing>
          <wp:inline distT="0" distB="0" distL="0" distR="0" wp14:anchorId="31EB09E3" wp14:editId="1619CFC7">
            <wp:extent cx="5745480" cy="3322320"/>
            <wp:effectExtent l="0" t="0" r="7620" b="11430"/>
            <wp:docPr id="15" name="Gráfico 15">
              <a:extLst xmlns:a="http://schemas.openxmlformats.org/drawingml/2006/main">
                <a:ext uri="{FF2B5EF4-FFF2-40B4-BE49-F238E27FC236}">
                  <a16:creationId xmlns:a16="http://schemas.microsoft.com/office/drawing/2014/main" id="{32D3F5F0-6741-4FD8-9461-10C5B35E1E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71263D8" w14:textId="7CF234E2" w:rsidR="0087492F" w:rsidRDefault="0087492F" w:rsidP="0087492F">
      <w:pPr>
        <w:pStyle w:val="Prrafodelista"/>
        <w:spacing w:line="360" w:lineRule="auto"/>
        <w:ind w:left="732"/>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4</w:t>
      </w:r>
      <w:r w:rsidRPr="003F66A5">
        <w:rPr>
          <w:rFonts w:ascii="Arial" w:hAnsi="Arial" w:cs="Arial"/>
          <w:b/>
          <w:bCs/>
          <w:sz w:val="18"/>
          <w:szCs w:val="18"/>
          <w:lang w:val="es-CO"/>
        </w:rPr>
        <w:t xml:space="preserve">. </w:t>
      </w:r>
      <w:r>
        <w:rPr>
          <w:rFonts w:ascii="Arial" w:hAnsi="Arial" w:cs="Arial"/>
          <w:b/>
          <w:bCs/>
          <w:sz w:val="18"/>
          <w:szCs w:val="18"/>
          <w:lang w:val="es-CO"/>
        </w:rPr>
        <w:t>Principales p</w:t>
      </w:r>
      <w:r w:rsidRPr="00944CD7">
        <w:rPr>
          <w:rFonts w:ascii="Arial" w:hAnsi="Arial" w:cs="Arial"/>
          <w:b/>
          <w:bCs/>
          <w:sz w:val="18"/>
          <w:szCs w:val="18"/>
          <w:lang w:val="es-CO"/>
        </w:rPr>
        <w:t xml:space="preserve">atologías </w:t>
      </w:r>
      <w:r>
        <w:rPr>
          <w:rFonts w:ascii="Arial" w:hAnsi="Arial" w:cs="Arial"/>
          <w:b/>
          <w:bCs/>
          <w:sz w:val="18"/>
          <w:szCs w:val="18"/>
          <w:lang w:val="es-CO"/>
        </w:rPr>
        <w:t xml:space="preserve">prevalentes Consulta Externa </w:t>
      </w:r>
    </w:p>
    <w:p w14:paraId="11D5BE9D" w14:textId="4A302269" w:rsidR="00724801" w:rsidRDefault="00724801" w:rsidP="00724801">
      <w:pPr>
        <w:pStyle w:val="NormalWeb"/>
        <w:spacing w:line="360" w:lineRule="auto"/>
        <w:jc w:val="both"/>
        <w:rPr>
          <w:rFonts w:ascii="Arial" w:hAnsi="Arial" w:cs="Arial"/>
          <w:sz w:val="20"/>
          <w:szCs w:val="20"/>
        </w:rPr>
      </w:pPr>
      <w:r w:rsidRPr="00160DAB">
        <w:rPr>
          <w:rFonts w:ascii="Arial" w:hAnsi="Arial" w:cs="Arial"/>
          <w:b/>
          <w:bCs/>
          <w:sz w:val="20"/>
          <w:szCs w:val="20"/>
        </w:rPr>
        <w:t>La</w:t>
      </w:r>
      <w:r w:rsidRPr="00724801">
        <w:rPr>
          <w:rFonts w:ascii="Arial" w:hAnsi="Arial" w:cs="Arial"/>
          <w:sz w:val="20"/>
          <w:szCs w:val="20"/>
        </w:rPr>
        <w:t xml:space="preserve"> </w:t>
      </w:r>
      <w:r w:rsidRPr="00724801">
        <w:rPr>
          <w:rStyle w:val="Textoennegrita"/>
          <w:rFonts w:ascii="Arial" w:hAnsi="Arial" w:cs="Arial"/>
          <w:sz w:val="20"/>
          <w:szCs w:val="20"/>
        </w:rPr>
        <w:t>hipertensión arterial esencial (I10)</w:t>
      </w:r>
      <w:r w:rsidRPr="00724801">
        <w:rPr>
          <w:rFonts w:ascii="Arial" w:hAnsi="Arial" w:cs="Arial"/>
          <w:sz w:val="20"/>
          <w:szCs w:val="20"/>
        </w:rPr>
        <w:t xml:space="preserve"> </w:t>
      </w:r>
      <w:r w:rsidRPr="00160DAB">
        <w:rPr>
          <w:rFonts w:ascii="Arial" w:hAnsi="Arial" w:cs="Arial"/>
          <w:b/>
          <w:bCs/>
          <w:sz w:val="20"/>
          <w:szCs w:val="20"/>
        </w:rPr>
        <w:t>fue el diagnóstico más frecuente en consulta externa, con</w:t>
      </w:r>
      <w:r w:rsidRPr="00724801">
        <w:rPr>
          <w:rFonts w:ascii="Arial" w:hAnsi="Arial" w:cs="Arial"/>
          <w:sz w:val="20"/>
          <w:szCs w:val="20"/>
        </w:rPr>
        <w:t xml:space="preserve"> </w:t>
      </w:r>
      <w:r w:rsidRPr="00724801">
        <w:rPr>
          <w:rStyle w:val="Textoennegrita"/>
          <w:rFonts w:ascii="Arial" w:hAnsi="Arial" w:cs="Arial"/>
          <w:sz w:val="20"/>
          <w:szCs w:val="20"/>
        </w:rPr>
        <w:t>8.466 atenciones</w:t>
      </w:r>
      <w:r w:rsidRPr="00724801">
        <w:rPr>
          <w:rFonts w:ascii="Arial" w:hAnsi="Arial" w:cs="Arial"/>
          <w:sz w:val="20"/>
          <w:szCs w:val="20"/>
        </w:rPr>
        <w:t xml:space="preserve">, </w:t>
      </w:r>
      <w:r w:rsidRPr="00160DAB">
        <w:rPr>
          <w:rFonts w:ascii="Arial" w:hAnsi="Arial" w:cs="Arial"/>
          <w:b/>
          <w:bCs/>
          <w:sz w:val="20"/>
          <w:szCs w:val="20"/>
        </w:rPr>
        <w:t>lo que corresponde al</w:t>
      </w:r>
      <w:r w:rsidRPr="00724801">
        <w:rPr>
          <w:rFonts w:ascii="Arial" w:hAnsi="Arial" w:cs="Arial"/>
          <w:sz w:val="20"/>
          <w:szCs w:val="20"/>
        </w:rPr>
        <w:t xml:space="preserve"> </w:t>
      </w:r>
      <w:r w:rsidRPr="00724801">
        <w:rPr>
          <w:rStyle w:val="Textoennegrita"/>
          <w:rFonts w:ascii="Arial" w:hAnsi="Arial" w:cs="Arial"/>
          <w:sz w:val="20"/>
          <w:szCs w:val="20"/>
        </w:rPr>
        <w:t>9,3 %</w:t>
      </w:r>
      <w:r w:rsidRPr="00724801">
        <w:rPr>
          <w:rFonts w:ascii="Arial" w:hAnsi="Arial" w:cs="Arial"/>
          <w:sz w:val="20"/>
          <w:szCs w:val="20"/>
        </w:rPr>
        <w:t xml:space="preserve"> </w:t>
      </w:r>
      <w:r w:rsidRPr="00160DAB">
        <w:rPr>
          <w:rFonts w:ascii="Arial" w:hAnsi="Arial" w:cs="Arial"/>
          <w:b/>
          <w:bCs/>
          <w:sz w:val="20"/>
          <w:szCs w:val="20"/>
        </w:rPr>
        <w:t>del total de este servicio</w:t>
      </w:r>
      <w:r w:rsidRPr="00724801">
        <w:rPr>
          <w:rFonts w:ascii="Arial" w:hAnsi="Arial" w:cs="Arial"/>
          <w:sz w:val="20"/>
          <w:szCs w:val="20"/>
        </w:rPr>
        <w:t>. Este hallazgo confirma a la hipertensión como la principal causa de atención ambulatoria y como el eje central de la carga asistencial crónica, con implicaciones directas para la gestión del riesgo cardiovascular</w:t>
      </w:r>
      <w:r>
        <w:rPr>
          <w:rFonts w:ascii="Arial" w:hAnsi="Arial" w:cs="Arial"/>
          <w:sz w:val="20"/>
          <w:szCs w:val="20"/>
        </w:rPr>
        <w:t>.</w:t>
      </w:r>
    </w:p>
    <w:p w14:paraId="7B72834D" w14:textId="5BA290AE" w:rsidR="002D2BC4" w:rsidRPr="002D2BC4" w:rsidRDefault="002D2BC4" w:rsidP="002D2BC4">
      <w:pPr>
        <w:spacing w:before="100" w:beforeAutospacing="1" w:after="100" w:afterAutospacing="1" w:line="360" w:lineRule="auto"/>
        <w:jc w:val="both"/>
        <w:rPr>
          <w:rFonts w:ascii="Arial" w:eastAsia="Times New Roman" w:hAnsi="Arial" w:cs="Arial"/>
          <w:sz w:val="20"/>
          <w:szCs w:val="20"/>
          <w:lang w:val="es-CO" w:eastAsia="es-CO"/>
        </w:rPr>
      </w:pPr>
      <w:r w:rsidRPr="002D2BC4">
        <w:rPr>
          <w:rFonts w:ascii="Arial" w:eastAsia="Times New Roman" w:hAnsi="Arial" w:cs="Arial"/>
          <w:sz w:val="20"/>
          <w:szCs w:val="20"/>
          <w:lang w:val="es-CO" w:eastAsia="es-CO"/>
        </w:rPr>
        <w:t>En segundo lugar, la diabetes mellitus registra 3.30</w:t>
      </w:r>
      <w:r w:rsidR="001A2969">
        <w:rPr>
          <w:rFonts w:ascii="Arial" w:eastAsia="Times New Roman" w:hAnsi="Arial" w:cs="Arial"/>
          <w:sz w:val="20"/>
          <w:szCs w:val="20"/>
          <w:lang w:val="es-CO" w:eastAsia="es-CO"/>
        </w:rPr>
        <w:t>5</w:t>
      </w:r>
      <w:r w:rsidRPr="002D2BC4">
        <w:rPr>
          <w:rFonts w:ascii="Arial" w:eastAsia="Times New Roman" w:hAnsi="Arial" w:cs="Arial"/>
          <w:sz w:val="20"/>
          <w:szCs w:val="20"/>
          <w:lang w:val="es-CO" w:eastAsia="es-CO"/>
        </w:rPr>
        <w:t xml:space="preserve"> atenciones, correspondientes al 3,7 % del total de consultas externas. Esta proporción refleja la relevancia de las enfermedades metabólicas dentro del perfil de morbilidad ambulatoria y la necesidad de fortalecer las estrategias de control, adherencia al tratamiento y prevención de complicaciones asociadas.</w:t>
      </w:r>
    </w:p>
    <w:p w14:paraId="17A8F365" w14:textId="25F93E5C" w:rsidR="002D2BC4" w:rsidRPr="002D2BC4" w:rsidRDefault="002D2BC4" w:rsidP="002D2BC4">
      <w:pPr>
        <w:spacing w:before="100" w:beforeAutospacing="1" w:after="100" w:afterAutospacing="1" w:line="360" w:lineRule="auto"/>
        <w:jc w:val="both"/>
        <w:rPr>
          <w:rFonts w:ascii="Arial" w:eastAsia="Times New Roman" w:hAnsi="Arial" w:cs="Arial"/>
          <w:sz w:val="20"/>
          <w:szCs w:val="20"/>
          <w:lang w:val="es-CO" w:eastAsia="es-CO"/>
        </w:rPr>
      </w:pPr>
      <w:r w:rsidRPr="002D2BC4">
        <w:rPr>
          <w:rFonts w:ascii="Arial" w:eastAsia="Times New Roman" w:hAnsi="Arial" w:cs="Arial"/>
          <w:sz w:val="20"/>
          <w:szCs w:val="20"/>
          <w:lang w:val="es-CO" w:eastAsia="es-CO"/>
        </w:rPr>
        <w:t>La hiperplasia de la próstata ocupa el tercer lugar, con 2.405 atenciones, equivalente al 2,7 % del total. La insuficiencia venosa crónica periférica, con 1.445 atenciones, representa el 1,6 % del total de consultas.</w:t>
      </w:r>
      <w:r>
        <w:rPr>
          <w:rFonts w:ascii="Arial" w:eastAsia="Times New Roman" w:hAnsi="Arial" w:cs="Arial"/>
          <w:sz w:val="20"/>
          <w:szCs w:val="20"/>
          <w:lang w:val="es-CO" w:eastAsia="es-CO"/>
        </w:rPr>
        <w:t xml:space="preserve"> </w:t>
      </w:r>
      <w:r w:rsidRPr="002D2BC4">
        <w:rPr>
          <w:rFonts w:ascii="Arial" w:eastAsia="Times New Roman" w:hAnsi="Arial" w:cs="Arial"/>
          <w:sz w:val="20"/>
          <w:szCs w:val="20"/>
          <w:lang w:val="es-CO" w:eastAsia="es-CO"/>
        </w:rPr>
        <w:t>Finalmente, el hipotiroidismo</w:t>
      </w:r>
      <w:r>
        <w:rPr>
          <w:rFonts w:ascii="Arial" w:eastAsia="Times New Roman" w:hAnsi="Arial" w:cs="Arial"/>
          <w:b/>
          <w:bCs/>
          <w:sz w:val="20"/>
          <w:szCs w:val="20"/>
          <w:lang w:val="es-CO" w:eastAsia="es-CO"/>
        </w:rPr>
        <w:t xml:space="preserve"> </w:t>
      </w:r>
      <w:r w:rsidRPr="002D2BC4">
        <w:rPr>
          <w:rFonts w:ascii="Arial" w:eastAsia="Times New Roman" w:hAnsi="Arial" w:cs="Arial"/>
          <w:sz w:val="20"/>
          <w:szCs w:val="20"/>
          <w:lang w:val="es-CO" w:eastAsia="es-CO"/>
        </w:rPr>
        <w:t xml:space="preserve">registra 1.284 atenciones, correspondientes al 1,4 % del total. Esta condición endocrina crónica se consolida como </w:t>
      </w:r>
      <w:r w:rsidR="006F6A81">
        <w:rPr>
          <w:rFonts w:ascii="Arial" w:eastAsia="Times New Roman" w:hAnsi="Arial" w:cs="Arial"/>
          <w:sz w:val="20"/>
          <w:szCs w:val="20"/>
          <w:lang w:val="es-CO" w:eastAsia="es-CO"/>
        </w:rPr>
        <w:t>la segunda</w:t>
      </w:r>
      <w:r w:rsidRPr="002D2BC4">
        <w:rPr>
          <w:rFonts w:ascii="Arial" w:eastAsia="Times New Roman" w:hAnsi="Arial" w:cs="Arial"/>
          <w:sz w:val="20"/>
          <w:szCs w:val="20"/>
          <w:lang w:val="es-CO" w:eastAsia="es-CO"/>
        </w:rPr>
        <w:t xml:space="preserve"> causa frecuente de consulta externa, asociada principalmente a seguimiento clínico</w:t>
      </w:r>
      <w:r w:rsidR="006F6A81">
        <w:rPr>
          <w:rFonts w:ascii="Arial" w:eastAsia="Times New Roman" w:hAnsi="Arial" w:cs="Arial"/>
          <w:sz w:val="20"/>
          <w:szCs w:val="20"/>
          <w:lang w:val="es-CO" w:eastAsia="es-CO"/>
        </w:rPr>
        <w:t xml:space="preserve"> </w:t>
      </w:r>
      <w:r w:rsidRPr="002D2BC4">
        <w:rPr>
          <w:rFonts w:ascii="Arial" w:eastAsia="Times New Roman" w:hAnsi="Arial" w:cs="Arial"/>
          <w:sz w:val="20"/>
          <w:szCs w:val="20"/>
          <w:lang w:val="es-CO" w:eastAsia="es-CO"/>
        </w:rPr>
        <w:t>y ajustes terapéuticos.</w:t>
      </w:r>
    </w:p>
    <w:p w14:paraId="1CDBC143" w14:textId="4C0723E8" w:rsidR="002C041C" w:rsidRPr="002C041C" w:rsidRDefault="002C041C" w:rsidP="002C041C">
      <w:pPr>
        <w:spacing w:before="100" w:beforeAutospacing="1" w:after="100" w:afterAutospacing="1" w:line="360" w:lineRule="auto"/>
        <w:jc w:val="both"/>
        <w:rPr>
          <w:rFonts w:ascii="Arial" w:eastAsia="Times New Roman" w:hAnsi="Arial" w:cs="Arial"/>
          <w:sz w:val="20"/>
          <w:szCs w:val="20"/>
          <w:lang w:val="es-CO" w:eastAsia="es-CO"/>
        </w:rPr>
      </w:pPr>
      <w:r w:rsidRPr="002C041C">
        <w:rPr>
          <w:rFonts w:ascii="Arial" w:eastAsia="Times New Roman" w:hAnsi="Arial" w:cs="Arial"/>
          <w:sz w:val="20"/>
          <w:szCs w:val="20"/>
          <w:lang w:val="es-CO" w:eastAsia="es-CO"/>
        </w:rPr>
        <w:lastRenderedPageBreak/>
        <w:t>Es importante señalar que, para el análisis del perfil de morbilidad en consulta externa, se excluyó el d</w:t>
      </w:r>
      <w:r w:rsidRPr="002C041C">
        <w:rPr>
          <w:rFonts w:ascii="Arial" w:eastAsia="Times New Roman" w:hAnsi="Arial" w:cs="Arial"/>
          <w:sz w:val="20"/>
          <w:szCs w:val="20"/>
          <w:lang w:val="es-CO" w:eastAsia="es-CO"/>
        </w:rPr>
        <w:t xml:space="preserve">iagnóstico CIE- 10 </w:t>
      </w:r>
      <w:r w:rsidRPr="002C041C">
        <w:rPr>
          <w:rFonts w:ascii="Arial" w:eastAsia="Times New Roman" w:hAnsi="Arial" w:cs="Arial"/>
          <w:sz w:val="20"/>
          <w:szCs w:val="20"/>
          <w:lang w:val="es-CO" w:eastAsia="es-CO"/>
        </w:rPr>
        <w:t xml:space="preserve">de </w:t>
      </w:r>
      <w:r w:rsidRPr="002C041C">
        <w:rPr>
          <w:rFonts w:ascii="Arial" w:eastAsia="Times New Roman" w:hAnsi="Arial" w:cs="Arial"/>
          <w:b/>
          <w:bCs/>
          <w:sz w:val="20"/>
          <w:szCs w:val="20"/>
          <w:lang w:val="es-CO" w:eastAsia="es-CO"/>
        </w:rPr>
        <w:t>sospecha de glaucoma</w:t>
      </w:r>
      <w:r w:rsidRPr="002C041C">
        <w:rPr>
          <w:rFonts w:ascii="Arial" w:eastAsia="Times New Roman" w:hAnsi="Arial" w:cs="Arial"/>
          <w:sz w:val="20"/>
          <w:szCs w:val="20"/>
          <w:lang w:val="es-CO" w:eastAsia="es-CO"/>
        </w:rPr>
        <w:t xml:space="preserve"> del grupo de patologías, dado que no corresponde a una condición clínica confirmada. No obstante, se reconoció su incremento en los registros, el cual se interpretó como asociado principalmente a su uso como diagnóstico de referencia para la solicitud de estudios de imagenología ocular, más que a un aumento real de la morbilidad confirmada por glaucoma.</w:t>
      </w:r>
    </w:p>
    <w:p w14:paraId="3591E887" w14:textId="77777777" w:rsidR="002C041C" w:rsidRPr="002C041C" w:rsidRDefault="002C041C" w:rsidP="002C041C">
      <w:pPr>
        <w:spacing w:before="100" w:beforeAutospacing="1" w:after="100" w:afterAutospacing="1" w:line="360" w:lineRule="auto"/>
        <w:jc w:val="both"/>
        <w:rPr>
          <w:rFonts w:ascii="Arial" w:eastAsia="Times New Roman" w:hAnsi="Arial" w:cs="Arial"/>
          <w:sz w:val="20"/>
          <w:szCs w:val="20"/>
          <w:lang w:val="es-CO" w:eastAsia="es-CO"/>
        </w:rPr>
      </w:pPr>
      <w:r w:rsidRPr="002C041C">
        <w:rPr>
          <w:rFonts w:ascii="Arial" w:eastAsia="Times New Roman" w:hAnsi="Arial" w:cs="Arial"/>
          <w:sz w:val="20"/>
          <w:szCs w:val="20"/>
          <w:lang w:val="es-CO" w:eastAsia="es-CO"/>
        </w:rPr>
        <w:t>En este sentido, dicho diagnóstico fue analizado de manera independiente y no incluido dentro de las condiciones priorizadas del perfil de morbilidad, con el fin de preservar la validez epidemiológica del análisis y evitar la sobreestimación de patologías crónicas confirmadas.</w:t>
      </w:r>
    </w:p>
    <w:p w14:paraId="3EDF17E2" w14:textId="3CF2BF04" w:rsidR="002C041C" w:rsidRPr="002B5EB3" w:rsidRDefault="002B5EB3" w:rsidP="002B5EB3">
      <w:pPr>
        <w:pStyle w:val="NormalWeb"/>
        <w:spacing w:line="360" w:lineRule="auto"/>
        <w:jc w:val="both"/>
        <w:rPr>
          <w:rFonts w:ascii="Arial" w:hAnsi="Arial" w:cs="Arial"/>
          <w:sz w:val="16"/>
          <w:szCs w:val="16"/>
        </w:rPr>
      </w:pPr>
      <w:r w:rsidRPr="002B5EB3">
        <w:rPr>
          <w:rFonts w:ascii="Arial" w:hAnsi="Arial" w:cs="Arial"/>
          <w:sz w:val="20"/>
          <w:szCs w:val="20"/>
        </w:rPr>
        <w:t>En c</w:t>
      </w:r>
      <w:r>
        <w:rPr>
          <w:rFonts w:ascii="Arial" w:hAnsi="Arial" w:cs="Arial"/>
          <w:sz w:val="20"/>
          <w:szCs w:val="20"/>
        </w:rPr>
        <w:t>onclusión</w:t>
      </w:r>
      <w:r w:rsidRPr="002B5EB3">
        <w:rPr>
          <w:rFonts w:ascii="Arial" w:hAnsi="Arial" w:cs="Arial"/>
          <w:sz w:val="20"/>
          <w:szCs w:val="20"/>
        </w:rPr>
        <w:t xml:space="preserve">, estas cinco condiciones concentran aproximadamente el </w:t>
      </w:r>
      <w:r w:rsidRPr="001F45BC">
        <w:rPr>
          <w:rStyle w:val="Textoennegrita"/>
          <w:rFonts w:ascii="Arial" w:hAnsi="Arial" w:cs="Arial"/>
          <w:sz w:val="20"/>
          <w:szCs w:val="20"/>
        </w:rPr>
        <w:t>1</w:t>
      </w:r>
      <w:r w:rsidR="001F45BC" w:rsidRPr="001F45BC">
        <w:rPr>
          <w:rStyle w:val="Textoennegrita"/>
          <w:rFonts w:ascii="Arial" w:hAnsi="Arial" w:cs="Arial"/>
          <w:sz w:val="20"/>
          <w:szCs w:val="20"/>
        </w:rPr>
        <w:t>9</w:t>
      </w:r>
      <w:r w:rsidRPr="001F45BC">
        <w:rPr>
          <w:rStyle w:val="Textoennegrita"/>
          <w:rFonts w:ascii="Arial" w:hAnsi="Arial" w:cs="Arial"/>
          <w:sz w:val="20"/>
          <w:szCs w:val="20"/>
        </w:rPr>
        <w:t xml:space="preserve"> %</w:t>
      </w:r>
      <w:r w:rsidRPr="002B5EB3">
        <w:rPr>
          <w:rFonts w:ascii="Arial" w:hAnsi="Arial" w:cs="Arial"/>
          <w:sz w:val="20"/>
          <w:szCs w:val="20"/>
        </w:rPr>
        <w:t xml:space="preserve"> de todas las atenciones en consulta externa, lo que evidencia un claro </w:t>
      </w:r>
      <w:r w:rsidRPr="002B5EB3">
        <w:rPr>
          <w:rStyle w:val="Textoennegrita"/>
          <w:rFonts w:ascii="Arial" w:hAnsi="Arial" w:cs="Arial"/>
          <w:sz w:val="20"/>
          <w:szCs w:val="20"/>
        </w:rPr>
        <w:t>predominio de enfermedades crónicas no transmisibles</w:t>
      </w:r>
      <w:r w:rsidRPr="002B5EB3">
        <w:rPr>
          <w:rFonts w:ascii="Arial" w:hAnsi="Arial" w:cs="Arial"/>
          <w:sz w:val="20"/>
          <w:szCs w:val="20"/>
        </w:rPr>
        <w:t xml:space="preserve"> que demandan seguimiento continuo y generan una presión sostenida sobre los servicios ambulatorios. Este patrón refuerza la importancia de orientar la planeación institucional hacia el fortalecimiento del manejo integral de patologías crónicas y la optimización de los procesos de atención en consulta externa.</w:t>
      </w:r>
    </w:p>
    <w:p w14:paraId="29991028" w14:textId="4F9C9124" w:rsidR="00992114" w:rsidRDefault="00992114" w:rsidP="00DA2AE2">
      <w:pPr>
        <w:pStyle w:val="Prrafodelista"/>
        <w:numPr>
          <w:ilvl w:val="2"/>
          <w:numId w:val="12"/>
        </w:numPr>
        <w:spacing w:line="360" w:lineRule="auto"/>
        <w:jc w:val="both"/>
        <w:rPr>
          <w:rFonts w:ascii="Arial" w:hAnsi="Arial" w:cs="Arial"/>
          <w:b/>
          <w:bCs/>
          <w:sz w:val="20"/>
          <w:szCs w:val="20"/>
          <w:lang w:val="es-CO"/>
        </w:rPr>
      </w:pPr>
      <w:r>
        <w:rPr>
          <w:rFonts w:ascii="Arial" w:hAnsi="Arial" w:cs="Arial"/>
          <w:b/>
          <w:bCs/>
          <w:sz w:val="20"/>
          <w:szCs w:val="20"/>
          <w:lang w:val="es-CO"/>
        </w:rPr>
        <w:t>Urgencias</w:t>
      </w:r>
    </w:p>
    <w:p w14:paraId="4F191428" w14:textId="77777777" w:rsidR="00F72A71" w:rsidRDefault="00F72A71" w:rsidP="00F72A71">
      <w:pPr>
        <w:pStyle w:val="Prrafodelista"/>
        <w:spacing w:line="240" w:lineRule="auto"/>
        <w:ind w:left="732"/>
        <w:jc w:val="center"/>
        <w:rPr>
          <w:rFonts w:ascii="Arial" w:hAnsi="Arial" w:cs="Arial"/>
          <w:b/>
          <w:bCs/>
          <w:sz w:val="18"/>
          <w:szCs w:val="18"/>
          <w:lang w:val="es-CO"/>
        </w:rPr>
      </w:pPr>
    </w:p>
    <w:p w14:paraId="7800A1AC" w14:textId="77777777" w:rsidR="00F72A71" w:rsidRDefault="00F72A71" w:rsidP="00F72A71">
      <w:pPr>
        <w:pStyle w:val="Prrafodelista"/>
        <w:spacing w:line="360" w:lineRule="auto"/>
        <w:ind w:left="0"/>
        <w:jc w:val="both"/>
        <w:rPr>
          <w:rFonts w:ascii="Arial" w:hAnsi="Arial" w:cs="Arial"/>
          <w:sz w:val="20"/>
          <w:szCs w:val="20"/>
          <w:lang w:val="es-CO"/>
        </w:rPr>
      </w:pPr>
      <w:r w:rsidRPr="0017156C">
        <w:rPr>
          <w:rFonts w:ascii="Arial" w:hAnsi="Arial" w:cs="Arial"/>
          <w:sz w:val="20"/>
          <w:szCs w:val="20"/>
          <w:lang w:val="es-CO"/>
        </w:rPr>
        <w:t xml:space="preserve">Durante el año 2025 se registraron </w:t>
      </w:r>
      <w:r w:rsidRPr="0017156C">
        <w:rPr>
          <w:rStyle w:val="Textoennegrita"/>
          <w:rFonts w:ascii="Arial" w:hAnsi="Arial" w:cs="Arial"/>
          <w:sz w:val="20"/>
          <w:szCs w:val="20"/>
          <w:lang w:val="es-CO"/>
        </w:rPr>
        <w:t>27.675 atenciones en el servicio de urgencias</w:t>
      </w:r>
      <w:r w:rsidRPr="0017156C">
        <w:rPr>
          <w:rFonts w:ascii="Arial" w:hAnsi="Arial" w:cs="Arial"/>
          <w:sz w:val="20"/>
          <w:szCs w:val="20"/>
          <w:lang w:val="es-CO"/>
        </w:rPr>
        <w:t xml:space="preserve">. </w:t>
      </w:r>
      <w:r>
        <w:rPr>
          <w:rFonts w:ascii="Arial" w:hAnsi="Arial" w:cs="Arial"/>
          <w:sz w:val="20"/>
          <w:szCs w:val="20"/>
          <w:lang w:val="es-CO"/>
        </w:rPr>
        <w:t xml:space="preserve">Se </w:t>
      </w:r>
      <w:r w:rsidRPr="0017156C">
        <w:rPr>
          <w:rFonts w:ascii="Arial" w:hAnsi="Arial" w:cs="Arial"/>
          <w:sz w:val="20"/>
          <w:szCs w:val="20"/>
          <w:lang w:val="es-CO"/>
        </w:rPr>
        <w:t xml:space="preserve">evidencia un patrón epidemiológico caracterizado por el </w:t>
      </w:r>
      <w:r w:rsidRPr="00480442">
        <w:rPr>
          <w:rStyle w:val="Textoennegrita"/>
          <w:rFonts w:ascii="Arial" w:hAnsi="Arial" w:cs="Arial"/>
          <w:b w:val="0"/>
          <w:bCs w:val="0"/>
          <w:sz w:val="20"/>
          <w:szCs w:val="20"/>
          <w:lang w:val="es-CO"/>
        </w:rPr>
        <w:t>predominio de enfermedades infecciosas agudas</w:t>
      </w:r>
      <w:r w:rsidRPr="0017156C">
        <w:rPr>
          <w:rFonts w:ascii="Arial" w:hAnsi="Arial" w:cs="Arial"/>
          <w:sz w:val="20"/>
          <w:szCs w:val="20"/>
          <w:lang w:val="es-CO"/>
        </w:rPr>
        <w:t>.</w:t>
      </w:r>
    </w:p>
    <w:p w14:paraId="7AC4AA30" w14:textId="13EB38BC" w:rsidR="00DA50D3" w:rsidRDefault="00577C70" w:rsidP="00F72A71">
      <w:pPr>
        <w:pStyle w:val="Prrafodelista"/>
        <w:spacing w:line="360" w:lineRule="auto"/>
        <w:ind w:left="0"/>
        <w:jc w:val="both"/>
        <w:rPr>
          <w:rFonts w:ascii="Arial" w:hAnsi="Arial" w:cs="Arial"/>
          <w:sz w:val="20"/>
          <w:szCs w:val="20"/>
          <w:lang w:val="es-CO"/>
        </w:rPr>
      </w:pPr>
      <w:r>
        <w:rPr>
          <w:noProof/>
        </w:rPr>
        <w:drawing>
          <wp:inline distT="0" distB="0" distL="0" distR="0" wp14:anchorId="41EC39B9" wp14:editId="7744D038">
            <wp:extent cx="5844540" cy="3261360"/>
            <wp:effectExtent l="0" t="0" r="3810" b="15240"/>
            <wp:docPr id="16" name="Gráfico 16">
              <a:extLst xmlns:a="http://schemas.openxmlformats.org/drawingml/2006/main">
                <a:ext uri="{FF2B5EF4-FFF2-40B4-BE49-F238E27FC236}">
                  <a16:creationId xmlns:a16="http://schemas.microsoft.com/office/drawing/2014/main" id="{BE71946A-B440-43EA-9F3F-0B09978CA8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74ABCF" w14:textId="3D86F704" w:rsidR="00577C70" w:rsidRDefault="00577C70" w:rsidP="00577C70">
      <w:pPr>
        <w:pStyle w:val="Prrafodelista"/>
        <w:spacing w:line="360" w:lineRule="auto"/>
        <w:ind w:left="732"/>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5</w:t>
      </w:r>
      <w:r w:rsidRPr="003F66A5">
        <w:rPr>
          <w:rFonts w:ascii="Arial" w:hAnsi="Arial" w:cs="Arial"/>
          <w:b/>
          <w:bCs/>
          <w:sz w:val="18"/>
          <w:szCs w:val="18"/>
          <w:lang w:val="es-CO"/>
        </w:rPr>
        <w:t xml:space="preserve">. </w:t>
      </w:r>
      <w:r w:rsidRPr="003D7022">
        <w:rPr>
          <w:rFonts w:ascii="Arial" w:hAnsi="Arial" w:cs="Arial"/>
          <w:b/>
          <w:bCs/>
          <w:sz w:val="18"/>
          <w:szCs w:val="18"/>
          <w:lang w:val="es-CO"/>
        </w:rPr>
        <w:t xml:space="preserve">Principales </w:t>
      </w:r>
      <w:r>
        <w:rPr>
          <w:rFonts w:ascii="Arial" w:hAnsi="Arial" w:cs="Arial"/>
          <w:b/>
          <w:bCs/>
          <w:sz w:val="18"/>
          <w:szCs w:val="18"/>
          <w:lang w:val="es-CO"/>
        </w:rPr>
        <w:t xml:space="preserve">códigos CIE- 10 de </w:t>
      </w:r>
      <w:r>
        <w:rPr>
          <w:rFonts w:ascii="Arial" w:hAnsi="Arial" w:cs="Arial"/>
          <w:b/>
          <w:bCs/>
          <w:sz w:val="18"/>
          <w:szCs w:val="18"/>
          <w:lang w:val="es-CO"/>
        </w:rPr>
        <w:t>Urgencias</w:t>
      </w:r>
      <w:r>
        <w:rPr>
          <w:rFonts w:ascii="Arial" w:hAnsi="Arial" w:cs="Arial"/>
          <w:b/>
          <w:bCs/>
          <w:sz w:val="18"/>
          <w:szCs w:val="18"/>
          <w:lang w:val="es-CO"/>
        </w:rPr>
        <w:t xml:space="preserve"> </w:t>
      </w:r>
    </w:p>
    <w:p w14:paraId="2AE11F1A" w14:textId="1BD37180" w:rsidR="00577C70" w:rsidRDefault="00577C70" w:rsidP="00577C70">
      <w:pPr>
        <w:pStyle w:val="NormalWeb"/>
        <w:spacing w:line="360" w:lineRule="auto"/>
        <w:jc w:val="both"/>
        <w:rPr>
          <w:rFonts w:ascii="Arial" w:hAnsi="Arial" w:cs="Arial"/>
          <w:sz w:val="20"/>
          <w:szCs w:val="20"/>
        </w:rPr>
      </w:pPr>
      <w:r w:rsidRPr="00992114">
        <w:rPr>
          <w:rFonts w:ascii="Arial" w:hAnsi="Arial" w:cs="Arial"/>
          <w:sz w:val="20"/>
          <w:szCs w:val="20"/>
        </w:rPr>
        <w:lastRenderedPageBreak/>
        <w:t>El análisis de l</w:t>
      </w:r>
      <w:r>
        <w:rPr>
          <w:rFonts w:ascii="Arial" w:hAnsi="Arial" w:cs="Arial"/>
          <w:sz w:val="20"/>
          <w:szCs w:val="20"/>
        </w:rPr>
        <w:t>os diez</w:t>
      </w:r>
      <w:r w:rsidRPr="00992114">
        <w:rPr>
          <w:rFonts w:ascii="Arial" w:hAnsi="Arial" w:cs="Arial"/>
          <w:sz w:val="20"/>
          <w:szCs w:val="20"/>
        </w:rPr>
        <w:t xml:space="preserve"> diagnósticos </w:t>
      </w:r>
      <w:r>
        <w:rPr>
          <w:rFonts w:ascii="Arial" w:hAnsi="Arial" w:cs="Arial"/>
          <w:sz w:val="20"/>
          <w:szCs w:val="20"/>
        </w:rPr>
        <w:t xml:space="preserve">CIE-10 </w:t>
      </w:r>
      <w:r w:rsidRPr="00992114">
        <w:rPr>
          <w:rFonts w:ascii="Arial" w:hAnsi="Arial" w:cs="Arial"/>
          <w:sz w:val="20"/>
          <w:szCs w:val="20"/>
        </w:rPr>
        <w:t xml:space="preserve">más frecuentes evidencia un </w:t>
      </w:r>
      <w:r w:rsidRPr="00992114">
        <w:rPr>
          <w:rStyle w:val="Textoennegrita"/>
          <w:rFonts w:ascii="Arial" w:hAnsi="Arial" w:cs="Arial"/>
          <w:b w:val="0"/>
          <w:bCs w:val="0"/>
          <w:sz w:val="20"/>
          <w:szCs w:val="20"/>
        </w:rPr>
        <w:t xml:space="preserve">claro predominio de enfermedades </w:t>
      </w:r>
      <w:r>
        <w:rPr>
          <w:rStyle w:val="Textoennegrita"/>
          <w:rFonts w:ascii="Arial" w:hAnsi="Arial" w:cs="Arial"/>
          <w:b w:val="0"/>
          <w:bCs w:val="0"/>
          <w:sz w:val="20"/>
          <w:szCs w:val="20"/>
        </w:rPr>
        <w:t>infecciosas agudas</w:t>
      </w:r>
      <w:r w:rsidRPr="00992114">
        <w:rPr>
          <w:rFonts w:ascii="Arial" w:hAnsi="Arial" w:cs="Arial"/>
          <w:sz w:val="20"/>
          <w:szCs w:val="20"/>
        </w:rPr>
        <w:t xml:space="preserve">, </w:t>
      </w:r>
      <w:r>
        <w:rPr>
          <w:rFonts w:ascii="Arial" w:hAnsi="Arial" w:cs="Arial"/>
          <w:sz w:val="20"/>
          <w:szCs w:val="20"/>
        </w:rPr>
        <w:t xml:space="preserve">sin </w:t>
      </w:r>
      <w:r>
        <w:rPr>
          <w:rFonts w:ascii="Arial" w:hAnsi="Arial" w:cs="Arial"/>
          <w:sz w:val="20"/>
          <w:szCs w:val="20"/>
        </w:rPr>
        <w:t>embargo, a continuación se resume las condiciones más frecuentes tras organización</w:t>
      </w:r>
      <w:r w:rsidRPr="003D7022">
        <w:rPr>
          <w:rFonts w:ascii="Arial" w:hAnsi="Arial" w:cs="Arial"/>
          <w:sz w:val="20"/>
          <w:szCs w:val="20"/>
        </w:rPr>
        <w:t xml:space="preserve"> por grupos de patologías</w:t>
      </w:r>
      <w:r>
        <w:rPr>
          <w:rFonts w:ascii="Arial" w:hAnsi="Arial" w:cs="Arial"/>
          <w:sz w:val="20"/>
          <w:szCs w:val="20"/>
        </w:rPr>
        <w:t>:</w:t>
      </w:r>
    </w:p>
    <w:p w14:paraId="7704B74E" w14:textId="07220DEF" w:rsidR="00577C70" w:rsidRDefault="003045DE" w:rsidP="00577C70">
      <w:pPr>
        <w:pStyle w:val="NormalWeb"/>
        <w:spacing w:line="360" w:lineRule="auto"/>
        <w:jc w:val="both"/>
        <w:rPr>
          <w:rFonts w:ascii="Arial" w:hAnsi="Arial" w:cs="Arial"/>
          <w:sz w:val="20"/>
          <w:szCs w:val="20"/>
        </w:rPr>
      </w:pPr>
      <w:r>
        <w:rPr>
          <w:noProof/>
        </w:rPr>
        <w:drawing>
          <wp:inline distT="0" distB="0" distL="0" distR="0" wp14:anchorId="407D40BF" wp14:editId="25F4E6C3">
            <wp:extent cx="5875020" cy="3208020"/>
            <wp:effectExtent l="0" t="0" r="11430" b="11430"/>
            <wp:docPr id="17" name="Gráfico 17">
              <a:extLst xmlns:a="http://schemas.openxmlformats.org/drawingml/2006/main">
                <a:ext uri="{FF2B5EF4-FFF2-40B4-BE49-F238E27FC236}">
                  <a16:creationId xmlns:a16="http://schemas.microsoft.com/office/drawing/2014/main" id="{7CBCB3E6-0AAC-4F74-BC05-E88125AA4C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7192DCA" w14:textId="52A04176" w:rsidR="003045DE" w:rsidRDefault="003045DE" w:rsidP="003045DE">
      <w:pPr>
        <w:pStyle w:val="Prrafodelista"/>
        <w:spacing w:line="360" w:lineRule="auto"/>
        <w:ind w:left="732"/>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6</w:t>
      </w:r>
      <w:r w:rsidRPr="003F66A5">
        <w:rPr>
          <w:rFonts w:ascii="Arial" w:hAnsi="Arial" w:cs="Arial"/>
          <w:b/>
          <w:bCs/>
          <w:sz w:val="18"/>
          <w:szCs w:val="18"/>
          <w:lang w:val="es-CO"/>
        </w:rPr>
        <w:t xml:space="preserve">. </w:t>
      </w:r>
      <w:r>
        <w:rPr>
          <w:rFonts w:ascii="Arial" w:hAnsi="Arial" w:cs="Arial"/>
          <w:b/>
          <w:bCs/>
          <w:sz w:val="18"/>
          <w:szCs w:val="18"/>
          <w:lang w:val="es-CO"/>
        </w:rPr>
        <w:t>Principales p</w:t>
      </w:r>
      <w:r w:rsidRPr="00944CD7">
        <w:rPr>
          <w:rFonts w:ascii="Arial" w:hAnsi="Arial" w:cs="Arial"/>
          <w:b/>
          <w:bCs/>
          <w:sz w:val="18"/>
          <w:szCs w:val="18"/>
          <w:lang w:val="es-CO"/>
        </w:rPr>
        <w:t xml:space="preserve">atologías </w:t>
      </w:r>
      <w:r>
        <w:rPr>
          <w:rFonts w:ascii="Arial" w:hAnsi="Arial" w:cs="Arial"/>
          <w:b/>
          <w:bCs/>
          <w:sz w:val="18"/>
          <w:szCs w:val="18"/>
          <w:lang w:val="es-CO"/>
        </w:rPr>
        <w:t xml:space="preserve">prevalentes </w:t>
      </w:r>
      <w:r>
        <w:rPr>
          <w:rFonts w:ascii="Arial" w:hAnsi="Arial" w:cs="Arial"/>
          <w:b/>
          <w:bCs/>
          <w:sz w:val="18"/>
          <w:szCs w:val="18"/>
          <w:lang w:val="es-CO"/>
        </w:rPr>
        <w:t xml:space="preserve">Urgencias </w:t>
      </w:r>
    </w:p>
    <w:p w14:paraId="5E84171D" w14:textId="464E49B6" w:rsidR="00DA50D3" w:rsidRDefault="00DA50D3" w:rsidP="00F72A71">
      <w:pPr>
        <w:pStyle w:val="Prrafodelista"/>
        <w:spacing w:line="360" w:lineRule="auto"/>
        <w:ind w:left="0"/>
        <w:jc w:val="both"/>
        <w:rPr>
          <w:rFonts w:ascii="Arial" w:hAnsi="Arial" w:cs="Arial"/>
          <w:sz w:val="20"/>
          <w:szCs w:val="20"/>
          <w:lang w:val="es-CO"/>
        </w:rPr>
      </w:pPr>
    </w:p>
    <w:p w14:paraId="71C53C96" w14:textId="2200DAD7" w:rsidR="00992114" w:rsidRDefault="00992114" w:rsidP="00DA2AE2">
      <w:pPr>
        <w:pStyle w:val="Prrafodelista"/>
        <w:numPr>
          <w:ilvl w:val="2"/>
          <w:numId w:val="12"/>
        </w:numPr>
        <w:spacing w:line="360" w:lineRule="auto"/>
        <w:jc w:val="both"/>
        <w:rPr>
          <w:rFonts w:ascii="Arial" w:hAnsi="Arial" w:cs="Arial"/>
          <w:b/>
          <w:bCs/>
          <w:sz w:val="20"/>
          <w:szCs w:val="20"/>
          <w:lang w:val="es-CO"/>
        </w:rPr>
      </w:pPr>
      <w:r>
        <w:rPr>
          <w:rFonts w:ascii="Arial" w:hAnsi="Arial" w:cs="Arial"/>
          <w:b/>
          <w:bCs/>
          <w:sz w:val="20"/>
          <w:szCs w:val="20"/>
          <w:lang w:val="es-CO"/>
        </w:rPr>
        <w:t>Hospitalización</w:t>
      </w:r>
    </w:p>
    <w:p w14:paraId="41231B3D" w14:textId="4CB9CA79" w:rsidR="000A28EC" w:rsidRDefault="000A28EC" w:rsidP="000A28EC">
      <w:pPr>
        <w:spacing w:line="360" w:lineRule="auto"/>
        <w:jc w:val="both"/>
        <w:rPr>
          <w:rStyle w:val="Textoennegrita"/>
          <w:rFonts w:ascii="Arial" w:hAnsi="Arial" w:cs="Arial"/>
          <w:b w:val="0"/>
          <w:bCs w:val="0"/>
          <w:sz w:val="20"/>
          <w:szCs w:val="20"/>
          <w:lang w:val="es-CO"/>
        </w:rPr>
      </w:pPr>
      <w:r w:rsidRPr="000A28EC">
        <w:rPr>
          <w:rFonts w:ascii="Arial" w:hAnsi="Arial" w:cs="Arial"/>
          <w:sz w:val="20"/>
          <w:szCs w:val="20"/>
          <w:lang w:val="es-CO"/>
        </w:rPr>
        <w:t xml:space="preserve">Durante el periodo analizado se registraron </w:t>
      </w:r>
      <w:r w:rsidR="001D5A03">
        <w:rPr>
          <w:rStyle w:val="Textoennegrita"/>
          <w:rFonts w:ascii="Arial" w:hAnsi="Arial" w:cs="Arial"/>
          <w:b w:val="0"/>
          <w:bCs w:val="0"/>
          <w:sz w:val="20"/>
          <w:szCs w:val="20"/>
          <w:lang w:val="es-CO"/>
        </w:rPr>
        <w:t>11404</w:t>
      </w:r>
      <w:r w:rsidRPr="000A28EC">
        <w:rPr>
          <w:rStyle w:val="Textoennegrita"/>
          <w:rFonts w:ascii="Arial" w:hAnsi="Arial" w:cs="Arial"/>
          <w:b w:val="0"/>
          <w:bCs w:val="0"/>
          <w:sz w:val="20"/>
          <w:szCs w:val="20"/>
          <w:lang w:val="es-CO"/>
        </w:rPr>
        <w:t xml:space="preserve"> atenciones de hospitalización</w:t>
      </w:r>
      <w:r w:rsidR="00697404">
        <w:rPr>
          <w:rStyle w:val="Textoennegrita"/>
          <w:rFonts w:ascii="Arial" w:hAnsi="Arial" w:cs="Arial"/>
          <w:b w:val="0"/>
          <w:bCs w:val="0"/>
          <w:sz w:val="20"/>
          <w:szCs w:val="20"/>
          <w:lang w:val="es-CO"/>
        </w:rPr>
        <w:t>.</w:t>
      </w:r>
    </w:p>
    <w:p w14:paraId="1077EF4C" w14:textId="1006CA8A" w:rsidR="00E559FA" w:rsidRPr="00EC7EE2" w:rsidRDefault="00EC7EE2" w:rsidP="000A28EC">
      <w:pPr>
        <w:spacing w:line="360" w:lineRule="auto"/>
        <w:jc w:val="both"/>
        <w:rPr>
          <w:rStyle w:val="Textoennegrita"/>
          <w:rFonts w:ascii="Arial" w:hAnsi="Arial" w:cs="Arial"/>
          <w:b w:val="0"/>
          <w:bCs w:val="0"/>
          <w:sz w:val="18"/>
          <w:szCs w:val="18"/>
          <w:lang w:val="es-CO"/>
        </w:rPr>
      </w:pPr>
      <w:r w:rsidRPr="00EC7EE2">
        <w:rPr>
          <w:rFonts w:ascii="Arial" w:hAnsi="Arial" w:cs="Arial"/>
          <w:sz w:val="20"/>
          <w:szCs w:val="20"/>
          <w:lang w:val="es-CO"/>
        </w:rPr>
        <w:t xml:space="preserve">Para la construcción de este análisis de morbilidad en hospitalización, se </w:t>
      </w:r>
      <w:r w:rsidRPr="00EC7EE2">
        <w:rPr>
          <w:rStyle w:val="Textoennegrita"/>
          <w:rFonts w:ascii="Arial" w:hAnsi="Arial" w:cs="Arial"/>
          <w:b w:val="0"/>
          <w:bCs w:val="0"/>
          <w:sz w:val="20"/>
          <w:szCs w:val="20"/>
          <w:lang w:val="es-CO"/>
        </w:rPr>
        <w:t>excluyeron los códigos correspondientes a procedimientos quirúrgicos y atenciones relacionadas con parto</w:t>
      </w:r>
      <w:r w:rsidRPr="00EC7EE2">
        <w:rPr>
          <w:rFonts w:ascii="Arial" w:hAnsi="Arial" w:cs="Arial"/>
          <w:sz w:val="20"/>
          <w:szCs w:val="20"/>
          <w:lang w:val="es-CO"/>
        </w:rPr>
        <w:t xml:space="preserve">, con el fin de evitar la sobreestimación de eventos no asociados a enfermedad. En consecuencia, el análisis se centró exclusivamente en las </w:t>
      </w:r>
      <w:r w:rsidRPr="00EC7EE2">
        <w:rPr>
          <w:rStyle w:val="Textoennegrita"/>
          <w:rFonts w:ascii="Arial" w:hAnsi="Arial" w:cs="Arial"/>
          <w:b w:val="0"/>
          <w:bCs w:val="0"/>
          <w:sz w:val="20"/>
          <w:szCs w:val="20"/>
          <w:lang w:val="es-CO"/>
        </w:rPr>
        <w:t>patologías subyacentes</w:t>
      </w:r>
      <w:r w:rsidRPr="00EC7EE2">
        <w:rPr>
          <w:rFonts w:ascii="Arial" w:hAnsi="Arial" w:cs="Arial"/>
          <w:sz w:val="20"/>
          <w:szCs w:val="20"/>
          <w:lang w:val="es-CO"/>
        </w:rPr>
        <w:t xml:space="preserve"> que motivaron el ingreso hospitalario, permitiendo una interpretación epidemiológica más precisa y orientada a la carga real de enfermedad.</w:t>
      </w:r>
    </w:p>
    <w:p w14:paraId="4E107442" w14:textId="77777777" w:rsidR="00E559FA" w:rsidRDefault="00E559FA" w:rsidP="000A28EC">
      <w:pPr>
        <w:spacing w:line="360" w:lineRule="auto"/>
        <w:jc w:val="both"/>
        <w:rPr>
          <w:rStyle w:val="Textoennegrita"/>
          <w:rFonts w:ascii="Arial" w:hAnsi="Arial" w:cs="Arial"/>
          <w:b w:val="0"/>
          <w:bCs w:val="0"/>
          <w:sz w:val="20"/>
          <w:szCs w:val="20"/>
          <w:lang w:val="es-CO"/>
        </w:rPr>
      </w:pPr>
    </w:p>
    <w:p w14:paraId="24BE9212" w14:textId="6619B3B6" w:rsidR="00E559FA" w:rsidRDefault="00E559FA" w:rsidP="000A28EC">
      <w:pPr>
        <w:spacing w:line="360" w:lineRule="auto"/>
        <w:jc w:val="both"/>
        <w:rPr>
          <w:rStyle w:val="Textoennegrita"/>
          <w:rFonts w:ascii="Arial" w:hAnsi="Arial" w:cs="Arial"/>
          <w:b w:val="0"/>
          <w:bCs w:val="0"/>
          <w:sz w:val="20"/>
          <w:szCs w:val="20"/>
          <w:lang w:val="es-CO"/>
        </w:rPr>
      </w:pPr>
      <w:r>
        <w:rPr>
          <w:noProof/>
        </w:rPr>
        <w:lastRenderedPageBreak/>
        <w:drawing>
          <wp:inline distT="0" distB="0" distL="0" distR="0" wp14:anchorId="03103276" wp14:editId="21D426EB">
            <wp:extent cx="5669280" cy="3200400"/>
            <wp:effectExtent l="0" t="0" r="7620" b="0"/>
            <wp:docPr id="19" name="Gráfico 19">
              <a:extLst xmlns:a="http://schemas.openxmlformats.org/drawingml/2006/main">
                <a:ext uri="{FF2B5EF4-FFF2-40B4-BE49-F238E27FC236}">
                  <a16:creationId xmlns:a16="http://schemas.microsoft.com/office/drawing/2014/main" id="{796844BA-6B1A-4706-8256-589065133F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AB55FE8" w14:textId="0154DBF9" w:rsidR="00E559FA" w:rsidRDefault="00E559FA" w:rsidP="00E559FA">
      <w:pPr>
        <w:pStyle w:val="Prrafodelista"/>
        <w:spacing w:line="360" w:lineRule="auto"/>
        <w:ind w:left="732"/>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7</w:t>
      </w:r>
      <w:r w:rsidRPr="003F66A5">
        <w:rPr>
          <w:rFonts w:ascii="Arial" w:hAnsi="Arial" w:cs="Arial"/>
          <w:b/>
          <w:bCs/>
          <w:sz w:val="18"/>
          <w:szCs w:val="18"/>
          <w:lang w:val="es-CO"/>
        </w:rPr>
        <w:t xml:space="preserve">. </w:t>
      </w:r>
      <w:r w:rsidRPr="003D7022">
        <w:rPr>
          <w:rFonts w:ascii="Arial" w:hAnsi="Arial" w:cs="Arial"/>
          <w:b/>
          <w:bCs/>
          <w:sz w:val="18"/>
          <w:szCs w:val="18"/>
          <w:lang w:val="es-CO"/>
        </w:rPr>
        <w:t xml:space="preserve">Principales </w:t>
      </w:r>
      <w:r>
        <w:rPr>
          <w:rFonts w:ascii="Arial" w:hAnsi="Arial" w:cs="Arial"/>
          <w:b/>
          <w:bCs/>
          <w:sz w:val="18"/>
          <w:szCs w:val="18"/>
          <w:lang w:val="es-CO"/>
        </w:rPr>
        <w:t xml:space="preserve">códigos CIE- 10 de </w:t>
      </w:r>
      <w:r>
        <w:rPr>
          <w:rFonts w:ascii="Arial" w:hAnsi="Arial" w:cs="Arial"/>
          <w:b/>
          <w:bCs/>
          <w:sz w:val="18"/>
          <w:szCs w:val="18"/>
          <w:lang w:val="es-CO"/>
        </w:rPr>
        <w:t>Hospitalización</w:t>
      </w:r>
    </w:p>
    <w:p w14:paraId="5355EF87" w14:textId="5484B1C9" w:rsidR="001B41F1" w:rsidRDefault="001B41F1" w:rsidP="000A28EC">
      <w:pPr>
        <w:spacing w:line="360" w:lineRule="auto"/>
        <w:jc w:val="both"/>
        <w:rPr>
          <w:rStyle w:val="Textoennegrita"/>
          <w:rFonts w:ascii="Arial" w:hAnsi="Arial" w:cs="Arial"/>
          <w:b w:val="0"/>
          <w:bCs w:val="0"/>
          <w:sz w:val="20"/>
          <w:szCs w:val="20"/>
          <w:lang w:val="es-CO"/>
        </w:rPr>
      </w:pPr>
      <w:r>
        <w:rPr>
          <w:noProof/>
        </w:rPr>
        <w:drawing>
          <wp:inline distT="0" distB="0" distL="0" distR="0" wp14:anchorId="01A54F14" wp14:editId="62E5CD4D">
            <wp:extent cx="5722620" cy="3383280"/>
            <wp:effectExtent l="0" t="0" r="11430" b="7620"/>
            <wp:docPr id="18" name="Gráfico 18">
              <a:extLst xmlns:a="http://schemas.openxmlformats.org/drawingml/2006/main">
                <a:ext uri="{FF2B5EF4-FFF2-40B4-BE49-F238E27FC236}">
                  <a16:creationId xmlns:a16="http://schemas.microsoft.com/office/drawing/2014/main" id="{4E4788E9-7C40-46CC-882C-8FA0CC4481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EACEF4B" w14:textId="24DBF077" w:rsidR="002249E0" w:rsidRDefault="002249E0" w:rsidP="002249E0">
      <w:pPr>
        <w:spacing w:line="360" w:lineRule="auto"/>
        <w:jc w:val="center"/>
        <w:rPr>
          <w:rFonts w:ascii="Arial" w:hAnsi="Arial" w:cs="Arial"/>
          <w:b/>
          <w:bCs/>
          <w:sz w:val="18"/>
          <w:szCs w:val="18"/>
          <w:lang w:val="es-CO"/>
        </w:rPr>
      </w:pPr>
      <w:r w:rsidRPr="003F66A5">
        <w:rPr>
          <w:rFonts w:ascii="Arial" w:hAnsi="Arial" w:cs="Arial"/>
          <w:b/>
          <w:bCs/>
          <w:sz w:val="18"/>
          <w:szCs w:val="18"/>
          <w:lang w:val="es-CO"/>
        </w:rPr>
        <w:t xml:space="preserve">Gráfico </w:t>
      </w:r>
      <w:r w:rsidR="00E559FA">
        <w:rPr>
          <w:rFonts w:ascii="Arial" w:hAnsi="Arial" w:cs="Arial"/>
          <w:b/>
          <w:bCs/>
          <w:sz w:val="18"/>
          <w:szCs w:val="18"/>
          <w:lang w:val="es-CO"/>
        </w:rPr>
        <w:t>8</w:t>
      </w:r>
      <w:r w:rsidRPr="003F66A5">
        <w:rPr>
          <w:rFonts w:ascii="Arial" w:hAnsi="Arial" w:cs="Arial"/>
          <w:b/>
          <w:bCs/>
          <w:sz w:val="18"/>
          <w:szCs w:val="18"/>
          <w:lang w:val="es-CO"/>
        </w:rPr>
        <w:t xml:space="preserve">. </w:t>
      </w:r>
      <w:r w:rsidRPr="00944CD7">
        <w:rPr>
          <w:rFonts w:ascii="Arial" w:hAnsi="Arial" w:cs="Arial"/>
          <w:b/>
          <w:bCs/>
          <w:sz w:val="18"/>
          <w:szCs w:val="18"/>
          <w:lang w:val="es-CO"/>
        </w:rPr>
        <w:t>P</w:t>
      </w:r>
      <w:r>
        <w:rPr>
          <w:rFonts w:ascii="Arial" w:hAnsi="Arial" w:cs="Arial"/>
          <w:b/>
          <w:bCs/>
          <w:sz w:val="18"/>
          <w:szCs w:val="18"/>
          <w:lang w:val="es-CO"/>
        </w:rPr>
        <w:t xml:space="preserve">atologías prevalentes de </w:t>
      </w:r>
      <w:r w:rsidR="001B41F1">
        <w:rPr>
          <w:rFonts w:ascii="Arial" w:hAnsi="Arial" w:cs="Arial"/>
          <w:b/>
          <w:bCs/>
          <w:sz w:val="18"/>
          <w:szCs w:val="18"/>
          <w:lang w:val="es-CO"/>
        </w:rPr>
        <w:t xml:space="preserve">Hospitalización </w:t>
      </w:r>
    </w:p>
    <w:p w14:paraId="632E514C" w14:textId="77777777" w:rsidR="00E559FA" w:rsidRDefault="00E559FA" w:rsidP="002249E0">
      <w:pPr>
        <w:spacing w:line="360" w:lineRule="auto"/>
        <w:jc w:val="center"/>
        <w:rPr>
          <w:rFonts w:ascii="Arial" w:hAnsi="Arial" w:cs="Arial"/>
          <w:b/>
          <w:bCs/>
          <w:sz w:val="18"/>
          <w:szCs w:val="18"/>
          <w:lang w:val="es-CO"/>
        </w:rPr>
      </w:pPr>
    </w:p>
    <w:p w14:paraId="31465435" w14:textId="43562C2D" w:rsidR="00C40F6A" w:rsidRPr="00C40F6A" w:rsidRDefault="00C40F6A" w:rsidP="00C40F6A">
      <w:pPr>
        <w:pStyle w:val="NormalWeb"/>
        <w:spacing w:line="360" w:lineRule="auto"/>
        <w:jc w:val="both"/>
        <w:rPr>
          <w:rFonts w:ascii="Arial" w:hAnsi="Arial" w:cs="Arial"/>
          <w:sz w:val="20"/>
          <w:szCs w:val="20"/>
        </w:rPr>
      </w:pPr>
      <w:r w:rsidRPr="00C40F6A">
        <w:rPr>
          <w:rFonts w:ascii="Arial" w:hAnsi="Arial" w:cs="Arial"/>
          <w:sz w:val="20"/>
          <w:szCs w:val="20"/>
        </w:rPr>
        <w:lastRenderedPageBreak/>
        <w:t>El análisis de la morbilidad en el servicio de hospitalización evidencia que las principales causas de ingreso corresponden tanto a patologías infecciosas agudas como a la descompensación de enfermedades crónicas</w:t>
      </w:r>
      <w:r w:rsidR="00C36584">
        <w:rPr>
          <w:rFonts w:ascii="Arial" w:hAnsi="Arial" w:cs="Arial"/>
          <w:sz w:val="20"/>
          <w:szCs w:val="20"/>
        </w:rPr>
        <w:t>.</w:t>
      </w:r>
    </w:p>
    <w:p w14:paraId="721948B9" w14:textId="061AE569" w:rsidR="00C40F6A" w:rsidRPr="00C40F6A" w:rsidRDefault="00C40F6A" w:rsidP="00C40F6A">
      <w:pPr>
        <w:pStyle w:val="NormalWeb"/>
        <w:spacing w:line="360" w:lineRule="auto"/>
        <w:jc w:val="both"/>
        <w:rPr>
          <w:rFonts w:ascii="Arial" w:hAnsi="Arial" w:cs="Arial"/>
          <w:sz w:val="20"/>
          <w:szCs w:val="20"/>
        </w:rPr>
      </w:pPr>
      <w:r w:rsidRPr="00C40F6A">
        <w:rPr>
          <w:rFonts w:ascii="Arial" w:hAnsi="Arial" w:cs="Arial"/>
          <w:sz w:val="20"/>
          <w:szCs w:val="20"/>
        </w:rPr>
        <w:t xml:space="preserve">La </w:t>
      </w:r>
      <w:r w:rsidRPr="00C40F6A">
        <w:rPr>
          <w:rStyle w:val="Textoennegrita"/>
          <w:rFonts w:ascii="Arial" w:hAnsi="Arial" w:cs="Arial"/>
          <w:b w:val="0"/>
          <w:bCs w:val="0"/>
          <w:sz w:val="20"/>
          <w:szCs w:val="20"/>
        </w:rPr>
        <w:t>gastroenteritis y colitis</w:t>
      </w:r>
      <w:r w:rsidRPr="00C40F6A">
        <w:rPr>
          <w:rFonts w:ascii="Arial" w:hAnsi="Arial" w:cs="Arial"/>
          <w:sz w:val="20"/>
          <w:szCs w:val="20"/>
        </w:rPr>
        <w:t xml:space="preserve"> se posicionan como la principal causa de hospitalización, con </w:t>
      </w:r>
      <w:r w:rsidRPr="00C40F6A">
        <w:rPr>
          <w:rStyle w:val="Textoennegrita"/>
          <w:rFonts w:ascii="Arial" w:hAnsi="Arial" w:cs="Arial"/>
          <w:b w:val="0"/>
          <w:bCs w:val="0"/>
          <w:sz w:val="20"/>
          <w:szCs w:val="20"/>
        </w:rPr>
        <w:t>464 ingresos</w:t>
      </w:r>
      <w:r w:rsidRPr="00C40F6A">
        <w:rPr>
          <w:rFonts w:ascii="Arial" w:hAnsi="Arial" w:cs="Arial"/>
          <w:sz w:val="20"/>
          <w:szCs w:val="20"/>
        </w:rPr>
        <w:t xml:space="preserve">, lo que evidencia el impacto de las enfermedades gastrointestinales agudas que, por su severidad, deshidratación asociada </w:t>
      </w:r>
      <w:r>
        <w:rPr>
          <w:rFonts w:ascii="Arial" w:hAnsi="Arial" w:cs="Arial"/>
          <w:sz w:val="20"/>
          <w:szCs w:val="20"/>
        </w:rPr>
        <w:t>y</w:t>
      </w:r>
      <w:r w:rsidRPr="00C40F6A">
        <w:rPr>
          <w:rFonts w:ascii="Arial" w:hAnsi="Arial" w:cs="Arial"/>
          <w:sz w:val="20"/>
          <w:szCs w:val="20"/>
        </w:rPr>
        <w:t xml:space="preserve"> riesgo de complicaciones, requieren manejo intrahospitalario. Este comportamiento resalta la importancia de las estrategias de prevención, diagnóstico oportuno y manejo adecuado en los niveles ambulatorios para reducir la necesidad de hospitalización.</w:t>
      </w:r>
    </w:p>
    <w:p w14:paraId="4F07C862" w14:textId="4E90E694" w:rsidR="00C40F6A" w:rsidRPr="00C40F6A" w:rsidRDefault="00C40F6A" w:rsidP="00C40F6A">
      <w:pPr>
        <w:pStyle w:val="NormalWeb"/>
        <w:spacing w:line="360" w:lineRule="auto"/>
        <w:jc w:val="both"/>
        <w:rPr>
          <w:rFonts w:ascii="Arial" w:hAnsi="Arial" w:cs="Arial"/>
          <w:sz w:val="20"/>
          <w:szCs w:val="20"/>
        </w:rPr>
      </w:pPr>
      <w:r w:rsidRPr="00C40F6A">
        <w:rPr>
          <w:rStyle w:val="Textoennegrita"/>
          <w:rFonts w:ascii="Arial" w:hAnsi="Arial" w:cs="Arial"/>
          <w:b w:val="0"/>
          <w:bCs w:val="0"/>
          <w:sz w:val="20"/>
          <w:szCs w:val="20"/>
        </w:rPr>
        <w:t>EPOC exacerbado</w:t>
      </w:r>
      <w:r w:rsidRPr="00C40F6A">
        <w:rPr>
          <w:rFonts w:ascii="Arial" w:hAnsi="Arial" w:cs="Arial"/>
          <w:sz w:val="20"/>
          <w:szCs w:val="20"/>
        </w:rPr>
        <w:t xml:space="preserve"> ocupa el segundo lugar, con </w:t>
      </w:r>
      <w:r w:rsidRPr="00C40F6A">
        <w:rPr>
          <w:rStyle w:val="Textoennegrita"/>
          <w:rFonts w:ascii="Arial" w:hAnsi="Arial" w:cs="Arial"/>
          <w:b w:val="0"/>
          <w:bCs w:val="0"/>
          <w:sz w:val="20"/>
          <w:szCs w:val="20"/>
        </w:rPr>
        <w:t>238 hospitalizaciones</w:t>
      </w:r>
      <w:r w:rsidRPr="00C40F6A">
        <w:rPr>
          <w:rFonts w:ascii="Arial" w:hAnsi="Arial" w:cs="Arial"/>
          <w:sz w:val="20"/>
          <w:szCs w:val="20"/>
        </w:rPr>
        <w:t>, reflejando la carga significativa de las enfermedades respiratorias crónicas y la frecuencia de descompensaciones agudas que requieren atención hospitalaria. Este hallazgo es consistente con el curso clínico del EPOC y subraya la necesidad de fortalecer el seguimiento ambulatorio, la adherencia al tratamiento y las estrategias de prevención de exacerbaciones.</w:t>
      </w:r>
    </w:p>
    <w:p w14:paraId="789F3615" w14:textId="77777777" w:rsidR="00C40F6A" w:rsidRPr="00C40F6A" w:rsidRDefault="00C40F6A" w:rsidP="00C40F6A">
      <w:pPr>
        <w:pStyle w:val="NormalWeb"/>
        <w:spacing w:line="360" w:lineRule="auto"/>
        <w:jc w:val="both"/>
        <w:rPr>
          <w:rFonts w:ascii="Arial" w:hAnsi="Arial" w:cs="Arial"/>
          <w:sz w:val="20"/>
          <w:szCs w:val="20"/>
        </w:rPr>
      </w:pPr>
      <w:r w:rsidRPr="00C40F6A">
        <w:rPr>
          <w:rFonts w:ascii="Arial" w:hAnsi="Arial" w:cs="Arial"/>
          <w:sz w:val="20"/>
          <w:szCs w:val="20"/>
        </w:rPr>
        <w:t xml:space="preserve">La </w:t>
      </w:r>
      <w:r w:rsidRPr="00E23B5A">
        <w:rPr>
          <w:rStyle w:val="Textoennegrita"/>
          <w:rFonts w:ascii="Arial" w:hAnsi="Arial" w:cs="Arial"/>
          <w:b w:val="0"/>
          <w:bCs w:val="0"/>
          <w:sz w:val="20"/>
          <w:szCs w:val="20"/>
        </w:rPr>
        <w:t>hipertensión arterial esencial (primaria)</w:t>
      </w:r>
      <w:r w:rsidRPr="00E23B5A">
        <w:rPr>
          <w:rFonts w:ascii="Arial" w:hAnsi="Arial" w:cs="Arial"/>
          <w:b/>
          <w:bCs/>
          <w:sz w:val="20"/>
          <w:szCs w:val="20"/>
        </w:rPr>
        <w:t xml:space="preserve"> </w:t>
      </w:r>
      <w:r w:rsidRPr="00C40F6A">
        <w:rPr>
          <w:rFonts w:ascii="Arial" w:hAnsi="Arial" w:cs="Arial"/>
          <w:sz w:val="20"/>
          <w:szCs w:val="20"/>
        </w:rPr>
        <w:t xml:space="preserve">registró </w:t>
      </w:r>
      <w:r w:rsidRPr="00E23B5A">
        <w:rPr>
          <w:rStyle w:val="Textoennegrita"/>
          <w:rFonts w:ascii="Arial" w:hAnsi="Arial" w:cs="Arial"/>
          <w:b w:val="0"/>
          <w:bCs w:val="0"/>
          <w:sz w:val="20"/>
          <w:szCs w:val="20"/>
        </w:rPr>
        <w:t>226 hospitalizaciones</w:t>
      </w:r>
      <w:r w:rsidRPr="00C40F6A">
        <w:rPr>
          <w:rFonts w:ascii="Arial" w:hAnsi="Arial" w:cs="Arial"/>
          <w:sz w:val="20"/>
          <w:szCs w:val="20"/>
        </w:rPr>
        <w:t>, lo que sugiere la presencia de descompensaciones o complicaciones asociadas que ameritan manejo intrahospitalario. Este resultado pone de manifiesto la relevancia del control adecuado de la hipertensión en el primer nivel de atención como medida para disminuir ingresos evitables.</w:t>
      </w:r>
    </w:p>
    <w:p w14:paraId="0EEAC5B5" w14:textId="3CB7B2EE" w:rsidR="00C40F6A" w:rsidRPr="00C40F6A" w:rsidRDefault="00C40F6A" w:rsidP="00C40F6A">
      <w:pPr>
        <w:pStyle w:val="NormalWeb"/>
        <w:spacing w:line="360" w:lineRule="auto"/>
        <w:jc w:val="both"/>
        <w:rPr>
          <w:rFonts w:ascii="Arial" w:hAnsi="Arial" w:cs="Arial"/>
          <w:sz w:val="20"/>
          <w:szCs w:val="20"/>
        </w:rPr>
      </w:pPr>
      <w:r w:rsidRPr="00C40F6A">
        <w:rPr>
          <w:rFonts w:ascii="Arial" w:hAnsi="Arial" w:cs="Arial"/>
          <w:sz w:val="20"/>
          <w:szCs w:val="20"/>
        </w:rPr>
        <w:t xml:space="preserve">La </w:t>
      </w:r>
      <w:r w:rsidRPr="00E23B5A">
        <w:rPr>
          <w:rStyle w:val="Textoennegrita"/>
          <w:rFonts w:ascii="Arial" w:hAnsi="Arial" w:cs="Arial"/>
          <w:b w:val="0"/>
          <w:bCs w:val="0"/>
          <w:sz w:val="20"/>
          <w:szCs w:val="20"/>
        </w:rPr>
        <w:t>infección de vías urinarias</w:t>
      </w:r>
      <w:r w:rsidRPr="00C40F6A">
        <w:rPr>
          <w:rFonts w:ascii="Arial" w:hAnsi="Arial" w:cs="Arial"/>
          <w:sz w:val="20"/>
          <w:szCs w:val="20"/>
        </w:rPr>
        <w:t xml:space="preserve">, con </w:t>
      </w:r>
      <w:r w:rsidRPr="00E23B5A">
        <w:rPr>
          <w:rStyle w:val="Textoennegrita"/>
          <w:rFonts w:ascii="Arial" w:hAnsi="Arial" w:cs="Arial"/>
          <w:b w:val="0"/>
          <w:bCs w:val="0"/>
          <w:sz w:val="20"/>
          <w:szCs w:val="20"/>
        </w:rPr>
        <w:t>203 hospitalizaciones</w:t>
      </w:r>
      <w:r w:rsidRPr="00C40F6A">
        <w:rPr>
          <w:rFonts w:ascii="Arial" w:hAnsi="Arial" w:cs="Arial"/>
          <w:sz w:val="20"/>
          <w:szCs w:val="20"/>
        </w:rPr>
        <w:t xml:space="preserve">, se mantiene como una causa frecuente de ingreso, especialmente asociada a cuadros complicados, recurrencias o comorbilidades que incrementan el riesgo clínico. </w:t>
      </w:r>
    </w:p>
    <w:p w14:paraId="5FAF70D1" w14:textId="64D3CDC3" w:rsidR="00C40F6A" w:rsidRPr="00C40F6A" w:rsidRDefault="00C40F6A" w:rsidP="00C40F6A">
      <w:pPr>
        <w:pStyle w:val="NormalWeb"/>
        <w:spacing w:line="360" w:lineRule="auto"/>
        <w:jc w:val="both"/>
        <w:rPr>
          <w:rFonts w:ascii="Arial" w:hAnsi="Arial" w:cs="Arial"/>
          <w:sz w:val="20"/>
          <w:szCs w:val="20"/>
        </w:rPr>
      </w:pPr>
      <w:r w:rsidRPr="00C40F6A">
        <w:rPr>
          <w:rFonts w:ascii="Arial" w:hAnsi="Arial" w:cs="Arial"/>
          <w:sz w:val="20"/>
          <w:szCs w:val="20"/>
        </w:rPr>
        <w:t xml:space="preserve">La </w:t>
      </w:r>
      <w:r w:rsidRPr="00DB646A">
        <w:rPr>
          <w:rStyle w:val="Textoennegrita"/>
          <w:rFonts w:ascii="Arial" w:hAnsi="Arial" w:cs="Arial"/>
          <w:b w:val="0"/>
          <w:bCs w:val="0"/>
          <w:sz w:val="20"/>
          <w:szCs w:val="20"/>
        </w:rPr>
        <w:t>insuficiencia cardíaca</w:t>
      </w:r>
      <w:r w:rsidRPr="00C40F6A">
        <w:rPr>
          <w:rFonts w:ascii="Arial" w:hAnsi="Arial" w:cs="Arial"/>
          <w:sz w:val="20"/>
          <w:szCs w:val="20"/>
        </w:rPr>
        <w:t xml:space="preserve">, con </w:t>
      </w:r>
      <w:r w:rsidRPr="00DB646A">
        <w:rPr>
          <w:rStyle w:val="Textoennegrita"/>
          <w:rFonts w:ascii="Arial" w:hAnsi="Arial" w:cs="Arial"/>
          <w:b w:val="0"/>
          <w:bCs w:val="0"/>
          <w:sz w:val="20"/>
          <w:szCs w:val="20"/>
        </w:rPr>
        <w:t>181 hospitalizaciones</w:t>
      </w:r>
      <w:r w:rsidRPr="00C40F6A">
        <w:rPr>
          <w:rFonts w:ascii="Arial" w:hAnsi="Arial" w:cs="Arial"/>
          <w:sz w:val="20"/>
          <w:szCs w:val="20"/>
        </w:rPr>
        <w:t>, representa la carga de enfermedad cardiovascular avanzada y la necesidad de programas integrales de seguimiento y manejo continuo.</w:t>
      </w:r>
    </w:p>
    <w:p w14:paraId="23323DEB" w14:textId="35677262" w:rsidR="00992114" w:rsidRDefault="00992114" w:rsidP="00DA2AE2">
      <w:pPr>
        <w:pStyle w:val="Prrafodelista"/>
        <w:numPr>
          <w:ilvl w:val="2"/>
          <w:numId w:val="12"/>
        </w:numPr>
        <w:spacing w:line="360" w:lineRule="auto"/>
        <w:jc w:val="both"/>
        <w:rPr>
          <w:rFonts w:ascii="Arial" w:hAnsi="Arial" w:cs="Arial"/>
          <w:b/>
          <w:bCs/>
          <w:sz w:val="20"/>
          <w:szCs w:val="20"/>
          <w:lang w:val="es-CO"/>
        </w:rPr>
      </w:pPr>
      <w:r>
        <w:rPr>
          <w:rFonts w:ascii="Arial" w:hAnsi="Arial" w:cs="Arial"/>
          <w:b/>
          <w:bCs/>
          <w:sz w:val="20"/>
          <w:szCs w:val="20"/>
          <w:lang w:val="es-CO"/>
        </w:rPr>
        <w:t>Unidad de Cuidado Intensivos</w:t>
      </w:r>
    </w:p>
    <w:p w14:paraId="28614ED7" w14:textId="69BB18D3" w:rsidR="00A763B3" w:rsidRPr="00A763B3" w:rsidRDefault="00A763B3" w:rsidP="00A763B3">
      <w:pPr>
        <w:spacing w:line="360" w:lineRule="auto"/>
        <w:ind w:left="360"/>
        <w:jc w:val="both"/>
        <w:rPr>
          <w:rFonts w:ascii="Arial" w:hAnsi="Arial" w:cs="Arial"/>
          <w:b/>
          <w:bCs/>
          <w:sz w:val="18"/>
          <w:szCs w:val="18"/>
          <w:lang w:val="es-CO"/>
        </w:rPr>
      </w:pPr>
      <w:r w:rsidRPr="00A763B3">
        <w:rPr>
          <w:rFonts w:ascii="Arial" w:hAnsi="Arial" w:cs="Arial"/>
          <w:sz w:val="20"/>
          <w:szCs w:val="20"/>
          <w:lang w:val="es-CO"/>
        </w:rPr>
        <w:t xml:space="preserve">Durante el periodo analizado se registraron </w:t>
      </w:r>
      <w:r w:rsidR="00F4004C">
        <w:rPr>
          <w:rStyle w:val="Textoennegrita"/>
          <w:rFonts w:ascii="Arial" w:hAnsi="Arial" w:cs="Arial"/>
          <w:sz w:val="20"/>
          <w:szCs w:val="20"/>
          <w:lang w:val="es-CO"/>
        </w:rPr>
        <w:t>1116</w:t>
      </w:r>
      <w:r w:rsidRPr="00A763B3">
        <w:rPr>
          <w:rStyle w:val="Textoennegrita"/>
          <w:rFonts w:ascii="Arial" w:hAnsi="Arial" w:cs="Arial"/>
          <w:sz w:val="20"/>
          <w:szCs w:val="20"/>
          <w:lang w:val="es-CO"/>
        </w:rPr>
        <w:t xml:space="preserve"> </w:t>
      </w:r>
      <w:r w:rsidRPr="00F4004C">
        <w:rPr>
          <w:rStyle w:val="Textoennegrita"/>
          <w:rFonts w:ascii="Arial" w:hAnsi="Arial" w:cs="Arial"/>
          <w:b w:val="0"/>
          <w:bCs w:val="0"/>
          <w:sz w:val="20"/>
          <w:szCs w:val="20"/>
          <w:lang w:val="es-CO"/>
        </w:rPr>
        <w:t>atenciones en la Unidad de Cuidados Intensivos (UCI)</w:t>
      </w:r>
      <w:r w:rsidRPr="00A763B3">
        <w:rPr>
          <w:rFonts w:ascii="Arial" w:hAnsi="Arial" w:cs="Arial"/>
          <w:sz w:val="20"/>
          <w:szCs w:val="20"/>
          <w:lang w:val="es-CO"/>
        </w:rPr>
        <w:t xml:space="preserve">. Los </w:t>
      </w:r>
      <w:r w:rsidRPr="00A763B3">
        <w:rPr>
          <w:rStyle w:val="Textoennegrita"/>
          <w:rFonts w:ascii="Arial" w:hAnsi="Arial" w:cs="Arial"/>
          <w:b w:val="0"/>
          <w:bCs w:val="0"/>
          <w:sz w:val="20"/>
          <w:szCs w:val="20"/>
          <w:lang w:val="es-CO"/>
        </w:rPr>
        <w:t>cinco diagnósticos más frecuentes</w:t>
      </w:r>
      <w:r w:rsidRPr="00A763B3">
        <w:rPr>
          <w:rFonts w:ascii="Arial" w:hAnsi="Arial" w:cs="Arial"/>
          <w:sz w:val="20"/>
          <w:szCs w:val="20"/>
          <w:lang w:val="es-CO"/>
        </w:rPr>
        <w:t xml:space="preserve"> concentraron </w:t>
      </w:r>
      <w:r w:rsidR="00355277">
        <w:rPr>
          <w:rStyle w:val="Textoennegrita"/>
          <w:rFonts w:ascii="Arial" w:hAnsi="Arial" w:cs="Arial"/>
          <w:sz w:val="20"/>
          <w:szCs w:val="20"/>
          <w:lang w:val="es-CO"/>
        </w:rPr>
        <w:t>255</w:t>
      </w:r>
      <w:r w:rsidRPr="00A763B3">
        <w:rPr>
          <w:rStyle w:val="Textoennegrita"/>
          <w:rFonts w:ascii="Arial" w:hAnsi="Arial" w:cs="Arial"/>
          <w:sz w:val="20"/>
          <w:szCs w:val="20"/>
          <w:lang w:val="es-CO"/>
        </w:rPr>
        <w:t xml:space="preserve"> eventos</w:t>
      </w:r>
      <w:r w:rsidRPr="00A763B3">
        <w:rPr>
          <w:rFonts w:ascii="Arial" w:hAnsi="Arial" w:cs="Arial"/>
          <w:sz w:val="20"/>
          <w:szCs w:val="20"/>
          <w:lang w:val="es-CO"/>
        </w:rPr>
        <w:t xml:space="preserve">, lo que representa aproximadamente </w:t>
      </w:r>
      <w:r w:rsidR="003A74D3">
        <w:rPr>
          <w:rStyle w:val="Textoennegrita"/>
          <w:rFonts w:ascii="Arial" w:hAnsi="Arial" w:cs="Arial"/>
          <w:sz w:val="20"/>
          <w:szCs w:val="20"/>
          <w:lang w:val="es-CO"/>
        </w:rPr>
        <w:t>23</w:t>
      </w:r>
      <w:r w:rsidRPr="00A763B3">
        <w:rPr>
          <w:rStyle w:val="Textoennegrita"/>
          <w:rFonts w:ascii="Arial" w:hAnsi="Arial" w:cs="Arial"/>
          <w:sz w:val="20"/>
          <w:szCs w:val="20"/>
          <w:lang w:val="es-CO"/>
        </w:rPr>
        <w:t xml:space="preserve"> % del total de ingresos</w:t>
      </w:r>
      <w:r>
        <w:rPr>
          <w:rStyle w:val="Textoennegrita"/>
          <w:rFonts w:ascii="Arial" w:hAnsi="Arial" w:cs="Arial"/>
          <w:sz w:val="20"/>
          <w:szCs w:val="20"/>
          <w:lang w:val="es-CO"/>
        </w:rPr>
        <w:t>.</w:t>
      </w:r>
    </w:p>
    <w:p w14:paraId="15DDA4BC" w14:textId="31AFC9A8" w:rsidR="00A97BF4" w:rsidRDefault="00A97BF4" w:rsidP="00B174B3">
      <w:pPr>
        <w:pStyle w:val="Prrafodelista"/>
        <w:spacing w:line="360" w:lineRule="auto"/>
        <w:ind w:left="0"/>
        <w:jc w:val="both"/>
        <w:rPr>
          <w:noProof/>
        </w:rPr>
      </w:pPr>
    </w:p>
    <w:p w14:paraId="5BC298E9" w14:textId="77777777" w:rsidR="005B4A7C" w:rsidRDefault="005B4A7C" w:rsidP="00B174B3">
      <w:pPr>
        <w:pStyle w:val="Prrafodelista"/>
        <w:spacing w:line="360" w:lineRule="auto"/>
        <w:ind w:left="0"/>
        <w:jc w:val="both"/>
        <w:rPr>
          <w:noProof/>
        </w:rPr>
      </w:pPr>
    </w:p>
    <w:p w14:paraId="6761A599" w14:textId="77777777" w:rsidR="005B4A7C" w:rsidRDefault="005B4A7C" w:rsidP="00B174B3">
      <w:pPr>
        <w:pStyle w:val="Prrafodelista"/>
        <w:spacing w:line="360" w:lineRule="auto"/>
        <w:ind w:left="0"/>
        <w:jc w:val="both"/>
        <w:rPr>
          <w:noProof/>
        </w:rPr>
      </w:pPr>
    </w:p>
    <w:p w14:paraId="24FC4F14" w14:textId="77777777" w:rsidR="005B4A7C" w:rsidRDefault="005B4A7C" w:rsidP="00B174B3">
      <w:pPr>
        <w:pStyle w:val="Prrafodelista"/>
        <w:spacing w:line="360" w:lineRule="auto"/>
        <w:ind w:left="0"/>
        <w:jc w:val="both"/>
        <w:rPr>
          <w:rFonts w:ascii="Arial" w:hAnsi="Arial" w:cs="Arial"/>
          <w:b/>
          <w:bCs/>
          <w:sz w:val="20"/>
          <w:szCs w:val="20"/>
          <w:lang w:val="es-CO"/>
        </w:rPr>
      </w:pPr>
    </w:p>
    <w:p w14:paraId="54BC2570" w14:textId="5D774CD0" w:rsidR="008C159F" w:rsidRDefault="008C159F" w:rsidP="008C159F">
      <w:pPr>
        <w:pStyle w:val="Prrafodelista"/>
        <w:spacing w:line="360" w:lineRule="auto"/>
        <w:ind w:left="0"/>
        <w:jc w:val="center"/>
        <w:rPr>
          <w:rFonts w:ascii="Arial" w:hAnsi="Arial" w:cs="Arial"/>
          <w:b/>
          <w:bCs/>
          <w:sz w:val="20"/>
          <w:szCs w:val="20"/>
          <w:lang w:val="es-CO"/>
        </w:rPr>
      </w:pPr>
      <w:r>
        <w:rPr>
          <w:noProof/>
        </w:rPr>
        <w:lastRenderedPageBreak/>
        <w:drawing>
          <wp:inline distT="0" distB="0" distL="0" distR="0" wp14:anchorId="44CAA765" wp14:editId="2EDD5211">
            <wp:extent cx="5143500" cy="2209800"/>
            <wp:effectExtent l="0" t="0" r="0" b="0"/>
            <wp:docPr id="20" name="Gráfico 20">
              <a:extLst xmlns:a="http://schemas.openxmlformats.org/drawingml/2006/main">
                <a:ext uri="{FF2B5EF4-FFF2-40B4-BE49-F238E27FC236}">
                  <a16:creationId xmlns:a16="http://schemas.microsoft.com/office/drawing/2014/main" id="{282BFC1F-508B-405A-AB4E-EA85EE8F0F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579C032" w14:textId="77777777" w:rsidR="008C159F" w:rsidRDefault="008C159F" w:rsidP="002249E0">
      <w:pPr>
        <w:pStyle w:val="Prrafodelista"/>
        <w:spacing w:line="360" w:lineRule="auto"/>
        <w:ind w:left="0"/>
        <w:jc w:val="center"/>
        <w:rPr>
          <w:rFonts w:ascii="Arial" w:hAnsi="Arial" w:cs="Arial"/>
          <w:b/>
          <w:bCs/>
          <w:sz w:val="18"/>
          <w:szCs w:val="18"/>
          <w:lang w:val="es-CO"/>
        </w:rPr>
      </w:pPr>
    </w:p>
    <w:p w14:paraId="2C2A7039" w14:textId="5F8E1211" w:rsidR="008C159F" w:rsidRDefault="008C159F" w:rsidP="008C159F">
      <w:pPr>
        <w:pStyle w:val="Prrafodelista"/>
        <w:spacing w:line="360" w:lineRule="auto"/>
        <w:ind w:left="732"/>
        <w:jc w:val="center"/>
        <w:rPr>
          <w:rFonts w:ascii="Arial" w:hAnsi="Arial" w:cs="Arial"/>
          <w:b/>
          <w:bCs/>
          <w:sz w:val="18"/>
          <w:szCs w:val="18"/>
          <w:lang w:val="es-CO"/>
        </w:rPr>
      </w:pPr>
      <w:r w:rsidRPr="003F66A5">
        <w:rPr>
          <w:rFonts w:ascii="Arial" w:hAnsi="Arial" w:cs="Arial"/>
          <w:b/>
          <w:bCs/>
          <w:sz w:val="18"/>
          <w:szCs w:val="18"/>
          <w:lang w:val="es-CO"/>
        </w:rPr>
        <w:t xml:space="preserve">Gráfico </w:t>
      </w:r>
      <w:r>
        <w:rPr>
          <w:rFonts w:ascii="Arial" w:hAnsi="Arial" w:cs="Arial"/>
          <w:b/>
          <w:bCs/>
          <w:sz w:val="18"/>
          <w:szCs w:val="18"/>
          <w:lang w:val="es-CO"/>
        </w:rPr>
        <w:t>9</w:t>
      </w:r>
      <w:r w:rsidRPr="003F66A5">
        <w:rPr>
          <w:rFonts w:ascii="Arial" w:hAnsi="Arial" w:cs="Arial"/>
          <w:b/>
          <w:bCs/>
          <w:sz w:val="18"/>
          <w:szCs w:val="18"/>
          <w:lang w:val="es-CO"/>
        </w:rPr>
        <w:t xml:space="preserve">. </w:t>
      </w:r>
      <w:r w:rsidRPr="003D7022">
        <w:rPr>
          <w:rFonts w:ascii="Arial" w:hAnsi="Arial" w:cs="Arial"/>
          <w:b/>
          <w:bCs/>
          <w:sz w:val="18"/>
          <w:szCs w:val="18"/>
          <w:lang w:val="es-CO"/>
        </w:rPr>
        <w:t xml:space="preserve">Principales </w:t>
      </w:r>
      <w:r>
        <w:rPr>
          <w:rFonts w:ascii="Arial" w:hAnsi="Arial" w:cs="Arial"/>
          <w:b/>
          <w:bCs/>
          <w:sz w:val="18"/>
          <w:szCs w:val="18"/>
          <w:lang w:val="es-CO"/>
        </w:rPr>
        <w:t xml:space="preserve">códigos CIE- 10 de </w:t>
      </w:r>
      <w:r>
        <w:rPr>
          <w:rFonts w:ascii="Arial" w:hAnsi="Arial" w:cs="Arial"/>
          <w:b/>
          <w:bCs/>
          <w:sz w:val="18"/>
          <w:szCs w:val="18"/>
          <w:lang w:val="es-CO"/>
        </w:rPr>
        <w:t>UCI</w:t>
      </w:r>
    </w:p>
    <w:p w14:paraId="72F5F145" w14:textId="77777777" w:rsidR="008C159F" w:rsidRDefault="008C159F" w:rsidP="002249E0">
      <w:pPr>
        <w:pStyle w:val="Prrafodelista"/>
        <w:spacing w:line="360" w:lineRule="auto"/>
        <w:ind w:left="0"/>
        <w:jc w:val="center"/>
        <w:rPr>
          <w:rFonts w:ascii="Arial" w:hAnsi="Arial" w:cs="Arial"/>
          <w:b/>
          <w:bCs/>
          <w:sz w:val="18"/>
          <w:szCs w:val="18"/>
          <w:lang w:val="es-CO"/>
        </w:rPr>
      </w:pPr>
    </w:p>
    <w:p w14:paraId="1448B0F8" w14:textId="32C0F99C" w:rsidR="008C159F" w:rsidRDefault="00AF711F" w:rsidP="002249E0">
      <w:pPr>
        <w:pStyle w:val="Prrafodelista"/>
        <w:spacing w:line="360" w:lineRule="auto"/>
        <w:ind w:left="0"/>
        <w:jc w:val="center"/>
        <w:rPr>
          <w:rFonts w:ascii="Arial" w:hAnsi="Arial" w:cs="Arial"/>
          <w:b/>
          <w:bCs/>
          <w:sz w:val="18"/>
          <w:szCs w:val="18"/>
          <w:lang w:val="es-CO"/>
        </w:rPr>
      </w:pPr>
      <w:r>
        <w:rPr>
          <w:noProof/>
        </w:rPr>
        <w:drawing>
          <wp:inline distT="0" distB="0" distL="0" distR="0" wp14:anchorId="30349AAF" wp14:editId="7BA22573">
            <wp:extent cx="4937760" cy="2087880"/>
            <wp:effectExtent l="0" t="0" r="15240" b="7620"/>
            <wp:docPr id="21" name="Gráfico 21">
              <a:extLst xmlns:a="http://schemas.openxmlformats.org/drawingml/2006/main">
                <a:ext uri="{FF2B5EF4-FFF2-40B4-BE49-F238E27FC236}">
                  <a16:creationId xmlns:a16="http://schemas.microsoft.com/office/drawing/2014/main" id="{2AF69703-81AF-4510-866F-ED6828AD2F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1E166DD" w14:textId="77777777" w:rsidR="008C159F" w:rsidRDefault="008C159F" w:rsidP="002249E0">
      <w:pPr>
        <w:pStyle w:val="Prrafodelista"/>
        <w:spacing w:line="360" w:lineRule="auto"/>
        <w:ind w:left="0"/>
        <w:jc w:val="center"/>
        <w:rPr>
          <w:rFonts w:ascii="Arial" w:hAnsi="Arial" w:cs="Arial"/>
          <w:b/>
          <w:bCs/>
          <w:sz w:val="18"/>
          <w:szCs w:val="18"/>
          <w:lang w:val="es-CO"/>
        </w:rPr>
      </w:pPr>
    </w:p>
    <w:p w14:paraId="62C759D9" w14:textId="6DED6AFD" w:rsidR="002249E0" w:rsidRDefault="002249E0" w:rsidP="002249E0">
      <w:pPr>
        <w:pStyle w:val="Prrafodelista"/>
        <w:spacing w:line="360" w:lineRule="auto"/>
        <w:ind w:left="0"/>
        <w:jc w:val="center"/>
        <w:rPr>
          <w:rFonts w:ascii="Arial" w:hAnsi="Arial" w:cs="Arial"/>
          <w:b/>
          <w:bCs/>
          <w:sz w:val="18"/>
          <w:szCs w:val="18"/>
          <w:lang w:val="es-CO"/>
        </w:rPr>
      </w:pPr>
      <w:r w:rsidRPr="003F66A5">
        <w:rPr>
          <w:rFonts w:ascii="Arial" w:hAnsi="Arial" w:cs="Arial"/>
          <w:b/>
          <w:bCs/>
          <w:sz w:val="18"/>
          <w:szCs w:val="18"/>
          <w:lang w:val="es-CO"/>
        </w:rPr>
        <w:t xml:space="preserve">Gráfico </w:t>
      </w:r>
      <w:r w:rsidR="008C159F">
        <w:rPr>
          <w:rFonts w:ascii="Arial" w:hAnsi="Arial" w:cs="Arial"/>
          <w:b/>
          <w:bCs/>
          <w:sz w:val="18"/>
          <w:szCs w:val="18"/>
          <w:lang w:val="es-CO"/>
        </w:rPr>
        <w:t>10</w:t>
      </w:r>
      <w:r w:rsidRPr="003F66A5">
        <w:rPr>
          <w:rFonts w:ascii="Arial" w:hAnsi="Arial" w:cs="Arial"/>
          <w:b/>
          <w:bCs/>
          <w:sz w:val="18"/>
          <w:szCs w:val="18"/>
          <w:lang w:val="es-CO"/>
        </w:rPr>
        <w:t xml:space="preserve">. </w:t>
      </w:r>
      <w:r w:rsidRPr="00944CD7">
        <w:rPr>
          <w:rFonts w:ascii="Arial" w:hAnsi="Arial" w:cs="Arial"/>
          <w:b/>
          <w:bCs/>
          <w:sz w:val="18"/>
          <w:szCs w:val="18"/>
          <w:lang w:val="es-CO"/>
        </w:rPr>
        <w:t>P</w:t>
      </w:r>
      <w:r>
        <w:rPr>
          <w:rFonts w:ascii="Arial" w:hAnsi="Arial" w:cs="Arial"/>
          <w:b/>
          <w:bCs/>
          <w:sz w:val="18"/>
          <w:szCs w:val="18"/>
          <w:lang w:val="es-CO"/>
        </w:rPr>
        <w:t>atologías p</w:t>
      </w:r>
      <w:r w:rsidR="005E7A1B">
        <w:rPr>
          <w:rFonts w:ascii="Arial" w:hAnsi="Arial" w:cs="Arial"/>
          <w:b/>
          <w:bCs/>
          <w:sz w:val="18"/>
          <w:szCs w:val="18"/>
          <w:lang w:val="es-CO"/>
        </w:rPr>
        <w:t>revalentes</w:t>
      </w:r>
      <w:r>
        <w:rPr>
          <w:rFonts w:ascii="Arial" w:hAnsi="Arial" w:cs="Arial"/>
          <w:b/>
          <w:bCs/>
          <w:sz w:val="18"/>
          <w:szCs w:val="18"/>
          <w:lang w:val="es-CO"/>
        </w:rPr>
        <w:t xml:space="preserve"> de U</w:t>
      </w:r>
      <w:r w:rsidR="005E7A1B">
        <w:rPr>
          <w:rFonts w:ascii="Arial" w:hAnsi="Arial" w:cs="Arial"/>
          <w:b/>
          <w:bCs/>
          <w:sz w:val="18"/>
          <w:szCs w:val="18"/>
          <w:lang w:val="es-CO"/>
        </w:rPr>
        <w:t xml:space="preserve">CI </w:t>
      </w:r>
      <w:r w:rsidRPr="00944CD7">
        <w:rPr>
          <w:rFonts w:ascii="Arial" w:hAnsi="Arial" w:cs="Arial"/>
          <w:b/>
          <w:bCs/>
          <w:sz w:val="18"/>
          <w:szCs w:val="18"/>
          <w:lang w:val="es-CO"/>
        </w:rPr>
        <w:t>Hospital Regional Moniquirá</w:t>
      </w:r>
      <w:r>
        <w:rPr>
          <w:rFonts w:ascii="Arial" w:hAnsi="Arial" w:cs="Arial"/>
          <w:b/>
          <w:bCs/>
          <w:sz w:val="18"/>
          <w:szCs w:val="18"/>
          <w:lang w:val="es-CO"/>
        </w:rPr>
        <w:t xml:space="preserve"> E.S.E</w:t>
      </w:r>
      <w:r w:rsidRPr="00944CD7">
        <w:rPr>
          <w:rFonts w:ascii="Arial" w:hAnsi="Arial" w:cs="Arial"/>
          <w:b/>
          <w:bCs/>
          <w:sz w:val="18"/>
          <w:szCs w:val="18"/>
          <w:lang w:val="es-CO"/>
        </w:rPr>
        <w:t xml:space="preserve"> 2025</w:t>
      </w:r>
    </w:p>
    <w:p w14:paraId="350D7BA6" w14:textId="77777777" w:rsidR="00283F38" w:rsidRPr="00283F38" w:rsidRDefault="00283F38" w:rsidP="00283F38">
      <w:pPr>
        <w:pStyle w:val="NormalWeb"/>
        <w:spacing w:line="360" w:lineRule="auto"/>
        <w:jc w:val="both"/>
        <w:rPr>
          <w:rFonts w:ascii="Arial" w:hAnsi="Arial" w:cs="Arial"/>
          <w:sz w:val="20"/>
          <w:szCs w:val="20"/>
        </w:rPr>
      </w:pPr>
      <w:r w:rsidRPr="00283F38">
        <w:rPr>
          <w:rFonts w:ascii="Arial" w:hAnsi="Arial" w:cs="Arial"/>
          <w:sz w:val="20"/>
          <w:szCs w:val="20"/>
        </w:rPr>
        <w:t>El análisis de la morbilidad en este servicio evidencia que los ingresos se concentran principalmente en patologías agudas de alta complejidad, asociadas a eventos cardiovasculares, respiratorios, neurológicos y a condiciones infecciosas graves.</w:t>
      </w:r>
    </w:p>
    <w:p w14:paraId="793518CC" w14:textId="77777777" w:rsidR="00283F38" w:rsidRDefault="00283F38" w:rsidP="00283F38">
      <w:pPr>
        <w:pStyle w:val="NormalWeb"/>
        <w:spacing w:line="360" w:lineRule="auto"/>
        <w:jc w:val="both"/>
        <w:rPr>
          <w:rFonts w:ascii="Arial" w:hAnsi="Arial" w:cs="Arial"/>
          <w:sz w:val="20"/>
          <w:szCs w:val="20"/>
        </w:rPr>
      </w:pPr>
      <w:r w:rsidRPr="00283F38">
        <w:rPr>
          <w:rFonts w:ascii="Arial" w:hAnsi="Arial" w:cs="Arial"/>
          <w:sz w:val="20"/>
          <w:szCs w:val="20"/>
        </w:rPr>
        <w:t xml:space="preserve">El </w:t>
      </w:r>
      <w:r w:rsidRPr="00283F38">
        <w:rPr>
          <w:rStyle w:val="Textoennegrita"/>
          <w:rFonts w:ascii="Arial" w:hAnsi="Arial" w:cs="Arial"/>
          <w:b w:val="0"/>
          <w:bCs w:val="0"/>
          <w:sz w:val="20"/>
          <w:szCs w:val="20"/>
        </w:rPr>
        <w:t>síndrome coronario agudo</w:t>
      </w:r>
      <w:r w:rsidRPr="00283F38">
        <w:rPr>
          <w:rFonts w:ascii="Arial" w:hAnsi="Arial" w:cs="Arial"/>
          <w:sz w:val="20"/>
          <w:szCs w:val="20"/>
        </w:rPr>
        <w:t xml:space="preserve"> se posicionó como la principal causa de ingreso a UCI, con </w:t>
      </w:r>
      <w:r w:rsidRPr="00283F38">
        <w:rPr>
          <w:rStyle w:val="Textoennegrita"/>
          <w:rFonts w:ascii="Arial" w:hAnsi="Arial" w:cs="Arial"/>
          <w:sz w:val="20"/>
          <w:szCs w:val="20"/>
        </w:rPr>
        <w:t>121 casos</w:t>
      </w:r>
      <w:r w:rsidRPr="00283F38">
        <w:rPr>
          <w:rFonts w:ascii="Arial" w:hAnsi="Arial" w:cs="Arial"/>
          <w:sz w:val="20"/>
          <w:szCs w:val="20"/>
        </w:rPr>
        <w:t xml:space="preserve">, lo que corresponde aproximadamente al </w:t>
      </w:r>
      <w:r w:rsidRPr="00283F38">
        <w:rPr>
          <w:rStyle w:val="Textoennegrita"/>
          <w:rFonts w:ascii="Arial" w:hAnsi="Arial" w:cs="Arial"/>
          <w:b w:val="0"/>
          <w:bCs w:val="0"/>
          <w:sz w:val="20"/>
          <w:szCs w:val="20"/>
        </w:rPr>
        <w:t>10,8 %</w:t>
      </w:r>
      <w:r w:rsidRPr="00283F38">
        <w:rPr>
          <w:rFonts w:ascii="Arial" w:hAnsi="Arial" w:cs="Arial"/>
          <w:sz w:val="20"/>
          <w:szCs w:val="20"/>
        </w:rPr>
        <w:t xml:space="preserve"> del total de ingresos. Este hallazgo refleja la alta carga de enfermedad cardiovascular aguda y la necesidad de manejo especializado e intensivo, evidenciando el impacto de los eventos isquémicos cardíacos sobre la utilización de servicios de alta complejidad.</w:t>
      </w:r>
    </w:p>
    <w:p w14:paraId="0F7291C0" w14:textId="77777777" w:rsidR="00C36584" w:rsidRPr="00C40F6A" w:rsidRDefault="00283F38" w:rsidP="00C36584">
      <w:pPr>
        <w:pStyle w:val="NormalWeb"/>
        <w:spacing w:line="360" w:lineRule="auto"/>
        <w:jc w:val="both"/>
        <w:rPr>
          <w:rFonts w:ascii="Arial" w:hAnsi="Arial" w:cs="Arial"/>
          <w:sz w:val="20"/>
          <w:szCs w:val="20"/>
        </w:rPr>
      </w:pPr>
      <w:r w:rsidRPr="00283F38">
        <w:rPr>
          <w:rStyle w:val="Textoennegrita"/>
          <w:rFonts w:ascii="Arial" w:hAnsi="Arial" w:cs="Arial"/>
          <w:b w:val="0"/>
          <w:bCs w:val="0"/>
          <w:sz w:val="20"/>
          <w:szCs w:val="20"/>
        </w:rPr>
        <w:t>EPOC exacerbad</w:t>
      </w:r>
      <w:r w:rsidR="00C36584">
        <w:rPr>
          <w:rStyle w:val="Textoennegrita"/>
          <w:rFonts w:ascii="Arial" w:hAnsi="Arial" w:cs="Arial"/>
          <w:b w:val="0"/>
          <w:bCs w:val="0"/>
          <w:sz w:val="20"/>
          <w:szCs w:val="20"/>
        </w:rPr>
        <w:t>a</w:t>
      </w:r>
      <w:r w:rsidRPr="00283F38">
        <w:rPr>
          <w:rFonts w:ascii="Arial" w:hAnsi="Arial" w:cs="Arial"/>
          <w:sz w:val="20"/>
          <w:szCs w:val="20"/>
        </w:rPr>
        <w:t xml:space="preserve"> ocupó el segundo lugar, con </w:t>
      </w:r>
      <w:r w:rsidRPr="007A7D64">
        <w:rPr>
          <w:rStyle w:val="Textoennegrita"/>
          <w:rFonts w:ascii="Arial" w:hAnsi="Arial" w:cs="Arial"/>
          <w:b w:val="0"/>
          <w:bCs w:val="0"/>
          <w:sz w:val="20"/>
          <w:szCs w:val="20"/>
        </w:rPr>
        <w:t>84 ingresos</w:t>
      </w:r>
      <w:r w:rsidRPr="00283F38">
        <w:rPr>
          <w:rFonts w:ascii="Arial" w:hAnsi="Arial" w:cs="Arial"/>
          <w:sz w:val="20"/>
          <w:szCs w:val="20"/>
        </w:rPr>
        <w:t xml:space="preserve">, equivalente al </w:t>
      </w:r>
      <w:r w:rsidRPr="007A7D64">
        <w:rPr>
          <w:rStyle w:val="Textoennegrita"/>
          <w:rFonts w:ascii="Arial" w:hAnsi="Arial" w:cs="Arial"/>
          <w:b w:val="0"/>
          <w:bCs w:val="0"/>
          <w:sz w:val="20"/>
          <w:szCs w:val="20"/>
        </w:rPr>
        <w:t>7,5 %</w:t>
      </w:r>
      <w:r w:rsidRPr="00283F38">
        <w:rPr>
          <w:rFonts w:ascii="Arial" w:hAnsi="Arial" w:cs="Arial"/>
          <w:sz w:val="20"/>
          <w:szCs w:val="20"/>
        </w:rPr>
        <w:t xml:space="preserve"> del total. </w:t>
      </w:r>
      <w:r w:rsidR="00C36584" w:rsidRPr="00C40F6A">
        <w:rPr>
          <w:rFonts w:ascii="Arial" w:hAnsi="Arial" w:cs="Arial"/>
          <w:sz w:val="20"/>
          <w:szCs w:val="20"/>
        </w:rPr>
        <w:t xml:space="preserve">Este hallazgo es consistente con el curso clínico del EPOC y subraya la necesidad de fortalecer el </w:t>
      </w:r>
      <w:r w:rsidR="00C36584" w:rsidRPr="00C40F6A">
        <w:rPr>
          <w:rFonts w:ascii="Arial" w:hAnsi="Arial" w:cs="Arial"/>
          <w:sz w:val="20"/>
          <w:szCs w:val="20"/>
        </w:rPr>
        <w:lastRenderedPageBreak/>
        <w:t>seguimiento ambulatorio, la adherencia al tratamiento y las estrategias de prevención de exacerbaciones.</w:t>
      </w:r>
    </w:p>
    <w:p w14:paraId="1BDF3215" w14:textId="15E01C7B" w:rsidR="00283F38" w:rsidRPr="00283F38" w:rsidRDefault="00283F38" w:rsidP="00283F38">
      <w:pPr>
        <w:pStyle w:val="NormalWeb"/>
        <w:spacing w:line="360" w:lineRule="auto"/>
        <w:jc w:val="both"/>
        <w:rPr>
          <w:rFonts w:ascii="Arial" w:hAnsi="Arial" w:cs="Arial"/>
          <w:sz w:val="20"/>
          <w:szCs w:val="20"/>
        </w:rPr>
      </w:pPr>
      <w:r w:rsidRPr="00283F38">
        <w:rPr>
          <w:rFonts w:ascii="Arial" w:hAnsi="Arial" w:cs="Arial"/>
          <w:sz w:val="20"/>
          <w:szCs w:val="20"/>
        </w:rPr>
        <w:t xml:space="preserve">La </w:t>
      </w:r>
      <w:r w:rsidRPr="00BC0653">
        <w:rPr>
          <w:rStyle w:val="Textoennegrita"/>
          <w:rFonts w:ascii="Arial" w:hAnsi="Arial" w:cs="Arial"/>
          <w:b w:val="0"/>
          <w:bCs w:val="0"/>
          <w:sz w:val="20"/>
          <w:szCs w:val="20"/>
        </w:rPr>
        <w:t>enfermedad cerebrovascular</w:t>
      </w:r>
      <w:r w:rsidRPr="00283F38">
        <w:rPr>
          <w:rFonts w:ascii="Arial" w:hAnsi="Arial" w:cs="Arial"/>
          <w:sz w:val="20"/>
          <w:szCs w:val="20"/>
        </w:rPr>
        <w:t xml:space="preserve"> registró </w:t>
      </w:r>
      <w:r w:rsidRPr="00BC0653">
        <w:rPr>
          <w:rStyle w:val="Textoennegrita"/>
          <w:rFonts w:ascii="Arial" w:hAnsi="Arial" w:cs="Arial"/>
          <w:b w:val="0"/>
          <w:bCs w:val="0"/>
          <w:sz w:val="20"/>
          <w:szCs w:val="20"/>
        </w:rPr>
        <w:t>77 ingresos</w:t>
      </w:r>
      <w:r w:rsidRPr="00283F38">
        <w:rPr>
          <w:rFonts w:ascii="Arial" w:hAnsi="Arial" w:cs="Arial"/>
          <w:sz w:val="20"/>
          <w:szCs w:val="20"/>
        </w:rPr>
        <w:t xml:space="preserve">, correspondientes al </w:t>
      </w:r>
      <w:r w:rsidRPr="00BC0653">
        <w:rPr>
          <w:rStyle w:val="Textoennegrita"/>
          <w:rFonts w:ascii="Arial" w:hAnsi="Arial" w:cs="Arial"/>
          <w:b w:val="0"/>
          <w:bCs w:val="0"/>
          <w:sz w:val="20"/>
          <w:szCs w:val="20"/>
        </w:rPr>
        <w:t>6,9 %</w:t>
      </w:r>
      <w:r w:rsidRPr="00BC0653">
        <w:rPr>
          <w:rFonts w:ascii="Arial" w:hAnsi="Arial" w:cs="Arial"/>
          <w:b/>
          <w:bCs/>
          <w:sz w:val="20"/>
          <w:szCs w:val="20"/>
        </w:rPr>
        <w:t xml:space="preserve"> </w:t>
      </w:r>
      <w:r w:rsidRPr="00283F38">
        <w:rPr>
          <w:rFonts w:ascii="Arial" w:hAnsi="Arial" w:cs="Arial"/>
          <w:sz w:val="20"/>
          <w:szCs w:val="20"/>
        </w:rPr>
        <w:t xml:space="preserve">del total. La </w:t>
      </w:r>
      <w:r w:rsidRPr="00BC0653">
        <w:rPr>
          <w:rStyle w:val="Textoennegrita"/>
          <w:rFonts w:ascii="Arial" w:hAnsi="Arial" w:cs="Arial"/>
          <w:b w:val="0"/>
          <w:bCs w:val="0"/>
          <w:sz w:val="20"/>
          <w:szCs w:val="20"/>
        </w:rPr>
        <w:t>sepsis y el choque</w:t>
      </w:r>
      <w:r w:rsidRPr="00283F38">
        <w:rPr>
          <w:rFonts w:ascii="Arial" w:hAnsi="Arial" w:cs="Arial"/>
          <w:sz w:val="20"/>
          <w:szCs w:val="20"/>
        </w:rPr>
        <w:t xml:space="preserve"> representaron </w:t>
      </w:r>
      <w:r w:rsidR="00BC0653" w:rsidRPr="00BC0653">
        <w:rPr>
          <w:rStyle w:val="Textoennegrita"/>
          <w:rFonts w:ascii="Arial" w:hAnsi="Arial" w:cs="Arial"/>
          <w:b w:val="0"/>
          <w:bCs w:val="0"/>
          <w:sz w:val="20"/>
          <w:szCs w:val="20"/>
        </w:rPr>
        <w:t xml:space="preserve">el </w:t>
      </w:r>
      <w:r w:rsidRPr="00BC0653">
        <w:rPr>
          <w:rStyle w:val="Textoennegrita"/>
          <w:rFonts w:ascii="Arial" w:hAnsi="Arial" w:cs="Arial"/>
          <w:b w:val="0"/>
          <w:bCs w:val="0"/>
          <w:sz w:val="20"/>
          <w:szCs w:val="20"/>
        </w:rPr>
        <w:t>5,4 %</w:t>
      </w:r>
      <w:r w:rsidRPr="00283F38">
        <w:rPr>
          <w:rFonts w:ascii="Arial" w:hAnsi="Arial" w:cs="Arial"/>
          <w:sz w:val="20"/>
          <w:szCs w:val="20"/>
        </w:rPr>
        <w:t xml:space="preserve"> del total</w:t>
      </w:r>
      <w:r w:rsidR="00BC0653">
        <w:rPr>
          <w:rFonts w:ascii="Arial" w:hAnsi="Arial" w:cs="Arial"/>
          <w:sz w:val="20"/>
          <w:szCs w:val="20"/>
        </w:rPr>
        <w:t xml:space="preserve"> de ingresos</w:t>
      </w:r>
      <w:r w:rsidRPr="00283F38">
        <w:rPr>
          <w:rFonts w:ascii="Arial" w:hAnsi="Arial" w:cs="Arial"/>
          <w:sz w:val="20"/>
          <w:szCs w:val="20"/>
        </w:rPr>
        <w:t>. Est</w:t>
      </w:r>
      <w:r w:rsidR="00C9625E">
        <w:rPr>
          <w:rFonts w:ascii="Arial" w:hAnsi="Arial" w:cs="Arial"/>
          <w:sz w:val="20"/>
          <w:szCs w:val="20"/>
        </w:rPr>
        <w:t>os</w:t>
      </w:r>
      <w:r w:rsidRPr="00283F38">
        <w:rPr>
          <w:rFonts w:ascii="Arial" w:hAnsi="Arial" w:cs="Arial"/>
          <w:sz w:val="20"/>
          <w:szCs w:val="20"/>
        </w:rPr>
        <w:t xml:space="preserve"> grupo</w:t>
      </w:r>
      <w:r w:rsidR="00C9625E">
        <w:rPr>
          <w:rFonts w:ascii="Arial" w:hAnsi="Arial" w:cs="Arial"/>
          <w:sz w:val="20"/>
          <w:szCs w:val="20"/>
        </w:rPr>
        <w:t>s</w:t>
      </w:r>
      <w:r w:rsidRPr="00283F38">
        <w:rPr>
          <w:rFonts w:ascii="Arial" w:hAnsi="Arial" w:cs="Arial"/>
          <w:sz w:val="20"/>
          <w:szCs w:val="20"/>
        </w:rPr>
        <w:t xml:space="preserve"> diagnóstico</w:t>
      </w:r>
      <w:r w:rsidR="00C9625E">
        <w:rPr>
          <w:rFonts w:ascii="Arial" w:hAnsi="Arial" w:cs="Arial"/>
          <w:sz w:val="20"/>
          <w:szCs w:val="20"/>
        </w:rPr>
        <w:t>s</w:t>
      </w:r>
      <w:r w:rsidRPr="00283F38">
        <w:rPr>
          <w:rFonts w:ascii="Arial" w:hAnsi="Arial" w:cs="Arial"/>
          <w:sz w:val="20"/>
          <w:szCs w:val="20"/>
        </w:rPr>
        <w:t xml:space="preserve"> resalta</w:t>
      </w:r>
      <w:r w:rsidR="00C9625E">
        <w:rPr>
          <w:rFonts w:ascii="Arial" w:hAnsi="Arial" w:cs="Arial"/>
          <w:sz w:val="20"/>
          <w:szCs w:val="20"/>
        </w:rPr>
        <w:t>n</w:t>
      </w:r>
      <w:r w:rsidRPr="00283F38">
        <w:rPr>
          <w:rFonts w:ascii="Arial" w:hAnsi="Arial" w:cs="Arial"/>
          <w:sz w:val="20"/>
          <w:szCs w:val="20"/>
        </w:rPr>
        <w:t xml:space="preserve"> la importancia de la detección temprana y el manejo oportuno </w:t>
      </w:r>
      <w:r w:rsidR="00C9625E">
        <w:rPr>
          <w:rFonts w:ascii="Arial" w:hAnsi="Arial" w:cs="Arial"/>
          <w:sz w:val="20"/>
          <w:szCs w:val="20"/>
        </w:rPr>
        <w:t>de la condición</w:t>
      </w:r>
      <w:r w:rsidR="008977E1">
        <w:rPr>
          <w:rFonts w:ascii="Arial" w:hAnsi="Arial" w:cs="Arial"/>
          <w:sz w:val="20"/>
          <w:szCs w:val="20"/>
        </w:rPr>
        <w:t>.</w:t>
      </w:r>
      <w:r w:rsidR="00C9625E">
        <w:rPr>
          <w:rFonts w:ascii="Arial" w:hAnsi="Arial" w:cs="Arial"/>
          <w:sz w:val="20"/>
          <w:szCs w:val="20"/>
        </w:rPr>
        <w:t xml:space="preserve"> </w:t>
      </w:r>
    </w:p>
    <w:p w14:paraId="5C9103ED" w14:textId="7ACC7889" w:rsidR="00283F38" w:rsidRPr="00283F38" w:rsidRDefault="00283F38" w:rsidP="00283F38">
      <w:pPr>
        <w:pStyle w:val="NormalWeb"/>
        <w:spacing w:line="360" w:lineRule="auto"/>
        <w:jc w:val="both"/>
        <w:rPr>
          <w:rFonts w:ascii="Arial" w:hAnsi="Arial" w:cs="Arial"/>
          <w:sz w:val="20"/>
          <w:szCs w:val="20"/>
        </w:rPr>
      </w:pPr>
      <w:r w:rsidRPr="00283F38">
        <w:rPr>
          <w:rFonts w:ascii="Arial" w:hAnsi="Arial" w:cs="Arial"/>
          <w:sz w:val="20"/>
          <w:szCs w:val="20"/>
        </w:rPr>
        <w:t xml:space="preserve">La </w:t>
      </w:r>
      <w:r w:rsidRPr="00533BFD">
        <w:rPr>
          <w:rStyle w:val="Textoennegrita"/>
          <w:rFonts w:ascii="Arial" w:hAnsi="Arial" w:cs="Arial"/>
          <w:b w:val="0"/>
          <w:bCs w:val="0"/>
          <w:sz w:val="20"/>
          <w:szCs w:val="20"/>
        </w:rPr>
        <w:t>diabetes mellitus</w:t>
      </w:r>
      <w:r w:rsidRPr="00283F38">
        <w:rPr>
          <w:rFonts w:ascii="Arial" w:hAnsi="Arial" w:cs="Arial"/>
          <w:sz w:val="20"/>
          <w:szCs w:val="20"/>
        </w:rPr>
        <w:t xml:space="preserve">, con </w:t>
      </w:r>
      <w:r w:rsidRPr="00533BFD">
        <w:rPr>
          <w:rStyle w:val="Textoennegrita"/>
          <w:rFonts w:ascii="Arial" w:hAnsi="Arial" w:cs="Arial"/>
          <w:b w:val="0"/>
          <w:bCs w:val="0"/>
          <w:sz w:val="20"/>
          <w:szCs w:val="20"/>
        </w:rPr>
        <w:t>48 ingresos</w:t>
      </w:r>
      <w:r w:rsidRPr="00283F38">
        <w:rPr>
          <w:rFonts w:ascii="Arial" w:hAnsi="Arial" w:cs="Arial"/>
          <w:sz w:val="20"/>
          <w:szCs w:val="20"/>
        </w:rPr>
        <w:t xml:space="preserve">, correspondió al </w:t>
      </w:r>
      <w:r w:rsidRPr="00533BFD">
        <w:rPr>
          <w:rStyle w:val="Textoennegrita"/>
          <w:rFonts w:ascii="Arial" w:hAnsi="Arial" w:cs="Arial"/>
          <w:b w:val="0"/>
          <w:bCs w:val="0"/>
          <w:sz w:val="20"/>
          <w:szCs w:val="20"/>
        </w:rPr>
        <w:t>4,3 %</w:t>
      </w:r>
      <w:r w:rsidRPr="00283F38">
        <w:rPr>
          <w:rFonts w:ascii="Arial" w:hAnsi="Arial" w:cs="Arial"/>
          <w:sz w:val="20"/>
          <w:szCs w:val="20"/>
        </w:rPr>
        <w:t xml:space="preserve"> del total</w:t>
      </w:r>
      <w:r w:rsidR="00533BFD">
        <w:rPr>
          <w:rFonts w:ascii="Arial" w:hAnsi="Arial" w:cs="Arial"/>
          <w:sz w:val="20"/>
          <w:szCs w:val="20"/>
        </w:rPr>
        <w:t xml:space="preserve"> de atenciones en UCI, la cual </w:t>
      </w:r>
      <w:r w:rsidRPr="00283F38">
        <w:rPr>
          <w:rFonts w:ascii="Arial" w:hAnsi="Arial" w:cs="Arial"/>
          <w:sz w:val="20"/>
          <w:szCs w:val="20"/>
        </w:rPr>
        <w:t>se asocia generalmente a complicaciones metabólicas o a su coexistencia con otros eventos críticos, lo que evidencia su impacto como enfermedad crónica de alto riesgo</w:t>
      </w:r>
      <w:r w:rsidR="00C9625E">
        <w:rPr>
          <w:rFonts w:ascii="Arial" w:hAnsi="Arial" w:cs="Arial"/>
          <w:sz w:val="20"/>
          <w:szCs w:val="20"/>
        </w:rPr>
        <w:t xml:space="preserve"> y requiere mayor control desde el ámbito ambulatorio.</w:t>
      </w:r>
    </w:p>
    <w:p w14:paraId="4E0D6289" w14:textId="2609C00D" w:rsidR="004E4AFB" w:rsidRPr="00AF711F" w:rsidRDefault="004E4AFB" w:rsidP="00AF711F">
      <w:pPr>
        <w:pStyle w:val="NormalWeb"/>
        <w:numPr>
          <w:ilvl w:val="0"/>
          <w:numId w:val="6"/>
        </w:numPr>
        <w:spacing w:line="360" w:lineRule="auto"/>
        <w:jc w:val="both"/>
        <w:rPr>
          <w:rFonts w:ascii="Arial" w:hAnsi="Arial" w:cs="Arial"/>
          <w:b/>
          <w:bCs/>
          <w:sz w:val="20"/>
          <w:szCs w:val="20"/>
        </w:rPr>
      </w:pPr>
      <w:r w:rsidRPr="00AF711F">
        <w:rPr>
          <w:rFonts w:ascii="Arial" w:hAnsi="Arial" w:cs="Arial"/>
          <w:b/>
          <w:bCs/>
          <w:sz w:val="20"/>
          <w:szCs w:val="20"/>
        </w:rPr>
        <w:t>Anális</w:t>
      </w:r>
      <w:r w:rsidR="00DA5179" w:rsidRPr="00AF711F">
        <w:rPr>
          <w:rFonts w:ascii="Arial" w:hAnsi="Arial" w:cs="Arial"/>
          <w:b/>
          <w:bCs/>
          <w:sz w:val="20"/>
          <w:szCs w:val="20"/>
        </w:rPr>
        <w:t>i</w:t>
      </w:r>
      <w:r w:rsidRPr="00AF711F">
        <w:rPr>
          <w:rFonts w:ascii="Arial" w:hAnsi="Arial" w:cs="Arial"/>
          <w:b/>
          <w:bCs/>
          <w:sz w:val="20"/>
          <w:szCs w:val="20"/>
        </w:rPr>
        <w:t xml:space="preserve">s </w:t>
      </w:r>
    </w:p>
    <w:p w14:paraId="35416D01" w14:textId="77777777"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 xml:space="preserve">El análisis del perfil de morbilidad institucional correspondiente al año 2025, con un total de 126.569 atenciones, evidencia un patrón epidemiológico caracterizado por el </w:t>
      </w:r>
      <w:r w:rsidRPr="00DF42E1">
        <w:rPr>
          <w:rStyle w:val="Textoennegrita"/>
          <w:rFonts w:ascii="Arial" w:hAnsi="Arial" w:cs="Arial"/>
          <w:sz w:val="20"/>
          <w:szCs w:val="20"/>
        </w:rPr>
        <w:t>predominio de enfermedades crónicas no transmisibles</w:t>
      </w:r>
      <w:r w:rsidRPr="00DF42E1">
        <w:rPr>
          <w:rFonts w:ascii="Arial" w:hAnsi="Arial" w:cs="Arial"/>
          <w:sz w:val="20"/>
          <w:szCs w:val="20"/>
        </w:rPr>
        <w:t>, que coexisten con patologías infecciosas agudas de alta frecuencia y eventos agudos de alta complejidad que demandan atención hospitalaria y en unidades de cuidados intensivos.</w:t>
      </w:r>
    </w:p>
    <w:p w14:paraId="29FF90E3" w14:textId="55600E49"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 xml:space="preserve">En el ámbito ambulatorio, las </w:t>
      </w:r>
      <w:r w:rsidRPr="00AB080F">
        <w:rPr>
          <w:rStyle w:val="Textoennegrita"/>
          <w:rFonts w:ascii="Arial" w:hAnsi="Arial" w:cs="Arial"/>
          <w:b w:val="0"/>
          <w:bCs w:val="0"/>
          <w:sz w:val="20"/>
          <w:szCs w:val="20"/>
        </w:rPr>
        <w:t>enfermedades cardiovasculares y metabólicas</w:t>
      </w:r>
      <w:r w:rsidRPr="00DF42E1">
        <w:rPr>
          <w:rFonts w:ascii="Arial" w:hAnsi="Arial" w:cs="Arial"/>
          <w:sz w:val="20"/>
          <w:szCs w:val="20"/>
        </w:rPr>
        <w:t>, particularmente la hipertensión arterial esencial y la diabetes mellitus, concentran una proporción significativa de la atención prestada, reflejando su alta prevalencia, curso crónico y la necesidad de controles periódicos</w:t>
      </w:r>
      <w:r w:rsidR="00AB080F">
        <w:rPr>
          <w:rFonts w:ascii="Arial" w:hAnsi="Arial" w:cs="Arial"/>
          <w:sz w:val="20"/>
          <w:szCs w:val="20"/>
        </w:rPr>
        <w:t xml:space="preserve"> desde consulta externa</w:t>
      </w:r>
      <w:r w:rsidRPr="00DF42E1">
        <w:rPr>
          <w:rFonts w:ascii="Arial" w:hAnsi="Arial" w:cs="Arial"/>
          <w:sz w:val="20"/>
          <w:szCs w:val="20"/>
        </w:rPr>
        <w:t xml:space="preserve">. </w:t>
      </w:r>
    </w:p>
    <w:p w14:paraId="4C661FEB" w14:textId="05BE00EE"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 xml:space="preserve">De manera paralela, se observa una carga relevante de </w:t>
      </w:r>
      <w:r w:rsidRPr="00AB080F">
        <w:rPr>
          <w:rStyle w:val="Textoennegrita"/>
          <w:rFonts w:ascii="Arial" w:hAnsi="Arial" w:cs="Arial"/>
          <w:b w:val="0"/>
          <w:bCs w:val="0"/>
          <w:sz w:val="20"/>
          <w:szCs w:val="20"/>
        </w:rPr>
        <w:t>patologías osteomusculares y endocrinas</w:t>
      </w:r>
      <w:r w:rsidRPr="00DF42E1">
        <w:rPr>
          <w:rFonts w:ascii="Arial" w:hAnsi="Arial" w:cs="Arial"/>
          <w:sz w:val="20"/>
          <w:szCs w:val="20"/>
        </w:rPr>
        <w:t>, como el lumbago y el hipotiroidismo, que, aunque no suelen asociarse a alta mortalidad, generan una demanda persistente de servicios y consumo de recursos institucionales</w:t>
      </w:r>
      <w:r w:rsidR="00AB080F">
        <w:rPr>
          <w:rFonts w:ascii="Arial" w:hAnsi="Arial" w:cs="Arial"/>
          <w:sz w:val="20"/>
          <w:szCs w:val="20"/>
        </w:rPr>
        <w:t xml:space="preserve"> (imagenología)</w:t>
      </w:r>
      <w:r w:rsidRPr="00DF42E1">
        <w:rPr>
          <w:rFonts w:ascii="Arial" w:hAnsi="Arial" w:cs="Arial"/>
          <w:sz w:val="20"/>
          <w:szCs w:val="20"/>
        </w:rPr>
        <w:t xml:space="preserve">. Asimismo, las </w:t>
      </w:r>
      <w:r w:rsidRPr="00AB080F">
        <w:rPr>
          <w:rStyle w:val="Textoennegrita"/>
          <w:rFonts w:ascii="Arial" w:hAnsi="Arial" w:cs="Arial"/>
          <w:b w:val="0"/>
          <w:bCs w:val="0"/>
          <w:sz w:val="20"/>
          <w:szCs w:val="20"/>
        </w:rPr>
        <w:t>infecciones respiratorias agudas de vías aéreas superiores</w:t>
      </w:r>
      <w:r w:rsidRPr="00DF42E1">
        <w:rPr>
          <w:rFonts w:ascii="Arial" w:hAnsi="Arial" w:cs="Arial"/>
          <w:sz w:val="20"/>
          <w:szCs w:val="20"/>
        </w:rPr>
        <w:t xml:space="preserve"> y las </w:t>
      </w:r>
      <w:r w:rsidRPr="00AB080F">
        <w:rPr>
          <w:rStyle w:val="Textoennegrita"/>
          <w:rFonts w:ascii="Arial" w:hAnsi="Arial" w:cs="Arial"/>
          <w:b w:val="0"/>
          <w:bCs w:val="0"/>
          <w:sz w:val="20"/>
          <w:szCs w:val="20"/>
        </w:rPr>
        <w:t>gastroenteritis y colitis</w:t>
      </w:r>
      <w:r w:rsidRPr="00DF42E1">
        <w:rPr>
          <w:rFonts w:ascii="Arial" w:hAnsi="Arial" w:cs="Arial"/>
          <w:sz w:val="20"/>
          <w:szCs w:val="20"/>
        </w:rPr>
        <w:t xml:space="preserve"> representan eventos infecciosos de alta frecuencia, generalmente de baja complejidad, pero con impacto importante en la carga asistencial</w:t>
      </w:r>
      <w:r w:rsidR="00AB080F">
        <w:rPr>
          <w:rFonts w:ascii="Arial" w:hAnsi="Arial" w:cs="Arial"/>
          <w:sz w:val="20"/>
          <w:szCs w:val="20"/>
        </w:rPr>
        <w:t xml:space="preserve"> de urgencias.</w:t>
      </w:r>
    </w:p>
    <w:p w14:paraId="04E350D8" w14:textId="77777777"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 xml:space="preserve">En el servicio de hospitalización, el perfil de morbilidad muestra un desplazamiento hacia </w:t>
      </w:r>
      <w:r w:rsidRPr="00AB080F">
        <w:rPr>
          <w:rStyle w:val="Textoennegrita"/>
          <w:rFonts w:ascii="Arial" w:hAnsi="Arial" w:cs="Arial"/>
          <w:b w:val="0"/>
          <w:bCs w:val="0"/>
          <w:sz w:val="20"/>
          <w:szCs w:val="20"/>
        </w:rPr>
        <w:t>patologías infecciosas agudas y descompensaciones de enfermedades crónicas</w:t>
      </w:r>
      <w:r w:rsidRPr="00DF42E1">
        <w:rPr>
          <w:rFonts w:ascii="Arial" w:hAnsi="Arial" w:cs="Arial"/>
          <w:sz w:val="20"/>
          <w:szCs w:val="20"/>
        </w:rPr>
        <w:t>, destacándose la gastroenteritis y colitis, el EPOC exacerbado, la hipertensión arterial con complicaciones, la infección de vías urinarias y la insuficiencia cardíaca. Este patrón sugiere oportunidades de fortalecimiento en el manejo ambulatorio y en la prevención de complicaciones que podrían evitar hospitalizaciones.</w:t>
      </w:r>
    </w:p>
    <w:p w14:paraId="1FA1131C" w14:textId="77777777"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lastRenderedPageBreak/>
        <w:t xml:space="preserve">Por su parte, el análisis de la Unidad de Cuidados Intensivos evidencia un perfil dominado por </w:t>
      </w:r>
      <w:r w:rsidRPr="009C2C67">
        <w:rPr>
          <w:rStyle w:val="Textoennegrita"/>
          <w:rFonts w:ascii="Arial" w:hAnsi="Arial" w:cs="Arial"/>
          <w:b w:val="0"/>
          <w:bCs w:val="0"/>
          <w:sz w:val="20"/>
          <w:szCs w:val="20"/>
        </w:rPr>
        <w:t>eventos agudos de alta severidad</w:t>
      </w:r>
      <w:r w:rsidRPr="00DF42E1">
        <w:rPr>
          <w:rFonts w:ascii="Arial" w:hAnsi="Arial" w:cs="Arial"/>
          <w:sz w:val="20"/>
          <w:szCs w:val="20"/>
        </w:rPr>
        <w:t>, principalmente cardiovasculares (síndrome coronario agudo), respiratorios (EPOC exacerbado), neurológicos (enfermedad cerebrovascular) e infecciosos graves (sepsis y choque). Estos eventos representan una proporción significativa de los ingresos a UCI y reflejan la progresión de enfermedades crónicas no controladas y la ocurrencia de eventos críticos que requieren atención de alta complejidad.</w:t>
      </w:r>
    </w:p>
    <w:p w14:paraId="0166EC32" w14:textId="77777777"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 xml:space="preserve">En conjunto, el perfil institucional revela una </w:t>
      </w:r>
      <w:r w:rsidRPr="009C2C67">
        <w:rPr>
          <w:rStyle w:val="Textoennegrita"/>
          <w:rFonts w:ascii="Arial" w:hAnsi="Arial" w:cs="Arial"/>
          <w:b w:val="0"/>
          <w:bCs w:val="0"/>
          <w:sz w:val="20"/>
          <w:szCs w:val="20"/>
        </w:rPr>
        <w:t>carga mixta de morbilidad</w:t>
      </w:r>
      <w:r w:rsidRPr="00DF42E1">
        <w:rPr>
          <w:rFonts w:ascii="Arial" w:hAnsi="Arial" w:cs="Arial"/>
          <w:sz w:val="20"/>
          <w:szCs w:val="20"/>
        </w:rPr>
        <w:t>, en la que las enfermedades crónicas no transmisibles constituyen el eje central de la demanda asistencial, mientras que los eventos infecciosos agudos y las descompensaciones severas condicionan el uso de los servicios hospitalarios y de cuidados intensivos.</w:t>
      </w:r>
    </w:p>
    <w:p w14:paraId="1C47ED2F" w14:textId="03F3647D" w:rsidR="00DF42E1" w:rsidRPr="009C2C67" w:rsidRDefault="00DF42E1" w:rsidP="009C2C67">
      <w:pPr>
        <w:pStyle w:val="Ttulo2"/>
        <w:numPr>
          <w:ilvl w:val="0"/>
          <w:numId w:val="6"/>
        </w:numPr>
        <w:spacing w:line="360" w:lineRule="auto"/>
        <w:jc w:val="both"/>
        <w:rPr>
          <w:rFonts w:ascii="Arial" w:hAnsi="Arial" w:cs="Arial"/>
          <w:b/>
          <w:bCs/>
          <w:color w:val="auto"/>
          <w:sz w:val="20"/>
          <w:szCs w:val="20"/>
          <w:lang w:val="es-CO"/>
        </w:rPr>
      </w:pPr>
      <w:r w:rsidRPr="009C2C67">
        <w:rPr>
          <w:rFonts w:ascii="Arial" w:hAnsi="Arial" w:cs="Arial"/>
          <w:b/>
          <w:bCs/>
          <w:color w:val="auto"/>
          <w:sz w:val="20"/>
          <w:szCs w:val="20"/>
          <w:lang w:val="es-CO"/>
        </w:rPr>
        <w:t>Conclusiones</w:t>
      </w:r>
    </w:p>
    <w:p w14:paraId="0E62DBAD" w14:textId="77777777"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 xml:space="preserve">El perfil de morbilidad del año 2025 evidencia que la atención institucional está predominantemente orientada al manejo de </w:t>
      </w:r>
      <w:r w:rsidRPr="009C2C67">
        <w:rPr>
          <w:rStyle w:val="Textoennegrita"/>
          <w:rFonts w:ascii="Arial" w:hAnsi="Arial" w:cs="Arial"/>
          <w:b w:val="0"/>
          <w:bCs w:val="0"/>
          <w:sz w:val="20"/>
          <w:szCs w:val="20"/>
        </w:rPr>
        <w:t>enfermedades crónicas no transmisibles</w:t>
      </w:r>
      <w:r w:rsidRPr="00DF42E1">
        <w:rPr>
          <w:rFonts w:ascii="Arial" w:hAnsi="Arial" w:cs="Arial"/>
          <w:sz w:val="20"/>
          <w:szCs w:val="20"/>
        </w:rPr>
        <w:t>, especialmente cardiovasculares, metabólicas y endocrinas, las cuales generan una demanda sostenida en consulta externa y contribuyen de manera significativa a la ocupación hospitalaria y a los ingresos a UCI por descompensación.</w:t>
      </w:r>
    </w:p>
    <w:p w14:paraId="019226C9" w14:textId="7EC83255"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Las patologías infecciosas agudas, particularmente las infecciones respiratorias superiores, las gastroenteritis y las infecciones de vías urinarias, continúan representando una causa relevante de atención</w:t>
      </w:r>
      <w:r w:rsidR="00ED1299">
        <w:rPr>
          <w:rFonts w:ascii="Arial" w:hAnsi="Arial" w:cs="Arial"/>
          <w:sz w:val="20"/>
          <w:szCs w:val="20"/>
        </w:rPr>
        <w:t xml:space="preserve"> en el servicio de urgencias. </w:t>
      </w:r>
    </w:p>
    <w:p w14:paraId="5EE6A391" w14:textId="77777777"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 xml:space="preserve">El comportamiento de la morbilidad en hospitalización y UCI pone en evidencia que una proporción importante de los ingresos está asociada a </w:t>
      </w:r>
      <w:r w:rsidRPr="00DF42E1">
        <w:rPr>
          <w:rStyle w:val="Textoennegrita"/>
          <w:rFonts w:ascii="Arial" w:hAnsi="Arial" w:cs="Arial"/>
          <w:sz w:val="20"/>
          <w:szCs w:val="20"/>
        </w:rPr>
        <w:t>eventos potencialmente prevenibles o controlables</w:t>
      </w:r>
      <w:r w:rsidRPr="00DF42E1">
        <w:rPr>
          <w:rFonts w:ascii="Arial" w:hAnsi="Arial" w:cs="Arial"/>
          <w:sz w:val="20"/>
          <w:szCs w:val="20"/>
        </w:rPr>
        <w:t xml:space="preserve"> mediante un manejo oportuno y efectivo en los niveles ambulatorios, lo que sugiere oportunidades claras de mejora en la continuidad de la atención y el control de enfermedades crónicas.</w:t>
      </w:r>
    </w:p>
    <w:p w14:paraId="511DD482" w14:textId="77777777" w:rsidR="00DF42E1" w:rsidRPr="00DF42E1" w:rsidRDefault="00DF42E1" w:rsidP="00DF42E1">
      <w:pPr>
        <w:pStyle w:val="NormalWeb"/>
        <w:spacing w:line="360" w:lineRule="auto"/>
        <w:jc w:val="both"/>
        <w:rPr>
          <w:rFonts w:ascii="Arial" w:hAnsi="Arial" w:cs="Arial"/>
          <w:sz w:val="20"/>
          <w:szCs w:val="20"/>
        </w:rPr>
      </w:pPr>
      <w:r w:rsidRPr="00DF42E1">
        <w:rPr>
          <w:rFonts w:ascii="Arial" w:hAnsi="Arial" w:cs="Arial"/>
          <w:sz w:val="20"/>
          <w:szCs w:val="20"/>
        </w:rPr>
        <w:t>El perfil identificado constituye un insumo estratégico para la toma de decisiones gerenciales, al permitir orientar la planeación institucional, la asignación de recursos y la priorización de intervenciones clínicas y administrativas basadas en la carga real de enfermedad.</w:t>
      </w:r>
    </w:p>
    <w:p w14:paraId="57E88F39" w14:textId="63A2E9D7" w:rsidR="00DF42E1" w:rsidRPr="009615C8" w:rsidRDefault="009615C8" w:rsidP="009615C8">
      <w:pPr>
        <w:pStyle w:val="NormalWeb"/>
        <w:numPr>
          <w:ilvl w:val="0"/>
          <w:numId w:val="6"/>
        </w:numPr>
        <w:spacing w:line="360" w:lineRule="auto"/>
        <w:jc w:val="both"/>
        <w:rPr>
          <w:rFonts w:ascii="Arial" w:hAnsi="Arial" w:cs="Arial"/>
          <w:b/>
          <w:bCs/>
          <w:sz w:val="20"/>
          <w:szCs w:val="20"/>
        </w:rPr>
      </w:pPr>
      <w:r w:rsidRPr="009615C8">
        <w:rPr>
          <w:rFonts w:ascii="Arial" w:hAnsi="Arial" w:cs="Arial"/>
          <w:b/>
          <w:bCs/>
          <w:sz w:val="20"/>
          <w:szCs w:val="20"/>
        </w:rPr>
        <w:t>Recomendaciones</w:t>
      </w:r>
    </w:p>
    <w:p w14:paraId="30E20183" w14:textId="77777777" w:rsidR="009615C8" w:rsidRPr="009615C8" w:rsidRDefault="009615C8" w:rsidP="009615C8">
      <w:pPr>
        <w:pStyle w:val="NormalWeb"/>
        <w:numPr>
          <w:ilvl w:val="0"/>
          <w:numId w:val="13"/>
        </w:numPr>
        <w:spacing w:line="360" w:lineRule="auto"/>
        <w:rPr>
          <w:rFonts w:ascii="Arial" w:hAnsi="Arial" w:cs="Arial"/>
          <w:sz w:val="20"/>
          <w:szCs w:val="20"/>
        </w:rPr>
      </w:pPr>
      <w:r w:rsidRPr="009615C8">
        <w:rPr>
          <w:rFonts w:ascii="Arial" w:hAnsi="Arial" w:cs="Arial"/>
          <w:sz w:val="20"/>
          <w:szCs w:val="20"/>
        </w:rPr>
        <w:t xml:space="preserve">Fortalecer los programas institucionales de </w:t>
      </w:r>
      <w:r w:rsidRPr="009615C8">
        <w:rPr>
          <w:rStyle w:val="Textoennegrita"/>
          <w:rFonts w:ascii="Arial" w:hAnsi="Arial" w:cs="Arial"/>
          <w:b w:val="0"/>
          <w:bCs w:val="0"/>
          <w:sz w:val="20"/>
          <w:szCs w:val="20"/>
        </w:rPr>
        <w:t>manejo integral de enfermedades crónicas no transmisibles</w:t>
      </w:r>
      <w:r w:rsidRPr="009615C8">
        <w:rPr>
          <w:rFonts w:ascii="Arial" w:hAnsi="Arial" w:cs="Arial"/>
          <w:sz w:val="20"/>
          <w:szCs w:val="20"/>
        </w:rPr>
        <w:t>, con énfasis en hipertensión arterial, diabetes mellitus, insuficiencia cardíaca y EPOC, orientados a mejorar el control clínico, la adherencia terapéutica y la prevención de descompensaciones.</w:t>
      </w:r>
    </w:p>
    <w:p w14:paraId="6960B9A2" w14:textId="77777777" w:rsidR="009615C8" w:rsidRDefault="009615C8" w:rsidP="009615C8">
      <w:pPr>
        <w:pStyle w:val="NormalWeb"/>
        <w:numPr>
          <w:ilvl w:val="0"/>
          <w:numId w:val="13"/>
        </w:numPr>
        <w:spacing w:line="360" w:lineRule="auto"/>
        <w:jc w:val="both"/>
        <w:rPr>
          <w:rFonts w:ascii="Arial" w:hAnsi="Arial" w:cs="Arial"/>
          <w:sz w:val="20"/>
          <w:szCs w:val="20"/>
        </w:rPr>
      </w:pPr>
      <w:r w:rsidRPr="009615C8">
        <w:rPr>
          <w:rFonts w:ascii="Arial" w:hAnsi="Arial" w:cs="Arial"/>
          <w:sz w:val="20"/>
          <w:szCs w:val="20"/>
        </w:rPr>
        <w:lastRenderedPageBreak/>
        <w:t xml:space="preserve">Priorizar la implementación y el seguimiento de </w:t>
      </w:r>
      <w:r w:rsidRPr="009615C8">
        <w:rPr>
          <w:rStyle w:val="Textoennegrita"/>
          <w:rFonts w:ascii="Arial" w:hAnsi="Arial" w:cs="Arial"/>
          <w:b w:val="0"/>
          <w:bCs w:val="0"/>
          <w:sz w:val="20"/>
          <w:szCs w:val="20"/>
        </w:rPr>
        <w:t>guías de práctica clínica</w:t>
      </w:r>
      <w:r w:rsidRPr="009615C8">
        <w:rPr>
          <w:rFonts w:ascii="Arial" w:hAnsi="Arial" w:cs="Arial"/>
          <w:sz w:val="20"/>
          <w:szCs w:val="20"/>
        </w:rPr>
        <w:t xml:space="preserve"> para las patologías de mayor impacto en la morbilidad institucional, asegurando su apropiación por parte del talento humano y su articulación con los procesos de auditoría clínica.</w:t>
      </w:r>
    </w:p>
    <w:p w14:paraId="3EBE5AC9" w14:textId="77777777" w:rsidR="009615C8" w:rsidRPr="009615C8" w:rsidRDefault="009615C8" w:rsidP="009615C8">
      <w:pPr>
        <w:pStyle w:val="NormalWeb"/>
        <w:numPr>
          <w:ilvl w:val="0"/>
          <w:numId w:val="13"/>
        </w:numPr>
        <w:spacing w:line="360" w:lineRule="auto"/>
        <w:jc w:val="both"/>
        <w:rPr>
          <w:rFonts w:ascii="Arial" w:hAnsi="Arial" w:cs="Arial"/>
          <w:sz w:val="20"/>
          <w:szCs w:val="20"/>
        </w:rPr>
      </w:pPr>
      <w:r w:rsidRPr="009615C8">
        <w:rPr>
          <w:rFonts w:ascii="Arial" w:hAnsi="Arial" w:cs="Arial"/>
          <w:sz w:val="20"/>
          <w:szCs w:val="20"/>
        </w:rPr>
        <w:t xml:space="preserve">Reforzar las estrategias de </w:t>
      </w:r>
      <w:r w:rsidRPr="009615C8">
        <w:rPr>
          <w:rStyle w:val="Textoennegrita"/>
          <w:rFonts w:ascii="Arial" w:hAnsi="Arial" w:cs="Arial"/>
          <w:b w:val="0"/>
          <w:bCs w:val="0"/>
          <w:sz w:val="20"/>
          <w:szCs w:val="20"/>
        </w:rPr>
        <w:t>prevención, detección temprana y manejo oportuno</w:t>
      </w:r>
      <w:r w:rsidRPr="009615C8">
        <w:rPr>
          <w:rFonts w:ascii="Arial" w:hAnsi="Arial" w:cs="Arial"/>
          <w:sz w:val="20"/>
          <w:szCs w:val="20"/>
        </w:rPr>
        <w:t xml:space="preserve"> de patologías infecciosas frecuentes, con el fin de reducir la progresión a cuadros que requieran hospitalización o atención en UCI.</w:t>
      </w:r>
    </w:p>
    <w:p w14:paraId="27ADB02E" w14:textId="54C09565" w:rsidR="009615C8" w:rsidRPr="009615C8" w:rsidRDefault="009615C8" w:rsidP="009615C8">
      <w:pPr>
        <w:pStyle w:val="NormalWeb"/>
        <w:numPr>
          <w:ilvl w:val="0"/>
          <w:numId w:val="13"/>
        </w:numPr>
        <w:spacing w:line="360" w:lineRule="auto"/>
        <w:jc w:val="both"/>
        <w:rPr>
          <w:rFonts w:ascii="Arial" w:hAnsi="Arial" w:cs="Arial"/>
          <w:sz w:val="20"/>
          <w:szCs w:val="20"/>
        </w:rPr>
      </w:pPr>
      <w:r w:rsidRPr="009615C8">
        <w:rPr>
          <w:rFonts w:ascii="Arial" w:hAnsi="Arial" w:cs="Arial"/>
          <w:sz w:val="20"/>
          <w:szCs w:val="20"/>
        </w:rPr>
        <w:t xml:space="preserve">Optimizar la </w:t>
      </w:r>
      <w:r w:rsidRPr="009615C8">
        <w:rPr>
          <w:rStyle w:val="Textoennegrita"/>
          <w:rFonts w:ascii="Arial" w:hAnsi="Arial" w:cs="Arial"/>
          <w:b w:val="0"/>
          <w:bCs w:val="0"/>
          <w:sz w:val="20"/>
          <w:szCs w:val="20"/>
        </w:rPr>
        <w:t>articulación entre los servicios ambulatorios</w:t>
      </w:r>
      <w:r w:rsidRPr="009615C8">
        <w:rPr>
          <w:rStyle w:val="Textoennegrita"/>
          <w:rFonts w:ascii="Arial" w:hAnsi="Arial" w:cs="Arial"/>
          <w:b w:val="0"/>
          <w:bCs w:val="0"/>
          <w:sz w:val="20"/>
          <w:szCs w:val="20"/>
        </w:rPr>
        <w:t xml:space="preserve"> y</w:t>
      </w:r>
      <w:r w:rsidRPr="009615C8">
        <w:rPr>
          <w:rStyle w:val="Textoennegrita"/>
          <w:rFonts w:ascii="Arial" w:hAnsi="Arial" w:cs="Arial"/>
          <w:b w:val="0"/>
          <w:bCs w:val="0"/>
          <w:sz w:val="20"/>
          <w:szCs w:val="20"/>
        </w:rPr>
        <w:t xml:space="preserve"> hospitalarios</w:t>
      </w:r>
      <w:r w:rsidRPr="009615C8">
        <w:rPr>
          <w:rFonts w:ascii="Arial" w:hAnsi="Arial" w:cs="Arial"/>
          <w:sz w:val="20"/>
          <w:szCs w:val="20"/>
        </w:rPr>
        <w:t>, fortaleciendo la continuidad de la atención y el seguimiento de pacientes con enfermedades crónicas de alto riesgo.</w:t>
      </w:r>
    </w:p>
    <w:p w14:paraId="4D4CA269" w14:textId="77777777" w:rsidR="009615C8" w:rsidRPr="009615C8" w:rsidRDefault="009615C8" w:rsidP="009615C8">
      <w:pPr>
        <w:pStyle w:val="NormalWeb"/>
        <w:numPr>
          <w:ilvl w:val="0"/>
          <w:numId w:val="13"/>
        </w:numPr>
        <w:spacing w:line="360" w:lineRule="auto"/>
        <w:jc w:val="both"/>
        <w:rPr>
          <w:rFonts w:ascii="Arial" w:hAnsi="Arial" w:cs="Arial"/>
          <w:sz w:val="20"/>
          <w:szCs w:val="20"/>
        </w:rPr>
      </w:pPr>
      <w:r w:rsidRPr="009615C8">
        <w:rPr>
          <w:rFonts w:ascii="Arial" w:hAnsi="Arial" w:cs="Arial"/>
          <w:sz w:val="20"/>
          <w:szCs w:val="20"/>
        </w:rPr>
        <w:t xml:space="preserve">Utilizar el perfil de morbilidad como una </w:t>
      </w:r>
      <w:r w:rsidRPr="009615C8">
        <w:rPr>
          <w:rStyle w:val="Textoennegrita"/>
          <w:rFonts w:ascii="Arial" w:hAnsi="Arial" w:cs="Arial"/>
          <w:b w:val="0"/>
          <w:bCs w:val="0"/>
          <w:sz w:val="20"/>
          <w:szCs w:val="20"/>
        </w:rPr>
        <w:t>herramienta periódica de gestión</w:t>
      </w:r>
      <w:r w:rsidRPr="009615C8">
        <w:rPr>
          <w:rFonts w:ascii="Arial" w:hAnsi="Arial" w:cs="Arial"/>
          <w:sz w:val="20"/>
          <w:szCs w:val="20"/>
        </w:rPr>
        <w:t>, integrándolo a los procesos de planeación, gestión del riesgo en salud y mejoramiento continuo, con revisiones sistemáticas que permitan evaluar el impacto de las intervenciones implementadas.</w:t>
      </w:r>
    </w:p>
    <w:p w14:paraId="06400E58" w14:textId="77777777" w:rsidR="009615C8" w:rsidRPr="005E2626" w:rsidRDefault="009615C8" w:rsidP="009615C8">
      <w:pPr>
        <w:pStyle w:val="NormalWeb"/>
        <w:spacing w:line="360" w:lineRule="auto"/>
        <w:ind w:left="360"/>
        <w:jc w:val="both"/>
        <w:rPr>
          <w:rFonts w:ascii="Arial" w:hAnsi="Arial" w:cs="Arial"/>
          <w:sz w:val="20"/>
          <w:szCs w:val="20"/>
        </w:rPr>
      </w:pPr>
    </w:p>
    <w:p w14:paraId="17EA13B0" w14:textId="77777777" w:rsidR="0098701A" w:rsidRDefault="0098701A" w:rsidP="00E30719">
      <w:pPr>
        <w:pStyle w:val="Prrafodelista"/>
        <w:spacing w:line="360" w:lineRule="auto"/>
        <w:ind w:left="0"/>
        <w:jc w:val="both"/>
        <w:rPr>
          <w:rFonts w:ascii="Arial" w:hAnsi="Arial" w:cs="Arial"/>
          <w:b/>
          <w:bCs/>
          <w:sz w:val="18"/>
          <w:szCs w:val="18"/>
          <w:lang w:val="es-CO"/>
        </w:rPr>
      </w:pPr>
    </w:p>
    <w:p w14:paraId="3A6EA435" w14:textId="77777777" w:rsidR="00AF711F" w:rsidRDefault="00AF711F" w:rsidP="00E30719">
      <w:pPr>
        <w:pStyle w:val="Prrafodelista"/>
        <w:spacing w:line="360" w:lineRule="auto"/>
        <w:ind w:left="0"/>
        <w:jc w:val="both"/>
        <w:rPr>
          <w:rFonts w:ascii="Arial" w:hAnsi="Arial" w:cs="Arial"/>
          <w:b/>
          <w:bCs/>
          <w:sz w:val="18"/>
          <w:szCs w:val="18"/>
          <w:lang w:val="es-CO"/>
        </w:rPr>
      </w:pPr>
    </w:p>
    <w:p w14:paraId="757ED8B2" w14:textId="77777777" w:rsidR="00AF711F" w:rsidRDefault="00AF711F" w:rsidP="00E30719">
      <w:pPr>
        <w:pStyle w:val="Prrafodelista"/>
        <w:spacing w:line="360" w:lineRule="auto"/>
        <w:ind w:left="0"/>
        <w:jc w:val="both"/>
        <w:rPr>
          <w:rFonts w:ascii="Arial" w:hAnsi="Arial" w:cs="Arial"/>
          <w:b/>
          <w:bCs/>
          <w:sz w:val="18"/>
          <w:szCs w:val="18"/>
          <w:lang w:val="es-CO"/>
        </w:rPr>
      </w:pPr>
    </w:p>
    <w:p w14:paraId="6909F796" w14:textId="77777777" w:rsidR="00AF711F" w:rsidRDefault="00AF711F" w:rsidP="00E30719">
      <w:pPr>
        <w:pStyle w:val="Prrafodelista"/>
        <w:spacing w:line="360" w:lineRule="auto"/>
        <w:ind w:left="0"/>
        <w:jc w:val="both"/>
        <w:rPr>
          <w:rFonts w:ascii="Arial" w:hAnsi="Arial" w:cs="Arial"/>
          <w:b/>
          <w:bCs/>
          <w:sz w:val="18"/>
          <w:szCs w:val="18"/>
          <w:lang w:val="es-CO"/>
        </w:rPr>
      </w:pPr>
    </w:p>
    <w:p w14:paraId="534FD925" w14:textId="77777777" w:rsidR="00AF711F" w:rsidRDefault="00AF711F" w:rsidP="00E30719">
      <w:pPr>
        <w:pStyle w:val="Prrafodelista"/>
        <w:spacing w:line="360" w:lineRule="auto"/>
        <w:ind w:left="0"/>
        <w:jc w:val="both"/>
        <w:rPr>
          <w:rFonts w:ascii="Arial" w:hAnsi="Arial" w:cs="Arial"/>
          <w:b/>
          <w:bCs/>
          <w:sz w:val="18"/>
          <w:szCs w:val="18"/>
          <w:lang w:val="es-CO"/>
        </w:rPr>
      </w:pPr>
    </w:p>
    <w:p w14:paraId="6FB34D70" w14:textId="77777777" w:rsidR="00AF711F" w:rsidRDefault="00AF711F" w:rsidP="00E30719">
      <w:pPr>
        <w:pStyle w:val="Prrafodelista"/>
        <w:spacing w:line="360" w:lineRule="auto"/>
        <w:ind w:left="0"/>
        <w:jc w:val="both"/>
        <w:rPr>
          <w:rFonts w:ascii="Arial" w:hAnsi="Arial" w:cs="Arial"/>
          <w:b/>
          <w:bCs/>
          <w:sz w:val="18"/>
          <w:szCs w:val="18"/>
          <w:lang w:val="es-CO"/>
        </w:rPr>
      </w:pPr>
    </w:p>
    <w:p w14:paraId="65658F9D" w14:textId="77777777" w:rsidR="00AF711F" w:rsidRDefault="00AF711F" w:rsidP="00E30719">
      <w:pPr>
        <w:pStyle w:val="Prrafodelista"/>
        <w:spacing w:line="360" w:lineRule="auto"/>
        <w:ind w:left="0"/>
        <w:jc w:val="both"/>
        <w:rPr>
          <w:rFonts w:ascii="Arial" w:hAnsi="Arial" w:cs="Arial"/>
          <w:b/>
          <w:bCs/>
          <w:sz w:val="18"/>
          <w:szCs w:val="18"/>
          <w:lang w:val="es-CO"/>
        </w:rPr>
      </w:pPr>
    </w:p>
    <w:p w14:paraId="28039262" w14:textId="77777777" w:rsidR="00AF711F" w:rsidRDefault="00AF711F" w:rsidP="00E30719">
      <w:pPr>
        <w:pStyle w:val="Prrafodelista"/>
        <w:spacing w:line="360" w:lineRule="auto"/>
        <w:ind w:left="0"/>
        <w:jc w:val="both"/>
        <w:rPr>
          <w:rFonts w:ascii="Arial" w:hAnsi="Arial" w:cs="Arial"/>
          <w:b/>
          <w:bCs/>
          <w:sz w:val="18"/>
          <w:szCs w:val="18"/>
          <w:lang w:val="es-CO"/>
        </w:rPr>
      </w:pPr>
    </w:p>
    <w:p w14:paraId="220702FD" w14:textId="77777777" w:rsidR="007B2BE6" w:rsidRDefault="007B2BE6" w:rsidP="00E30719">
      <w:pPr>
        <w:pStyle w:val="Prrafodelista"/>
        <w:spacing w:line="360" w:lineRule="auto"/>
        <w:ind w:left="0"/>
        <w:jc w:val="both"/>
        <w:rPr>
          <w:rFonts w:ascii="Arial" w:hAnsi="Arial" w:cs="Arial"/>
          <w:b/>
          <w:bCs/>
          <w:sz w:val="18"/>
          <w:szCs w:val="18"/>
          <w:lang w:val="es-CO"/>
        </w:rPr>
      </w:pPr>
    </w:p>
    <w:p w14:paraId="66FA26C2" w14:textId="5CE0C5BC" w:rsidR="007B2BE6" w:rsidRPr="007B2BE6" w:rsidRDefault="007B2BE6" w:rsidP="00E30719">
      <w:pPr>
        <w:pStyle w:val="Prrafodelista"/>
        <w:spacing w:line="360" w:lineRule="auto"/>
        <w:ind w:left="0"/>
        <w:jc w:val="both"/>
        <w:rPr>
          <w:rFonts w:ascii="Arial" w:hAnsi="Arial" w:cs="Arial"/>
          <w:b/>
          <w:bCs/>
          <w:sz w:val="16"/>
          <w:szCs w:val="16"/>
          <w:lang w:val="es-CO"/>
        </w:rPr>
      </w:pPr>
    </w:p>
    <w:sectPr w:rsidR="007B2BE6" w:rsidRPr="007B2BE6">
      <w:headerReference w:type="even" r:id="rId17"/>
      <w:headerReference w:type="default" r:id="rId18"/>
      <w:footerReference w:type="even" r:id="rId19"/>
      <w:footerReference w:type="default" r:id="rId20"/>
      <w:headerReference w:type="first" r:id="rId21"/>
      <w:footerReference w:type="firs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14466" w14:textId="77777777" w:rsidR="000A79FC" w:rsidRDefault="000A79FC" w:rsidP="008F650C">
      <w:pPr>
        <w:spacing w:after="0" w:line="240" w:lineRule="auto"/>
      </w:pPr>
      <w:r>
        <w:separator/>
      </w:r>
    </w:p>
  </w:endnote>
  <w:endnote w:type="continuationSeparator" w:id="0">
    <w:p w14:paraId="796ECB57" w14:textId="77777777" w:rsidR="000A79FC" w:rsidRDefault="000A79FC"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27C6D" w14:textId="77777777" w:rsidR="000A79FC" w:rsidRDefault="000A79FC" w:rsidP="008F650C">
      <w:pPr>
        <w:spacing w:after="0" w:line="240" w:lineRule="auto"/>
      </w:pPr>
      <w:r>
        <w:separator/>
      </w:r>
    </w:p>
  </w:footnote>
  <w:footnote w:type="continuationSeparator" w:id="0">
    <w:p w14:paraId="0105ED34" w14:textId="77777777" w:rsidR="000A79FC" w:rsidRDefault="000A79FC"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0A79FC">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0A79FC">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0A79FC">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91728"/>
    <w:multiLevelType w:val="multilevel"/>
    <w:tmpl w:val="1F5A2D58"/>
    <w:lvl w:ilvl="0">
      <w:start w:val="1"/>
      <w:numFmt w:val="decimal"/>
      <w:lvlText w:val="%1."/>
      <w:lvlJc w:val="left"/>
      <w:pPr>
        <w:ind w:left="720" w:hanging="360"/>
      </w:pPr>
      <w:rPr>
        <w:rFonts w:ascii="Arial" w:hAnsi="Arial" w:cs="Arial" w:hint="default"/>
        <w:b/>
        <w:bCs/>
        <w:color w:val="auto"/>
        <w:sz w:val="20"/>
        <w:szCs w:val="2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0DA14E5"/>
    <w:multiLevelType w:val="multilevel"/>
    <w:tmpl w:val="8620F01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E330E2"/>
    <w:multiLevelType w:val="hybridMultilevel"/>
    <w:tmpl w:val="D458AEA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C4B7BD1"/>
    <w:multiLevelType w:val="hybridMultilevel"/>
    <w:tmpl w:val="BD40B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BC3FD6"/>
    <w:multiLevelType w:val="hybridMultilevel"/>
    <w:tmpl w:val="ABE645FC"/>
    <w:lvl w:ilvl="0" w:tplc="32F093DA">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900C41"/>
    <w:multiLevelType w:val="multilevel"/>
    <w:tmpl w:val="B11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82AEA"/>
    <w:multiLevelType w:val="multilevel"/>
    <w:tmpl w:val="096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275D9"/>
    <w:multiLevelType w:val="hybridMultilevel"/>
    <w:tmpl w:val="46A47C4A"/>
    <w:lvl w:ilvl="0" w:tplc="3AECE748">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D4E46A4"/>
    <w:multiLevelType w:val="multilevel"/>
    <w:tmpl w:val="A9C435EC"/>
    <w:lvl w:ilvl="0">
      <w:start w:val="2"/>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122745F"/>
    <w:multiLevelType w:val="multilevel"/>
    <w:tmpl w:val="81F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80A09"/>
    <w:multiLevelType w:val="multilevel"/>
    <w:tmpl w:val="7892EB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92C4CF3"/>
    <w:multiLevelType w:val="hybridMultilevel"/>
    <w:tmpl w:val="EE3654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D8404FD"/>
    <w:multiLevelType w:val="hybridMultilevel"/>
    <w:tmpl w:val="07A6E8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1"/>
  </w:num>
  <w:num w:numId="4">
    <w:abstractNumId w:val="0"/>
  </w:num>
  <w:num w:numId="5">
    <w:abstractNumId w:val="9"/>
  </w:num>
  <w:num w:numId="6">
    <w:abstractNumId w:val="2"/>
  </w:num>
  <w:num w:numId="7">
    <w:abstractNumId w:val="7"/>
  </w:num>
  <w:num w:numId="8">
    <w:abstractNumId w:val="4"/>
  </w:num>
  <w:num w:numId="9">
    <w:abstractNumId w:val="8"/>
  </w:num>
  <w:num w:numId="10">
    <w:abstractNumId w:val="1"/>
  </w:num>
  <w:num w:numId="11">
    <w:abstractNumId w:val="3"/>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0001A1"/>
    <w:rsid w:val="00002ACA"/>
    <w:rsid w:val="000155A8"/>
    <w:rsid w:val="00017AD0"/>
    <w:rsid w:val="0004316F"/>
    <w:rsid w:val="00044FB1"/>
    <w:rsid w:val="00067BF1"/>
    <w:rsid w:val="00095546"/>
    <w:rsid w:val="000963EB"/>
    <w:rsid w:val="000A1D83"/>
    <w:rsid w:val="000A27D5"/>
    <w:rsid w:val="000A28EC"/>
    <w:rsid w:val="000A79FC"/>
    <w:rsid w:val="000C18C1"/>
    <w:rsid w:val="000D31AD"/>
    <w:rsid w:val="000E337B"/>
    <w:rsid w:val="000F0845"/>
    <w:rsid w:val="000F3318"/>
    <w:rsid w:val="00116DE2"/>
    <w:rsid w:val="00140389"/>
    <w:rsid w:val="00160DAB"/>
    <w:rsid w:val="00161CF0"/>
    <w:rsid w:val="0017107F"/>
    <w:rsid w:val="0017156C"/>
    <w:rsid w:val="00180E5E"/>
    <w:rsid w:val="0019563A"/>
    <w:rsid w:val="001A2969"/>
    <w:rsid w:val="001B41F1"/>
    <w:rsid w:val="001D1550"/>
    <w:rsid w:val="001D5A03"/>
    <w:rsid w:val="001D6418"/>
    <w:rsid w:val="001E077A"/>
    <w:rsid w:val="001E4470"/>
    <w:rsid w:val="001F45BC"/>
    <w:rsid w:val="002001B1"/>
    <w:rsid w:val="002002F9"/>
    <w:rsid w:val="0020593C"/>
    <w:rsid w:val="00214372"/>
    <w:rsid w:val="0022000C"/>
    <w:rsid w:val="002249E0"/>
    <w:rsid w:val="00231D26"/>
    <w:rsid w:val="00237C68"/>
    <w:rsid w:val="00252AAF"/>
    <w:rsid w:val="00263A43"/>
    <w:rsid w:val="00270518"/>
    <w:rsid w:val="00283F38"/>
    <w:rsid w:val="002916C7"/>
    <w:rsid w:val="00293729"/>
    <w:rsid w:val="002B2677"/>
    <w:rsid w:val="002B5EB3"/>
    <w:rsid w:val="002C02BE"/>
    <w:rsid w:val="002C041C"/>
    <w:rsid w:val="002C3478"/>
    <w:rsid w:val="002D2BC4"/>
    <w:rsid w:val="003045DE"/>
    <w:rsid w:val="00325F81"/>
    <w:rsid w:val="00334CA9"/>
    <w:rsid w:val="00336A55"/>
    <w:rsid w:val="00337D26"/>
    <w:rsid w:val="00355277"/>
    <w:rsid w:val="00362007"/>
    <w:rsid w:val="0036213D"/>
    <w:rsid w:val="00362FEE"/>
    <w:rsid w:val="003A4A97"/>
    <w:rsid w:val="003A74D3"/>
    <w:rsid w:val="003C68E7"/>
    <w:rsid w:val="003D036D"/>
    <w:rsid w:val="003D7022"/>
    <w:rsid w:val="003E20A1"/>
    <w:rsid w:val="003E3ECE"/>
    <w:rsid w:val="003F09F4"/>
    <w:rsid w:val="003F639D"/>
    <w:rsid w:val="003F66A5"/>
    <w:rsid w:val="004001AE"/>
    <w:rsid w:val="00404F08"/>
    <w:rsid w:val="00412F05"/>
    <w:rsid w:val="00443DFB"/>
    <w:rsid w:val="0047087F"/>
    <w:rsid w:val="00480442"/>
    <w:rsid w:val="004901B2"/>
    <w:rsid w:val="00493339"/>
    <w:rsid w:val="004A7AB8"/>
    <w:rsid w:val="004D5A3E"/>
    <w:rsid w:val="004D792A"/>
    <w:rsid w:val="004E4AFB"/>
    <w:rsid w:val="005016B0"/>
    <w:rsid w:val="005278BD"/>
    <w:rsid w:val="00533BFD"/>
    <w:rsid w:val="00546A17"/>
    <w:rsid w:val="00563945"/>
    <w:rsid w:val="0056568C"/>
    <w:rsid w:val="00577C70"/>
    <w:rsid w:val="005811FB"/>
    <w:rsid w:val="0059035D"/>
    <w:rsid w:val="005919F1"/>
    <w:rsid w:val="0059681E"/>
    <w:rsid w:val="005B4A7C"/>
    <w:rsid w:val="005C4CE9"/>
    <w:rsid w:val="005C650A"/>
    <w:rsid w:val="005E2626"/>
    <w:rsid w:val="005E472C"/>
    <w:rsid w:val="005E7A1B"/>
    <w:rsid w:val="005F1405"/>
    <w:rsid w:val="00607D49"/>
    <w:rsid w:val="0064245C"/>
    <w:rsid w:val="00645B3C"/>
    <w:rsid w:val="006559F0"/>
    <w:rsid w:val="00681379"/>
    <w:rsid w:val="00682114"/>
    <w:rsid w:val="006954B5"/>
    <w:rsid w:val="0069574D"/>
    <w:rsid w:val="00696DC4"/>
    <w:rsid w:val="00697404"/>
    <w:rsid w:val="006A59BC"/>
    <w:rsid w:val="006A62D4"/>
    <w:rsid w:val="006B34A7"/>
    <w:rsid w:val="006C7AF6"/>
    <w:rsid w:val="006D70AC"/>
    <w:rsid w:val="006E7310"/>
    <w:rsid w:val="006F31AC"/>
    <w:rsid w:val="006F6A81"/>
    <w:rsid w:val="0071158E"/>
    <w:rsid w:val="00717ECA"/>
    <w:rsid w:val="00724801"/>
    <w:rsid w:val="00733F89"/>
    <w:rsid w:val="00740240"/>
    <w:rsid w:val="00752AC7"/>
    <w:rsid w:val="0077761B"/>
    <w:rsid w:val="00782797"/>
    <w:rsid w:val="007A7604"/>
    <w:rsid w:val="007A7D52"/>
    <w:rsid w:val="007A7D64"/>
    <w:rsid w:val="007B151C"/>
    <w:rsid w:val="007B2BE6"/>
    <w:rsid w:val="007C1192"/>
    <w:rsid w:val="007C16A5"/>
    <w:rsid w:val="007D15E4"/>
    <w:rsid w:val="007D1678"/>
    <w:rsid w:val="007E3292"/>
    <w:rsid w:val="007E701D"/>
    <w:rsid w:val="007F2B77"/>
    <w:rsid w:val="0083026A"/>
    <w:rsid w:val="00832D70"/>
    <w:rsid w:val="00833CBE"/>
    <w:rsid w:val="008352FC"/>
    <w:rsid w:val="00835344"/>
    <w:rsid w:val="008557E7"/>
    <w:rsid w:val="00857AD4"/>
    <w:rsid w:val="008710FB"/>
    <w:rsid w:val="0087492F"/>
    <w:rsid w:val="00883EE9"/>
    <w:rsid w:val="00895B53"/>
    <w:rsid w:val="008977E1"/>
    <w:rsid w:val="008B146C"/>
    <w:rsid w:val="008B650C"/>
    <w:rsid w:val="008C159F"/>
    <w:rsid w:val="008C19E3"/>
    <w:rsid w:val="008C7447"/>
    <w:rsid w:val="008F2776"/>
    <w:rsid w:val="008F44FE"/>
    <w:rsid w:val="008F650C"/>
    <w:rsid w:val="00915746"/>
    <w:rsid w:val="0093364A"/>
    <w:rsid w:val="00944CD7"/>
    <w:rsid w:val="00945636"/>
    <w:rsid w:val="00950A56"/>
    <w:rsid w:val="00957E42"/>
    <w:rsid w:val="009615C8"/>
    <w:rsid w:val="0098701A"/>
    <w:rsid w:val="00992114"/>
    <w:rsid w:val="00992E98"/>
    <w:rsid w:val="009970E0"/>
    <w:rsid w:val="009A227E"/>
    <w:rsid w:val="009A2CE2"/>
    <w:rsid w:val="009B48AF"/>
    <w:rsid w:val="009B6157"/>
    <w:rsid w:val="009C2C67"/>
    <w:rsid w:val="00A00510"/>
    <w:rsid w:val="00A1012B"/>
    <w:rsid w:val="00A22F5A"/>
    <w:rsid w:val="00A26FF8"/>
    <w:rsid w:val="00A3450A"/>
    <w:rsid w:val="00A34B98"/>
    <w:rsid w:val="00A419A7"/>
    <w:rsid w:val="00A46FD8"/>
    <w:rsid w:val="00A4712A"/>
    <w:rsid w:val="00A5420E"/>
    <w:rsid w:val="00A57D06"/>
    <w:rsid w:val="00A66ACD"/>
    <w:rsid w:val="00A71E7C"/>
    <w:rsid w:val="00A75DFF"/>
    <w:rsid w:val="00A763B3"/>
    <w:rsid w:val="00A81CC4"/>
    <w:rsid w:val="00A85941"/>
    <w:rsid w:val="00A93E3B"/>
    <w:rsid w:val="00A97BF4"/>
    <w:rsid w:val="00AB080F"/>
    <w:rsid w:val="00AB7BDF"/>
    <w:rsid w:val="00AC7A28"/>
    <w:rsid w:val="00AD7367"/>
    <w:rsid w:val="00AF711F"/>
    <w:rsid w:val="00B01274"/>
    <w:rsid w:val="00B01E05"/>
    <w:rsid w:val="00B022FA"/>
    <w:rsid w:val="00B14ABE"/>
    <w:rsid w:val="00B1714E"/>
    <w:rsid w:val="00B174B3"/>
    <w:rsid w:val="00B178FD"/>
    <w:rsid w:val="00B23810"/>
    <w:rsid w:val="00B34430"/>
    <w:rsid w:val="00B440DF"/>
    <w:rsid w:val="00B51ED8"/>
    <w:rsid w:val="00B729D7"/>
    <w:rsid w:val="00B72D36"/>
    <w:rsid w:val="00B81A7E"/>
    <w:rsid w:val="00B836B4"/>
    <w:rsid w:val="00BA43AE"/>
    <w:rsid w:val="00BA527E"/>
    <w:rsid w:val="00BC0653"/>
    <w:rsid w:val="00BC3716"/>
    <w:rsid w:val="00BD09FD"/>
    <w:rsid w:val="00BE1FA2"/>
    <w:rsid w:val="00BF4347"/>
    <w:rsid w:val="00C041B9"/>
    <w:rsid w:val="00C13CEE"/>
    <w:rsid w:val="00C20971"/>
    <w:rsid w:val="00C225BC"/>
    <w:rsid w:val="00C33C3A"/>
    <w:rsid w:val="00C36584"/>
    <w:rsid w:val="00C40F6A"/>
    <w:rsid w:val="00C61D69"/>
    <w:rsid w:val="00C71883"/>
    <w:rsid w:val="00C72922"/>
    <w:rsid w:val="00C77374"/>
    <w:rsid w:val="00C90C44"/>
    <w:rsid w:val="00C915A3"/>
    <w:rsid w:val="00C9625E"/>
    <w:rsid w:val="00CB2DB5"/>
    <w:rsid w:val="00CC141B"/>
    <w:rsid w:val="00CC2897"/>
    <w:rsid w:val="00CD751B"/>
    <w:rsid w:val="00D02D5D"/>
    <w:rsid w:val="00D4041A"/>
    <w:rsid w:val="00D52D51"/>
    <w:rsid w:val="00D54B25"/>
    <w:rsid w:val="00D623BA"/>
    <w:rsid w:val="00D75078"/>
    <w:rsid w:val="00D81182"/>
    <w:rsid w:val="00D906E3"/>
    <w:rsid w:val="00DA2AE2"/>
    <w:rsid w:val="00DA50D3"/>
    <w:rsid w:val="00DA5179"/>
    <w:rsid w:val="00DA5D88"/>
    <w:rsid w:val="00DB3A52"/>
    <w:rsid w:val="00DB646A"/>
    <w:rsid w:val="00DE7A24"/>
    <w:rsid w:val="00DF11AC"/>
    <w:rsid w:val="00DF42E1"/>
    <w:rsid w:val="00DF7F55"/>
    <w:rsid w:val="00E06C6F"/>
    <w:rsid w:val="00E116A0"/>
    <w:rsid w:val="00E16D8F"/>
    <w:rsid w:val="00E23B5A"/>
    <w:rsid w:val="00E2476B"/>
    <w:rsid w:val="00E30719"/>
    <w:rsid w:val="00E30A91"/>
    <w:rsid w:val="00E559FA"/>
    <w:rsid w:val="00E62EF9"/>
    <w:rsid w:val="00E70505"/>
    <w:rsid w:val="00E76197"/>
    <w:rsid w:val="00E93104"/>
    <w:rsid w:val="00EA5218"/>
    <w:rsid w:val="00EA57FF"/>
    <w:rsid w:val="00EB275E"/>
    <w:rsid w:val="00EC7EE2"/>
    <w:rsid w:val="00ED1299"/>
    <w:rsid w:val="00ED2ACD"/>
    <w:rsid w:val="00ED4ED3"/>
    <w:rsid w:val="00ED7CE8"/>
    <w:rsid w:val="00EE74DC"/>
    <w:rsid w:val="00EF608D"/>
    <w:rsid w:val="00F10FCE"/>
    <w:rsid w:val="00F4004C"/>
    <w:rsid w:val="00F44D05"/>
    <w:rsid w:val="00F477CA"/>
    <w:rsid w:val="00F516B9"/>
    <w:rsid w:val="00F52209"/>
    <w:rsid w:val="00F5498A"/>
    <w:rsid w:val="00F574BE"/>
    <w:rsid w:val="00F67C14"/>
    <w:rsid w:val="00F72A71"/>
    <w:rsid w:val="00F72E34"/>
    <w:rsid w:val="00F872A0"/>
    <w:rsid w:val="00F8794B"/>
    <w:rsid w:val="00F92D3E"/>
    <w:rsid w:val="00FA127B"/>
    <w:rsid w:val="00FD5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39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02A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paragraph" w:styleId="NormalWeb">
    <w:name w:val="Normal (Web)"/>
    <w:basedOn w:val="Normal"/>
    <w:uiPriority w:val="99"/>
    <w:unhideWhenUsed/>
    <w:rsid w:val="00AC7A2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AC7A28"/>
    <w:rPr>
      <w:b/>
      <w:bCs/>
    </w:rPr>
  </w:style>
  <w:style w:type="paragraph" w:styleId="Prrafodelista">
    <w:name w:val="List Paragraph"/>
    <w:basedOn w:val="Normal"/>
    <w:uiPriority w:val="34"/>
    <w:qFormat/>
    <w:rsid w:val="00563945"/>
    <w:pPr>
      <w:ind w:left="720"/>
      <w:contextualSpacing/>
    </w:pPr>
  </w:style>
  <w:style w:type="character" w:customStyle="1" w:styleId="Ttulo1Car">
    <w:name w:val="Título 1 Car"/>
    <w:basedOn w:val="Fuentedeprrafopredeter"/>
    <w:link w:val="Ttulo1"/>
    <w:uiPriority w:val="9"/>
    <w:rsid w:val="00563945"/>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002ACA"/>
    <w:pPr>
      <w:spacing w:after="0" w:line="240" w:lineRule="auto"/>
    </w:pPr>
  </w:style>
  <w:style w:type="character" w:customStyle="1" w:styleId="Ttulo2Car">
    <w:name w:val="Título 2 Car"/>
    <w:basedOn w:val="Fuentedeprrafopredeter"/>
    <w:link w:val="Ttulo2"/>
    <w:uiPriority w:val="9"/>
    <w:semiHidden/>
    <w:rsid w:val="00002ACA"/>
    <w:rPr>
      <w:rFonts w:asciiTheme="majorHAnsi" w:eastAsiaTheme="majorEastAsia" w:hAnsiTheme="majorHAnsi" w:cstheme="majorBidi"/>
      <w:color w:val="2F5496" w:themeColor="accent1" w:themeShade="BF"/>
      <w:sz w:val="26"/>
      <w:szCs w:val="26"/>
    </w:rPr>
  </w:style>
  <w:style w:type="paragraph" w:styleId="z-Principiodelformulario">
    <w:name w:val="HTML Top of Form"/>
    <w:basedOn w:val="Normal"/>
    <w:next w:val="Normal"/>
    <w:link w:val="z-PrincipiodelformularioCar"/>
    <w:hidden/>
    <w:uiPriority w:val="99"/>
    <w:semiHidden/>
    <w:unhideWhenUsed/>
    <w:rsid w:val="00002ACA"/>
    <w:pPr>
      <w:pBdr>
        <w:bottom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PrincipiodelformularioCar">
    <w:name w:val="z-Principio del formulario Car"/>
    <w:basedOn w:val="Fuentedeprrafopredeter"/>
    <w:link w:val="z-Principiodelformulario"/>
    <w:uiPriority w:val="99"/>
    <w:semiHidden/>
    <w:rsid w:val="00002ACA"/>
    <w:rPr>
      <w:rFonts w:ascii="Arial" w:eastAsia="Times New Roman" w:hAnsi="Arial" w:cs="Arial"/>
      <w:vanish/>
      <w:sz w:val="16"/>
      <w:szCs w:val="16"/>
      <w:lang w:val="es-CO" w:eastAsia="es-CO"/>
    </w:rPr>
  </w:style>
  <w:style w:type="paragraph" w:customStyle="1" w:styleId="placeholder">
    <w:name w:val="placeholder"/>
    <w:basedOn w:val="Normal"/>
    <w:rsid w:val="00002ACA"/>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z-Finaldelformulario">
    <w:name w:val="HTML Bottom of Form"/>
    <w:basedOn w:val="Normal"/>
    <w:next w:val="Normal"/>
    <w:link w:val="z-FinaldelformularioCar"/>
    <w:hidden/>
    <w:uiPriority w:val="99"/>
    <w:semiHidden/>
    <w:unhideWhenUsed/>
    <w:rsid w:val="00002ACA"/>
    <w:pPr>
      <w:pBdr>
        <w:top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FinaldelformularioCar">
    <w:name w:val="z-Final del formulario Car"/>
    <w:basedOn w:val="Fuentedeprrafopredeter"/>
    <w:link w:val="z-Finaldelformulario"/>
    <w:uiPriority w:val="99"/>
    <w:semiHidden/>
    <w:rsid w:val="00002ACA"/>
    <w:rPr>
      <w:rFonts w:ascii="Arial" w:eastAsia="Times New Roman" w:hAnsi="Arial" w:cs="Arial"/>
      <w:vanish/>
      <w:sz w:val="16"/>
      <w:szCs w:val="16"/>
      <w:lang w:val="es-CO" w:eastAsia="es-CO"/>
    </w:rPr>
  </w:style>
  <w:style w:type="table" w:styleId="Tablaconcuadrcula">
    <w:name w:val="Table Grid"/>
    <w:basedOn w:val="Tablanormal"/>
    <w:uiPriority w:val="39"/>
    <w:rsid w:val="00FA1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79968">
      <w:bodyDiv w:val="1"/>
      <w:marLeft w:val="0"/>
      <w:marRight w:val="0"/>
      <w:marTop w:val="0"/>
      <w:marBottom w:val="0"/>
      <w:divBdr>
        <w:top w:val="none" w:sz="0" w:space="0" w:color="auto"/>
        <w:left w:val="none" w:sz="0" w:space="0" w:color="auto"/>
        <w:bottom w:val="none" w:sz="0" w:space="0" w:color="auto"/>
        <w:right w:val="none" w:sz="0" w:space="0" w:color="auto"/>
      </w:divBdr>
    </w:div>
    <w:div w:id="157381730">
      <w:bodyDiv w:val="1"/>
      <w:marLeft w:val="0"/>
      <w:marRight w:val="0"/>
      <w:marTop w:val="0"/>
      <w:marBottom w:val="0"/>
      <w:divBdr>
        <w:top w:val="none" w:sz="0" w:space="0" w:color="auto"/>
        <w:left w:val="none" w:sz="0" w:space="0" w:color="auto"/>
        <w:bottom w:val="none" w:sz="0" w:space="0" w:color="auto"/>
        <w:right w:val="none" w:sz="0" w:space="0" w:color="auto"/>
      </w:divBdr>
    </w:div>
    <w:div w:id="205455856">
      <w:bodyDiv w:val="1"/>
      <w:marLeft w:val="0"/>
      <w:marRight w:val="0"/>
      <w:marTop w:val="0"/>
      <w:marBottom w:val="0"/>
      <w:divBdr>
        <w:top w:val="none" w:sz="0" w:space="0" w:color="auto"/>
        <w:left w:val="none" w:sz="0" w:space="0" w:color="auto"/>
        <w:bottom w:val="none" w:sz="0" w:space="0" w:color="auto"/>
        <w:right w:val="none" w:sz="0" w:space="0" w:color="auto"/>
      </w:divBdr>
    </w:div>
    <w:div w:id="228421667">
      <w:bodyDiv w:val="1"/>
      <w:marLeft w:val="0"/>
      <w:marRight w:val="0"/>
      <w:marTop w:val="0"/>
      <w:marBottom w:val="0"/>
      <w:divBdr>
        <w:top w:val="none" w:sz="0" w:space="0" w:color="auto"/>
        <w:left w:val="none" w:sz="0" w:space="0" w:color="auto"/>
        <w:bottom w:val="none" w:sz="0" w:space="0" w:color="auto"/>
        <w:right w:val="none" w:sz="0" w:space="0" w:color="auto"/>
      </w:divBdr>
    </w:div>
    <w:div w:id="310133833">
      <w:bodyDiv w:val="1"/>
      <w:marLeft w:val="0"/>
      <w:marRight w:val="0"/>
      <w:marTop w:val="0"/>
      <w:marBottom w:val="0"/>
      <w:divBdr>
        <w:top w:val="none" w:sz="0" w:space="0" w:color="auto"/>
        <w:left w:val="none" w:sz="0" w:space="0" w:color="auto"/>
        <w:bottom w:val="none" w:sz="0" w:space="0" w:color="auto"/>
        <w:right w:val="none" w:sz="0" w:space="0" w:color="auto"/>
      </w:divBdr>
    </w:div>
    <w:div w:id="341130867">
      <w:bodyDiv w:val="1"/>
      <w:marLeft w:val="0"/>
      <w:marRight w:val="0"/>
      <w:marTop w:val="0"/>
      <w:marBottom w:val="0"/>
      <w:divBdr>
        <w:top w:val="none" w:sz="0" w:space="0" w:color="auto"/>
        <w:left w:val="none" w:sz="0" w:space="0" w:color="auto"/>
        <w:bottom w:val="none" w:sz="0" w:space="0" w:color="auto"/>
        <w:right w:val="none" w:sz="0" w:space="0" w:color="auto"/>
      </w:divBdr>
    </w:div>
    <w:div w:id="430130964">
      <w:bodyDiv w:val="1"/>
      <w:marLeft w:val="0"/>
      <w:marRight w:val="0"/>
      <w:marTop w:val="0"/>
      <w:marBottom w:val="0"/>
      <w:divBdr>
        <w:top w:val="none" w:sz="0" w:space="0" w:color="auto"/>
        <w:left w:val="none" w:sz="0" w:space="0" w:color="auto"/>
        <w:bottom w:val="none" w:sz="0" w:space="0" w:color="auto"/>
        <w:right w:val="none" w:sz="0" w:space="0" w:color="auto"/>
      </w:divBdr>
    </w:div>
    <w:div w:id="466046317">
      <w:bodyDiv w:val="1"/>
      <w:marLeft w:val="0"/>
      <w:marRight w:val="0"/>
      <w:marTop w:val="0"/>
      <w:marBottom w:val="0"/>
      <w:divBdr>
        <w:top w:val="none" w:sz="0" w:space="0" w:color="auto"/>
        <w:left w:val="none" w:sz="0" w:space="0" w:color="auto"/>
        <w:bottom w:val="none" w:sz="0" w:space="0" w:color="auto"/>
        <w:right w:val="none" w:sz="0" w:space="0" w:color="auto"/>
      </w:divBdr>
    </w:div>
    <w:div w:id="612447432">
      <w:bodyDiv w:val="1"/>
      <w:marLeft w:val="0"/>
      <w:marRight w:val="0"/>
      <w:marTop w:val="0"/>
      <w:marBottom w:val="0"/>
      <w:divBdr>
        <w:top w:val="none" w:sz="0" w:space="0" w:color="auto"/>
        <w:left w:val="none" w:sz="0" w:space="0" w:color="auto"/>
        <w:bottom w:val="none" w:sz="0" w:space="0" w:color="auto"/>
        <w:right w:val="none" w:sz="0" w:space="0" w:color="auto"/>
      </w:divBdr>
    </w:div>
    <w:div w:id="633218066">
      <w:bodyDiv w:val="1"/>
      <w:marLeft w:val="0"/>
      <w:marRight w:val="0"/>
      <w:marTop w:val="0"/>
      <w:marBottom w:val="0"/>
      <w:divBdr>
        <w:top w:val="none" w:sz="0" w:space="0" w:color="auto"/>
        <w:left w:val="none" w:sz="0" w:space="0" w:color="auto"/>
        <w:bottom w:val="none" w:sz="0" w:space="0" w:color="auto"/>
        <w:right w:val="none" w:sz="0" w:space="0" w:color="auto"/>
      </w:divBdr>
    </w:div>
    <w:div w:id="722220277">
      <w:bodyDiv w:val="1"/>
      <w:marLeft w:val="0"/>
      <w:marRight w:val="0"/>
      <w:marTop w:val="0"/>
      <w:marBottom w:val="0"/>
      <w:divBdr>
        <w:top w:val="none" w:sz="0" w:space="0" w:color="auto"/>
        <w:left w:val="none" w:sz="0" w:space="0" w:color="auto"/>
        <w:bottom w:val="none" w:sz="0" w:space="0" w:color="auto"/>
        <w:right w:val="none" w:sz="0" w:space="0" w:color="auto"/>
      </w:divBdr>
    </w:div>
    <w:div w:id="729574754">
      <w:bodyDiv w:val="1"/>
      <w:marLeft w:val="0"/>
      <w:marRight w:val="0"/>
      <w:marTop w:val="0"/>
      <w:marBottom w:val="0"/>
      <w:divBdr>
        <w:top w:val="none" w:sz="0" w:space="0" w:color="auto"/>
        <w:left w:val="none" w:sz="0" w:space="0" w:color="auto"/>
        <w:bottom w:val="none" w:sz="0" w:space="0" w:color="auto"/>
        <w:right w:val="none" w:sz="0" w:space="0" w:color="auto"/>
      </w:divBdr>
    </w:div>
    <w:div w:id="851147940">
      <w:bodyDiv w:val="1"/>
      <w:marLeft w:val="0"/>
      <w:marRight w:val="0"/>
      <w:marTop w:val="0"/>
      <w:marBottom w:val="0"/>
      <w:divBdr>
        <w:top w:val="none" w:sz="0" w:space="0" w:color="auto"/>
        <w:left w:val="none" w:sz="0" w:space="0" w:color="auto"/>
        <w:bottom w:val="none" w:sz="0" w:space="0" w:color="auto"/>
        <w:right w:val="none" w:sz="0" w:space="0" w:color="auto"/>
      </w:divBdr>
    </w:div>
    <w:div w:id="876697418">
      <w:bodyDiv w:val="1"/>
      <w:marLeft w:val="0"/>
      <w:marRight w:val="0"/>
      <w:marTop w:val="0"/>
      <w:marBottom w:val="0"/>
      <w:divBdr>
        <w:top w:val="none" w:sz="0" w:space="0" w:color="auto"/>
        <w:left w:val="none" w:sz="0" w:space="0" w:color="auto"/>
        <w:bottom w:val="none" w:sz="0" w:space="0" w:color="auto"/>
        <w:right w:val="none" w:sz="0" w:space="0" w:color="auto"/>
      </w:divBdr>
    </w:div>
    <w:div w:id="934553009">
      <w:bodyDiv w:val="1"/>
      <w:marLeft w:val="0"/>
      <w:marRight w:val="0"/>
      <w:marTop w:val="0"/>
      <w:marBottom w:val="0"/>
      <w:divBdr>
        <w:top w:val="none" w:sz="0" w:space="0" w:color="auto"/>
        <w:left w:val="none" w:sz="0" w:space="0" w:color="auto"/>
        <w:bottom w:val="none" w:sz="0" w:space="0" w:color="auto"/>
        <w:right w:val="none" w:sz="0" w:space="0" w:color="auto"/>
      </w:divBdr>
    </w:div>
    <w:div w:id="939221220">
      <w:bodyDiv w:val="1"/>
      <w:marLeft w:val="0"/>
      <w:marRight w:val="0"/>
      <w:marTop w:val="0"/>
      <w:marBottom w:val="0"/>
      <w:divBdr>
        <w:top w:val="none" w:sz="0" w:space="0" w:color="auto"/>
        <w:left w:val="none" w:sz="0" w:space="0" w:color="auto"/>
        <w:bottom w:val="none" w:sz="0" w:space="0" w:color="auto"/>
        <w:right w:val="none" w:sz="0" w:space="0" w:color="auto"/>
      </w:divBdr>
    </w:div>
    <w:div w:id="1144588557">
      <w:bodyDiv w:val="1"/>
      <w:marLeft w:val="0"/>
      <w:marRight w:val="0"/>
      <w:marTop w:val="0"/>
      <w:marBottom w:val="0"/>
      <w:divBdr>
        <w:top w:val="none" w:sz="0" w:space="0" w:color="auto"/>
        <w:left w:val="none" w:sz="0" w:space="0" w:color="auto"/>
        <w:bottom w:val="none" w:sz="0" w:space="0" w:color="auto"/>
        <w:right w:val="none" w:sz="0" w:space="0" w:color="auto"/>
      </w:divBdr>
      <w:divsChild>
        <w:div w:id="1737052416">
          <w:marLeft w:val="0"/>
          <w:marRight w:val="0"/>
          <w:marTop w:val="0"/>
          <w:marBottom w:val="0"/>
          <w:divBdr>
            <w:top w:val="none" w:sz="0" w:space="0" w:color="auto"/>
            <w:left w:val="none" w:sz="0" w:space="0" w:color="auto"/>
            <w:bottom w:val="none" w:sz="0" w:space="0" w:color="auto"/>
            <w:right w:val="none" w:sz="0" w:space="0" w:color="auto"/>
          </w:divBdr>
          <w:divsChild>
            <w:div w:id="803693791">
              <w:marLeft w:val="0"/>
              <w:marRight w:val="0"/>
              <w:marTop w:val="0"/>
              <w:marBottom w:val="0"/>
              <w:divBdr>
                <w:top w:val="none" w:sz="0" w:space="0" w:color="auto"/>
                <w:left w:val="none" w:sz="0" w:space="0" w:color="auto"/>
                <w:bottom w:val="none" w:sz="0" w:space="0" w:color="auto"/>
                <w:right w:val="none" w:sz="0" w:space="0" w:color="auto"/>
              </w:divBdr>
              <w:divsChild>
                <w:div w:id="1830290013">
                  <w:marLeft w:val="0"/>
                  <w:marRight w:val="0"/>
                  <w:marTop w:val="0"/>
                  <w:marBottom w:val="0"/>
                  <w:divBdr>
                    <w:top w:val="none" w:sz="0" w:space="0" w:color="auto"/>
                    <w:left w:val="none" w:sz="0" w:space="0" w:color="auto"/>
                    <w:bottom w:val="none" w:sz="0" w:space="0" w:color="auto"/>
                    <w:right w:val="none" w:sz="0" w:space="0" w:color="auto"/>
                  </w:divBdr>
                  <w:divsChild>
                    <w:div w:id="1489787860">
                      <w:marLeft w:val="0"/>
                      <w:marRight w:val="0"/>
                      <w:marTop w:val="0"/>
                      <w:marBottom w:val="0"/>
                      <w:divBdr>
                        <w:top w:val="none" w:sz="0" w:space="0" w:color="auto"/>
                        <w:left w:val="none" w:sz="0" w:space="0" w:color="auto"/>
                        <w:bottom w:val="none" w:sz="0" w:space="0" w:color="auto"/>
                        <w:right w:val="none" w:sz="0" w:space="0" w:color="auto"/>
                      </w:divBdr>
                      <w:divsChild>
                        <w:div w:id="1617329884">
                          <w:marLeft w:val="0"/>
                          <w:marRight w:val="0"/>
                          <w:marTop w:val="0"/>
                          <w:marBottom w:val="0"/>
                          <w:divBdr>
                            <w:top w:val="none" w:sz="0" w:space="0" w:color="auto"/>
                            <w:left w:val="none" w:sz="0" w:space="0" w:color="auto"/>
                            <w:bottom w:val="none" w:sz="0" w:space="0" w:color="auto"/>
                            <w:right w:val="none" w:sz="0" w:space="0" w:color="auto"/>
                          </w:divBdr>
                          <w:divsChild>
                            <w:div w:id="1651669934">
                              <w:marLeft w:val="0"/>
                              <w:marRight w:val="0"/>
                              <w:marTop w:val="0"/>
                              <w:marBottom w:val="0"/>
                              <w:divBdr>
                                <w:top w:val="none" w:sz="0" w:space="0" w:color="auto"/>
                                <w:left w:val="none" w:sz="0" w:space="0" w:color="auto"/>
                                <w:bottom w:val="none" w:sz="0" w:space="0" w:color="auto"/>
                                <w:right w:val="none" w:sz="0" w:space="0" w:color="auto"/>
                              </w:divBdr>
                              <w:divsChild>
                                <w:div w:id="915749087">
                                  <w:marLeft w:val="0"/>
                                  <w:marRight w:val="0"/>
                                  <w:marTop w:val="0"/>
                                  <w:marBottom w:val="0"/>
                                  <w:divBdr>
                                    <w:top w:val="none" w:sz="0" w:space="0" w:color="auto"/>
                                    <w:left w:val="none" w:sz="0" w:space="0" w:color="auto"/>
                                    <w:bottom w:val="none" w:sz="0" w:space="0" w:color="auto"/>
                                    <w:right w:val="none" w:sz="0" w:space="0" w:color="auto"/>
                                  </w:divBdr>
                                  <w:divsChild>
                                    <w:div w:id="18885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490607">
          <w:marLeft w:val="0"/>
          <w:marRight w:val="0"/>
          <w:marTop w:val="0"/>
          <w:marBottom w:val="0"/>
          <w:divBdr>
            <w:top w:val="none" w:sz="0" w:space="0" w:color="auto"/>
            <w:left w:val="none" w:sz="0" w:space="0" w:color="auto"/>
            <w:bottom w:val="none" w:sz="0" w:space="0" w:color="auto"/>
            <w:right w:val="none" w:sz="0" w:space="0" w:color="auto"/>
          </w:divBdr>
          <w:divsChild>
            <w:div w:id="577715392">
              <w:marLeft w:val="0"/>
              <w:marRight w:val="0"/>
              <w:marTop w:val="0"/>
              <w:marBottom w:val="0"/>
              <w:divBdr>
                <w:top w:val="none" w:sz="0" w:space="0" w:color="auto"/>
                <w:left w:val="none" w:sz="0" w:space="0" w:color="auto"/>
                <w:bottom w:val="none" w:sz="0" w:space="0" w:color="auto"/>
                <w:right w:val="none" w:sz="0" w:space="0" w:color="auto"/>
              </w:divBdr>
              <w:divsChild>
                <w:div w:id="1808233848">
                  <w:marLeft w:val="0"/>
                  <w:marRight w:val="0"/>
                  <w:marTop w:val="0"/>
                  <w:marBottom w:val="0"/>
                  <w:divBdr>
                    <w:top w:val="none" w:sz="0" w:space="0" w:color="auto"/>
                    <w:left w:val="none" w:sz="0" w:space="0" w:color="auto"/>
                    <w:bottom w:val="none" w:sz="0" w:space="0" w:color="auto"/>
                    <w:right w:val="none" w:sz="0" w:space="0" w:color="auto"/>
                  </w:divBdr>
                  <w:divsChild>
                    <w:div w:id="2007899774">
                      <w:marLeft w:val="0"/>
                      <w:marRight w:val="0"/>
                      <w:marTop w:val="0"/>
                      <w:marBottom w:val="0"/>
                      <w:divBdr>
                        <w:top w:val="none" w:sz="0" w:space="0" w:color="auto"/>
                        <w:left w:val="none" w:sz="0" w:space="0" w:color="auto"/>
                        <w:bottom w:val="none" w:sz="0" w:space="0" w:color="auto"/>
                        <w:right w:val="none" w:sz="0" w:space="0" w:color="auto"/>
                      </w:divBdr>
                      <w:divsChild>
                        <w:div w:id="1622110809">
                          <w:marLeft w:val="0"/>
                          <w:marRight w:val="0"/>
                          <w:marTop w:val="0"/>
                          <w:marBottom w:val="0"/>
                          <w:divBdr>
                            <w:top w:val="none" w:sz="0" w:space="0" w:color="auto"/>
                            <w:left w:val="none" w:sz="0" w:space="0" w:color="auto"/>
                            <w:bottom w:val="none" w:sz="0" w:space="0" w:color="auto"/>
                            <w:right w:val="none" w:sz="0" w:space="0" w:color="auto"/>
                          </w:divBdr>
                          <w:divsChild>
                            <w:div w:id="1828092002">
                              <w:marLeft w:val="0"/>
                              <w:marRight w:val="0"/>
                              <w:marTop w:val="0"/>
                              <w:marBottom w:val="0"/>
                              <w:divBdr>
                                <w:top w:val="none" w:sz="0" w:space="0" w:color="auto"/>
                                <w:left w:val="none" w:sz="0" w:space="0" w:color="auto"/>
                                <w:bottom w:val="none" w:sz="0" w:space="0" w:color="auto"/>
                                <w:right w:val="none" w:sz="0" w:space="0" w:color="auto"/>
                              </w:divBdr>
                              <w:divsChild>
                                <w:div w:id="360477463">
                                  <w:marLeft w:val="0"/>
                                  <w:marRight w:val="0"/>
                                  <w:marTop w:val="0"/>
                                  <w:marBottom w:val="0"/>
                                  <w:divBdr>
                                    <w:top w:val="none" w:sz="0" w:space="0" w:color="auto"/>
                                    <w:left w:val="none" w:sz="0" w:space="0" w:color="auto"/>
                                    <w:bottom w:val="none" w:sz="0" w:space="0" w:color="auto"/>
                                    <w:right w:val="none" w:sz="0" w:space="0" w:color="auto"/>
                                  </w:divBdr>
                                  <w:divsChild>
                                    <w:div w:id="1287925797">
                                      <w:marLeft w:val="0"/>
                                      <w:marRight w:val="0"/>
                                      <w:marTop w:val="0"/>
                                      <w:marBottom w:val="0"/>
                                      <w:divBdr>
                                        <w:top w:val="none" w:sz="0" w:space="0" w:color="auto"/>
                                        <w:left w:val="none" w:sz="0" w:space="0" w:color="auto"/>
                                        <w:bottom w:val="none" w:sz="0" w:space="0" w:color="auto"/>
                                        <w:right w:val="none" w:sz="0" w:space="0" w:color="auto"/>
                                      </w:divBdr>
                                      <w:divsChild>
                                        <w:div w:id="2037193325">
                                          <w:marLeft w:val="0"/>
                                          <w:marRight w:val="0"/>
                                          <w:marTop w:val="0"/>
                                          <w:marBottom w:val="0"/>
                                          <w:divBdr>
                                            <w:top w:val="none" w:sz="0" w:space="0" w:color="auto"/>
                                            <w:left w:val="none" w:sz="0" w:space="0" w:color="auto"/>
                                            <w:bottom w:val="none" w:sz="0" w:space="0" w:color="auto"/>
                                            <w:right w:val="none" w:sz="0" w:space="0" w:color="auto"/>
                                          </w:divBdr>
                                          <w:divsChild>
                                            <w:div w:id="3008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855183">
      <w:bodyDiv w:val="1"/>
      <w:marLeft w:val="0"/>
      <w:marRight w:val="0"/>
      <w:marTop w:val="0"/>
      <w:marBottom w:val="0"/>
      <w:divBdr>
        <w:top w:val="none" w:sz="0" w:space="0" w:color="auto"/>
        <w:left w:val="none" w:sz="0" w:space="0" w:color="auto"/>
        <w:bottom w:val="none" w:sz="0" w:space="0" w:color="auto"/>
        <w:right w:val="none" w:sz="0" w:space="0" w:color="auto"/>
      </w:divBdr>
    </w:div>
    <w:div w:id="1252547071">
      <w:bodyDiv w:val="1"/>
      <w:marLeft w:val="0"/>
      <w:marRight w:val="0"/>
      <w:marTop w:val="0"/>
      <w:marBottom w:val="0"/>
      <w:divBdr>
        <w:top w:val="none" w:sz="0" w:space="0" w:color="auto"/>
        <w:left w:val="none" w:sz="0" w:space="0" w:color="auto"/>
        <w:bottom w:val="none" w:sz="0" w:space="0" w:color="auto"/>
        <w:right w:val="none" w:sz="0" w:space="0" w:color="auto"/>
      </w:divBdr>
    </w:div>
    <w:div w:id="1259096660">
      <w:bodyDiv w:val="1"/>
      <w:marLeft w:val="0"/>
      <w:marRight w:val="0"/>
      <w:marTop w:val="0"/>
      <w:marBottom w:val="0"/>
      <w:divBdr>
        <w:top w:val="none" w:sz="0" w:space="0" w:color="auto"/>
        <w:left w:val="none" w:sz="0" w:space="0" w:color="auto"/>
        <w:bottom w:val="none" w:sz="0" w:space="0" w:color="auto"/>
        <w:right w:val="none" w:sz="0" w:space="0" w:color="auto"/>
      </w:divBdr>
    </w:div>
    <w:div w:id="1377045287">
      <w:bodyDiv w:val="1"/>
      <w:marLeft w:val="0"/>
      <w:marRight w:val="0"/>
      <w:marTop w:val="0"/>
      <w:marBottom w:val="0"/>
      <w:divBdr>
        <w:top w:val="none" w:sz="0" w:space="0" w:color="auto"/>
        <w:left w:val="none" w:sz="0" w:space="0" w:color="auto"/>
        <w:bottom w:val="none" w:sz="0" w:space="0" w:color="auto"/>
        <w:right w:val="none" w:sz="0" w:space="0" w:color="auto"/>
      </w:divBdr>
    </w:div>
    <w:div w:id="1393892901">
      <w:bodyDiv w:val="1"/>
      <w:marLeft w:val="0"/>
      <w:marRight w:val="0"/>
      <w:marTop w:val="0"/>
      <w:marBottom w:val="0"/>
      <w:divBdr>
        <w:top w:val="none" w:sz="0" w:space="0" w:color="auto"/>
        <w:left w:val="none" w:sz="0" w:space="0" w:color="auto"/>
        <w:bottom w:val="none" w:sz="0" w:space="0" w:color="auto"/>
        <w:right w:val="none" w:sz="0" w:space="0" w:color="auto"/>
      </w:divBdr>
    </w:div>
    <w:div w:id="1411535174">
      <w:bodyDiv w:val="1"/>
      <w:marLeft w:val="0"/>
      <w:marRight w:val="0"/>
      <w:marTop w:val="0"/>
      <w:marBottom w:val="0"/>
      <w:divBdr>
        <w:top w:val="none" w:sz="0" w:space="0" w:color="auto"/>
        <w:left w:val="none" w:sz="0" w:space="0" w:color="auto"/>
        <w:bottom w:val="none" w:sz="0" w:space="0" w:color="auto"/>
        <w:right w:val="none" w:sz="0" w:space="0" w:color="auto"/>
      </w:divBdr>
    </w:div>
    <w:div w:id="1478298244">
      <w:bodyDiv w:val="1"/>
      <w:marLeft w:val="0"/>
      <w:marRight w:val="0"/>
      <w:marTop w:val="0"/>
      <w:marBottom w:val="0"/>
      <w:divBdr>
        <w:top w:val="none" w:sz="0" w:space="0" w:color="auto"/>
        <w:left w:val="none" w:sz="0" w:space="0" w:color="auto"/>
        <w:bottom w:val="none" w:sz="0" w:space="0" w:color="auto"/>
        <w:right w:val="none" w:sz="0" w:space="0" w:color="auto"/>
      </w:divBdr>
    </w:div>
    <w:div w:id="1546524457">
      <w:bodyDiv w:val="1"/>
      <w:marLeft w:val="0"/>
      <w:marRight w:val="0"/>
      <w:marTop w:val="0"/>
      <w:marBottom w:val="0"/>
      <w:divBdr>
        <w:top w:val="none" w:sz="0" w:space="0" w:color="auto"/>
        <w:left w:val="none" w:sz="0" w:space="0" w:color="auto"/>
        <w:bottom w:val="none" w:sz="0" w:space="0" w:color="auto"/>
        <w:right w:val="none" w:sz="0" w:space="0" w:color="auto"/>
      </w:divBdr>
    </w:div>
    <w:div w:id="1594896862">
      <w:bodyDiv w:val="1"/>
      <w:marLeft w:val="0"/>
      <w:marRight w:val="0"/>
      <w:marTop w:val="0"/>
      <w:marBottom w:val="0"/>
      <w:divBdr>
        <w:top w:val="none" w:sz="0" w:space="0" w:color="auto"/>
        <w:left w:val="none" w:sz="0" w:space="0" w:color="auto"/>
        <w:bottom w:val="none" w:sz="0" w:space="0" w:color="auto"/>
        <w:right w:val="none" w:sz="0" w:space="0" w:color="auto"/>
      </w:divBdr>
    </w:div>
    <w:div w:id="1646007526">
      <w:bodyDiv w:val="1"/>
      <w:marLeft w:val="0"/>
      <w:marRight w:val="0"/>
      <w:marTop w:val="0"/>
      <w:marBottom w:val="0"/>
      <w:divBdr>
        <w:top w:val="none" w:sz="0" w:space="0" w:color="auto"/>
        <w:left w:val="none" w:sz="0" w:space="0" w:color="auto"/>
        <w:bottom w:val="none" w:sz="0" w:space="0" w:color="auto"/>
        <w:right w:val="none" w:sz="0" w:space="0" w:color="auto"/>
      </w:divBdr>
    </w:div>
    <w:div w:id="1767001725">
      <w:bodyDiv w:val="1"/>
      <w:marLeft w:val="0"/>
      <w:marRight w:val="0"/>
      <w:marTop w:val="0"/>
      <w:marBottom w:val="0"/>
      <w:divBdr>
        <w:top w:val="none" w:sz="0" w:space="0" w:color="auto"/>
        <w:left w:val="none" w:sz="0" w:space="0" w:color="auto"/>
        <w:bottom w:val="none" w:sz="0" w:space="0" w:color="auto"/>
        <w:right w:val="none" w:sz="0" w:space="0" w:color="auto"/>
      </w:divBdr>
    </w:div>
    <w:div w:id="1778672284">
      <w:bodyDiv w:val="1"/>
      <w:marLeft w:val="0"/>
      <w:marRight w:val="0"/>
      <w:marTop w:val="0"/>
      <w:marBottom w:val="0"/>
      <w:divBdr>
        <w:top w:val="none" w:sz="0" w:space="0" w:color="auto"/>
        <w:left w:val="none" w:sz="0" w:space="0" w:color="auto"/>
        <w:bottom w:val="none" w:sz="0" w:space="0" w:color="auto"/>
        <w:right w:val="none" w:sz="0" w:space="0" w:color="auto"/>
      </w:divBdr>
    </w:div>
    <w:div w:id="1799640689">
      <w:bodyDiv w:val="1"/>
      <w:marLeft w:val="0"/>
      <w:marRight w:val="0"/>
      <w:marTop w:val="0"/>
      <w:marBottom w:val="0"/>
      <w:divBdr>
        <w:top w:val="none" w:sz="0" w:space="0" w:color="auto"/>
        <w:left w:val="none" w:sz="0" w:space="0" w:color="auto"/>
        <w:bottom w:val="none" w:sz="0" w:space="0" w:color="auto"/>
        <w:right w:val="none" w:sz="0" w:space="0" w:color="auto"/>
      </w:divBdr>
    </w:div>
    <w:div w:id="1835534296">
      <w:bodyDiv w:val="1"/>
      <w:marLeft w:val="0"/>
      <w:marRight w:val="0"/>
      <w:marTop w:val="0"/>
      <w:marBottom w:val="0"/>
      <w:divBdr>
        <w:top w:val="none" w:sz="0" w:space="0" w:color="auto"/>
        <w:left w:val="none" w:sz="0" w:space="0" w:color="auto"/>
        <w:bottom w:val="none" w:sz="0" w:space="0" w:color="auto"/>
        <w:right w:val="none" w:sz="0" w:space="0" w:color="auto"/>
      </w:divBdr>
    </w:div>
    <w:div w:id="2029480165">
      <w:bodyDiv w:val="1"/>
      <w:marLeft w:val="0"/>
      <w:marRight w:val="0"/>
      <w:marTop w:val="0"/>
      <w:marBottom w:val="0"/>
      <w:divBdr>
        <w:top w:val="none" w:sz="0" w:space="0" w:color="auto"/>
        <w:left w:val="none" w:sz="0" w:space="0" w:color="auto"/>
        <w:bottom w:val="none" w:sz="0" w:space="0" w:color="auto"/>
        <w:right w:val="none" w:sz="0" w:space="0" w:color="auto"/>
      </w:divBdr>
      <w:divsChild>
        <w:div w:id="163559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601489">
      <w:bodyDiv w:val="1"/>
      <w:marLeft w:val="0"/>
      <w:marRight w:val="0"/>
      <w:marTop w:val="0"/>
      <w:marBottom w:val="0"/>
      <w:divBdr>
        <w:top w:val="none" w:sz="0" w:space="0" w:color="auto"/>
        <w:left w:val="none" w:sz="0" w:space="0" w:color="auto"/>
        <w:bottom w:val="none" w:sz="0" w:space="0" w:color="auto"/>
        <w:right w:val="none" w:sz="0" w:space="0" w:color="auto"/>
      </w:divBdr>
    </w:div>
    <w:div w:id="208668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fontTable" Target="fontTable.xml"/><Relationship Id="rId10" Type="http://schemas.openxmlformats.org/officeDocument/2006/relationships/chart" Target="charts/chart4.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leidy\Downloads\Morbilidad%20Cie10%202025%20R2%20(1).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1" i="0" u="none" strike="noStrike" kern="1200" cap="none" spc="20" baseline="0">
                <a:solidFill>
                  <a:schemeClr val="accent6">
                    <a:lumMod val="50000"/>
                  </a:schemeClr>
                </a:solidFill>
                <a:latin typeface="+mn-lt"/>
                <a:ea typeface="+mn-ea"/>
                <a:cs typeface="+mn-cs"/>
              </a:defRPr>
            </a:pPr>
            <a:r>
              <a:rPr lang="es-CO" b="1">
                <a:solidFill>
                  <a:schemeClr val="accent6">
                    <a:lumMod val="50000"/>
                  </a:schemeClr>
                </a:solidFill>
              </a:rPr>
              <a:t>TOP 10: CÓDIGOS CIE -10 GENERAL </a:t>
            </a:r>
          </a:p>
        </c:rich>
      </c:tx>
      <c:overlay val="0"/>
      <c:spPr>
        <a:noFill/>
        <a:ln>
          <a:noFill/>
        </a:ln>
        <a:effectLst/>
      </c:spPr>
      <c:txPr>
        <a:bodyPr rot="0" spcFirstLastPara="1" vertOverflow="ellipsis" vert="horz" wrap="square" anchor="ctr" anchorCtr="1"/>
        <a:lstStyle/>
        <a:p>
          <a:pPr>
            <a:defRPr sz="1400" b="1" i="0" u="none" strike="noStrike" kern="1200" cap="none" spc="2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GENERAL!$C$3:$D$12</c:f>
              <c:multiLvlStrCache>
                <c:ptCount val="10"/>
                <c:lvl>
                  <c:pt idx="0">
                    <c:v>HIPERTENSION ESENCIAL (PRIMARIA)</c:v>
                  </c:pt>
                  <c:pt idx="1">
                    <c:v>HIPERPLASIA DE LA PROSTATA</c:v>
                  </c:pt>
                  <c:pt idx="2">
                    <c:v>SOSPECHA DE GLAUCOMA</c:v>
                  </c:pt>
                  <c:pt idx="3">
                    <c:v>LUMBAGO NO ESPECIFICADO</c:v>
                  </c:pt>
                  <c:pt idx="4">
                    <c:v>INSUFICIENCIA VENOSA (CRONICA) (PERIFERICA)</c:v>
                  </c:pt>
                  <c:pt idx="5">
                    <c:v>DIABETES MELLITUS NO INSULINODEPENDIENTE, SIN MENCION DE COMPLICACION</c:v>
                  </c:pt>
                  <c:pt idx="6">
                    <c:v>HIPOTIROIDISMO, NO ESPECIFICADO</c:v>
                  </c:pt>
                  <c:pt idx="7">
                    <c:v>GASTROENTERITIS Y COLITIS DE ORIGEN NO ESPECIFICADO</c:v>
                  </c:pt>
                  <c:pt idx="8">
                    <c:v>CARDIOMIOPATIA ISQUEMICA</c:v>
                  </c:pt>
                  <c:pt idx="9">
                    <c:v>RINOFARINGITIS AGUDA [RESFRIADO COMUN]</c:v>
                  </c:pt>
                </c:lvl>
                <c:lvl>
                  <c:pt idx="0">
                    <c:v>I10X</c:v>
                  </c:pt>
                  <c:pt idx="1">
                    <c:v>N40X</c:v>
                  </c:pt>
                  <c:pt idx="2">
                    <c:v>H400</c:v>
                  </c:pt>
                  <c:pt idx="3">
                    <c:v>M545</c:v>
                  </c:pt>
                  <c:pt idx="4">
                    <c:v>I872</c:v>
                  </c:pt>
                  <c:pt idx="5">
                    <c:v>E119</c:v>
                  </c:pt>
                  <c:pt idx="6">
                    <c:v>E039</c:v>
                  </c:pt>
                  <c:pt idx="7">
                    <c:v>A099</c:v>
                  </c:pt>
                  <c:pt idx="8">
                    <c:v>I255</c:v>
                  </c:pt>
                  <c:pt idx="9">
                    <c:v>J00X</c:v>
                  </c:pt>
                </c:lvl>
              </c:multiLvlStrCache>
            </c:multiLvlStrRef>
          </c:cat>
          <c:val>
            <c:numRef>
              <c:f>GENERAL!$E$3:$E$12</c:f>
              <c:numCache>
                <c:formatCode>General</c:formatCode>
                <c:ptCount val="10"/>
                <c:pt idx="0">
                  <c:v>9223</c:v>
                </c:pt>
                <c:pt idx="1">
                  <c:v>2805</c:v>
                </c:pt>
                <c:pt idx="2">
                  <c:v>2065</c:v>
                </c:pt>
                <c:pt idx="3">
                  <c:v>1958</c:v>
                </c:pt>
                <c:pt idx="4">
                  <c:v>1618</c:v>
                </c:pt>
                <c:pt idx="5">
                  <c:v>1540</c:v>
                </c:pt>
                <c:pt idx="6">
                  <c:v>1328</c:v>
                </c:pt>
                <c:pt idx="7">
                  <c:v>1044</c:v>
                </c:pt>
                <c:pt idx="8">
                  <c:v>1034</c:v>
                </c:pt>
                <c:pt idx="9">
                  <c:v>1022</c:v>
                </c:pt>
              </c:numCache>
            </c:numRef>
          </c:val>
          <c:extLst>
            <c:ext xmlns:c16="http://schemas.microsoft.com/office/drawing/2014/chart" uri="{C3380CC4-5D6E-409C-BE32-E72D297353CC}">
              <c16:uniqueId val="{00000000-1CF5-4C8C-91C6-1C8EB6C8271C}"/>
            </c:ext>
          </c:extLst>
        </c:ser>
        <c:dLbls>
          <c:dLblPos val="outEnd"/>
          <c:showLegendKey val="0"/>
          <c:showVal val="1"/>
          <c:showCatName val="0"/>
          <c:showSerName val="0"/>
          <c:showPercent val="0"/>
          <c:showBubbleSize val="0"/>
        </c:dLbls>
        <c:gapWidth val="100"/>
        <c:axId val="211965456"/>
        <c:axId val="211965872"/>
      </c:barChart>
      <c:catAx>
        <c:axId val="2119654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accent6">
                    <a:lumMod val="50000"/>
                  </a:schemeClr>
                </a:solidFill>
                <a:latin typeface="+mn-lt"/>
                <a:ea typeface="+mn-ea"/>
                <a:cs typeface="+mn-cs"/>
              </a:defRPr>
            </a:pPr>
            <a:endParaRPr lang="es-CO"/>
          </a:p>
        </c:txPr>
        <c:crossAx val="211965872"/>
        <c:crosses val="autoZero"/>
        <c:auto val="1"/>
        <c:lblAlgn val="ctr"/>
        <c:lblOffset val="100"/>
        <c:noMultiLvlLbl val="0"/>
      </c:catAx>
      <c:valAx>
        <c:axId val="2119658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crossAx val="2119654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alpha val="86000"/>
      </a:schemeClr>
    </a:solidFill>
    <a:ln w="9525" cap="flat" cmpd="sng" algn="ctr">
      <a:solidFill>
        <a:schemeClr val="accent6">
          <a:lumMod val="50000"/>
          <a:alpha val="99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rgbClr val="002060"/>
                </a:solidFill>
                <a:latin typeface="+mn-lt"/>
                <a:ea typeface="+mn-ea"/>
                <a:cs typeface="+mn-cs"/>
              </a:defRPr>
            </a:pPr>
            <a:r>
              <a:rPr lang="es-CO" sz="1200" b="1"/>
              <a:t>TOP 10: CONDICIONES PERFIL DE MORBILIDAD GENERAL</a:t>
            </a:r>
          </a:p>
        </c:rich>
      </c:tx>
      <c:overlay val="0"/>
      <c:spPr>
        <a:noFill/>
        <a:ln>
          <a:noFill/>
        </a:ln>
        <a:effectLst/>
      </c:spPr>
      <c:txPr>
        <a:bodyPr rot="0" spcFirstLastPara="1" vertOverflow="ellipsis" vert="horz" wrap="square" anchor="ctr" anchorCtr="1"/>
        <a:lstStyle/>
        <a:p>
          <a:pPr>
            <a:defRPr sz="1400" b="0" i="0" u="none" strike="noStrike" kern="1200" spc="0" baseline="0">
              <a:solidFill>
                <a:srgbClr val="002060"/>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2060"/>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GENERAL!$G$3:$H$12</c:f>
              <c:multiLvlStrCache>
                <c:ptCount val="10"/>
                <c:lvl>
                  <c:pt idx="0">
                    <c:v>HIPERTENSION ARTERIAL ESENCIAL </c:v>
                  </c:pt>
                  <c:pt idx="1">
                    <c:v>DIABETES MELLITUS </c:v>
                  </c:pt>
                  <c:pt idx="2">
                    <c:v>HIPERPLASIA DE LA PROSTATA</c:v>
                  </c:pt>
                  <c:pt idx="3">
                    <c:v>IRA- VÍA AÉREA SUPERIOR</c:v>
                  </c:pt>
                  <c:pt idx="4">
                    <c:v>LUMBAGO</c:v>
                  </c:pt>
                  <c:pt idx="5">
                    <c:v>GASTROENTERITIS Y COLITIS</c:v>
                  </c:pt>
                  <c:pt idx="6">
                    <c:v>INSUFICIENCIA VENOSA (CRONICA) (PERIFERICA)</c:v>
                  </c:pt>
                  <c:pt idx="7">
                    <c:v>HIPOTIROIDISMO</c:v>
                  </c:pt>
                  <c:pt idx="8">
                    <c:v>CARDIOMIOPATIA ISQUEMICA</c:v>
                  </c:pt>
                  <c:pt idx="9">
                    <c:v>INFECCION DE VIAS URINARIAS, SITIO NO ESPECIFICADO</c:v>
                  </c:pt>
                </c:lvl>
                <c:lvl>
                  <c:pt idx="0">
                    <c:v>1</c:v>
                  </c:pt>
                  <c:pt idx="1">
                    <c:v>2</c:v>
                  </c:pt>
                  <c:pt idx="2">
                    <c:v>3</c:v>
                  </c:pt>
                  <c:pt idx="3">
                    <c:v>4</c:v>
                  </c:pt>
                  <c:pt idx="4">
                    <c:v>5</c:v>
                  </c:pt>
                  <c:pt idx="5">
                    <c:v>6</c:v>
                  </c:pt>
                  <c:pt idx="6">
                    <c:v>7</c:v>
                  </c:pt>
                  <c:pt idx="7">
                    <c:v>8</c:v>
                  </c:pt>
                  <c:pt idx="8">
                    <c:v>9</c:v>
                  </c:pt>
                  <c:pt idx="9">
                    <c:v>10</c:v>
                  </c:pt>
                </c:lvl>
              </c:multiLvlStrCache>
            </c:multiLvlStrRef>
          </c:cat>
          <c:val>
            <c:numRef>
              <c:f>GENERAL!$I$3:$I$12</c:f>
              <c:numCache>
                <c:formatCode>General</c:formatCode>
                <c:ptCount val="10"/>
                <c:pt idx="0">
                  <c:v>9223</c:v>
                </c:pt>
                <c:pt idx="1">
                  <c:v>3743</c:v>
                </c:pt>
                <c:pt idx="2">
                  <c:v>2805</c:v>
                </c:pt>
                <c:pt idx="3">
                  <c:v>2401</c:v>
                </c:pt>
                <c:pt idx="4">
                  <c:v>2376</c:v>
                </c:pt>
                <c:pt idx="5">
                  <c:v>2175</c:v>
                </c:pt>
                <c:pt idx="6">
                  <c:v>1618</c:v>
                </c:pt>
                <c:pt idx="7">
                  <c:v>1516</c:v>
                </c:pt>
                <c:pt idx="8">
                  <c:v>1034</c:v>
                </c:pt>
                <c:pt idx="9">
                  <c:v>884</c:v>
                </c:pt>
              </c:numCache>
            </c:numRef>
          </c:val>
          <c:extLst>
            <c:ext xmlns:c16="http://schemas.microsoft.com/office/drawing/2014/chart" uri="{C3380CC4-5D6E-409C-BE32-E72D297353CC}">
              <c16:uniqueId val="{00000000-FDC1-43F1-89E9-6D836F3ABF38}"/>
            </c:ext>
          </c:extLst>
        </c:ser>
        <c:dLbls>
          <c:dLblPos val="outEnd"/>
          <c:showLegendKey val="0"/>
          <c:showVal val="1"/>
          <c:showCatName val="0"/>
          <c:showSerName val="0"/>
          <c:showPercent val="0"/>
          <c:showBubbleSize val="0"/>
        </c:dLbls>
        <c:gapWidth val="182"/>
        <c:axId val="215531136"/>
        <c:axId val="215533632"/>
      </c:barChart>
      <c:catAx>
        <c:axId val="2155311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rgbClr val="002060"/>
                </a:solidFill>
                <a:latin typeface="+mn-lt"/>
                <a:ea typeface="+mn-ea"/>
                <a:cs typeface="+mn-cs"/>
              </a:defRPr>
            </a:pPr>
            <a:endParaRPr lang="es-CO"/>
          </a:p>
        </c:txPr>
        <c:crossAx val="215533632"/>
        <c:crosses val="autoZero"/>
        <c:auto val="1"/>
        <c:lblAlgn val="ctr"/>
        <c:lblOffset val="100"/>
        <c:noMultiLvlLbl val="0"/>
      </c:catAx>
      <c:valAx>
        <c:axId val="215533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crossAx val="215531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tx2">
        <a:lumMod val="10000"/>
        <a:lumOff val="90000"/>
        <a:alpha val="81000"/>
      </a:schemeClr>
    </a:solidFill>
    <a:ln w="9525" cap="flat" cmpd="sng" algn="ctr">
      <a:solidFill>
        <a:srgbClr val="002060">
          <a:alpha val="97000"/>
        </a:srgbClr>
      </a:solidFill>
      <a:round/>
    </a:ln>
    <a:effectLst/>
  </c:spPr>
  <c:txPr>
    <a:bodyPr/>
    <a:lstStyle/>
    <a:p>
      <a:pPr>
        <a:defRPr>
          <a:solidFill>
            <a:srgbClr val="002060"/>
          </a:solidFill>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600" b="1" i="0" u="none" strike="noStrike" kern="1200" baseline="0">
                <a:solidFill>
                  <a:schemeClr val="accent6">
                    <a:lumMod val="50000"/>
                  </a:schemeClr>
                </a:solidFill>
                <a:latin typeface="+mn-lt"/>
                <a:ea typeface="+mn-ea"/>
                <a:cs typeface="+mn-cs"/>
              </a:defRPr>
            </a:pPr>
            <a:r>
              <a:rPr lang="es-CO" sz="1400"/>
              <a:t>TOP 10: Códigos CIE 10 CONSULTA</a:t>
            </a:r>
            <a:r>
              <a:rPr lang="es-CO" sz="1400" baseline="0"/>
              <a:t> EXTERNA</a:t>
            </a:r>
            <a:endParaRPr lang="es-CO" sz="1400"/>
          </a:p>
        </c:rich>
      </c:tx>
      <c:overlay val="0"/>
      <c:spPr>
        <a:noFill/>
        <a:ln>
          <a:noFill/>
        </a:ln>
        <a:effectLst/>
      </c:spPr>
      <c:txPr>
        <a:bodyPr rot="0" spcFirstLastPara="1" vertOverflow="ellipsis" vert="horz" wrap="square" anchor="ctr" anchorCtr="1"/>
        <a:lstStyle/>
        <a:p>
          <a:pPr>
            <a:defRPr sz="1600" b="1" i="0" u="none" strike="noStrike" kern="120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'CONSULTA EXTERNA'!$G$4:$H$13</c:f>
              <c:multiLvlStrCache>
                <c:ptCount val="10"/>
                <c:lvl>
                  <c:pt idx="0">
                    <c:v>HIPERTENSION ESENCIAL (PRIMARIA)</c:v>
                  </c:pt>
                  <c:pt idx="1">
                    <c:v>HIPERPLASIA DE LA PROSTATA</c:v>
                  </c:pt>
                  <c:pt idx="2">
                    <c:v>SOSPECHA DE GLAUCOMA</c:v>
                  </c:pt>
                  <c:pt idx="3">
                    <c:v>DIABETES MELLITUS NO INSULINODEPENDIENTE, SIN MENCION DE COMPLICACION</c:v>
                  </c:pt>
                  <c:pt idx="4">
                    <c:v>INSUFICIENCIA VENOSA (CRONICA) (PERIFERICA)</c:v>
                  </c:pt>
                  <c:pt idx="5">
                    <c:v>HIPOTIROIDISMO, NO ESPECIFICADO</c:v>
                  </c:pt>
                  <c:pt idx="6">
                    <c:v>LUMBAGO NO ESPECIFICADO</c:v>
                  </c:pt>
                  <c:pt idx="7">
                    <c:v>CARDIOMIOPATIA ISQUEMICA</c:v>
                  </c:pt>
                  <c:pt idx="8">
                    <c:v>GONARTROSIS PRIMARIA, BILATERAL</c:v>
                  </c:pt>
                  <c:pt idx="9">
                    <c:v>TRASTORNO MIXTO DE ANSIEDAD Y DEPRESION</c:v>
                  </c:pt>
                </c:lvl>
                <c:lvl>
                  <c:pt idx="0">
                    <c:v>I10X</c:v>
                  </c:pt>
                  <c:pt idx="1">
                    <c:v>N40X</c:v>
                  </c:pt>
                  <c:pt idx="2">
                    <c:v>H400</c:v>
                  </c:pt>
                  <c:pt idx="3">
                    <c:v>E119</c:v>
                  </c:pt>
                  <c:pt idx="4">
                    <c:v>I872</c:v>
                  </c:pt>
                  <c:pt idx="5">
                    <c:v>E039</c:v>
                  </c:pt>
                  <c:pt idx="6">
                    <c:v>M545</c:v>
                  </c:pt>
                  <c:pt idx="7">
                    <c:v>I255</c:v>
                  </c:pt>
                  <c:pt idx="8">
                    <c:v>M170</c:v>
                  </c:pt>
                  <c:pt idx="9">
                    <c:v>F412</c:v>
                  </c:pt>
                </c:lvl>
              </c:multiLvlStrCache>
            </c:multiLvlStrRef>
          </c:cat>
          <c:val>
            <c:numRef>
              <c:f>'CONSULTA EXTERNA'!$I$4:$I$13</c:f>
              <c:numCache>
                <c:formatCode>General</c:formatCode>
                <c:ptCount val="10"/>
                <c:pt idx="0">
                  <c:v>8464</c:v>
                </c:pt>
                <c:pt idx="1">
                  <c:v>2405</c:v>
                </c:pt>
                <c:pt idx="2">
                  <c:v>2059</c:v>
                </c:pt>
                <c:pt idx="3">
                  <c:v>1487</c:v>
                </c:pt>
                <c:pt idx="4">
                  <c:v>1445</c:v>
                </c:pt>
                <c:pt idx="5">
                  <c:v>1284</c:v>
                </c:pt>
                <c:pt idx="6">
                  <c:v>1271</c:v>
                </c:pt>
                <c:pt idx="7">
                  <c:v>966</c:v>
                </c:pt>
                <c:pt idx="8">
                  <c:v>773</c:v>
                </c:pt>
                <c:pt idx="9">
                  <c:v>685</c:v>
                </c:pt>
              </c:numCache>
            </c:numRef>
          </c:val>
          <c:extLst>
            <c:ext xmlns:c16="http://schemas.microsoft.com/office/drawing/2014/chart" uri="{C3380CC4-5D6E-409C-BE32-E72D297353CC}">
              <c16:uniqueId val="{00000000-FF45-4142-B331-93E733CD37AF}"/>
            </c:ext>
          </c:extLst>
        </c:ser>
        <c:dLbls>
          <c:dLblPos val="outEnd"/>
          <c:showLegendKey val="0"/>
          <c:showVal val="1"/>
          <c:showCatName val="0"/>
          <c:showSerName val="0"/>
          <c:showPercent val="0"/>
          <c:showBubbleSize val="0"/>
        </c:dLbls>
        <c:gapWidth val="100"/>
        <c:axId val="215542784"/>
        <c:axId val="215543200"/>
      </c:barChart>
      <c:catAx>
        <c:axId val="215542784"/>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accent6">
                    <a:lumMod val="50000"/>
                  </a:schemeClr>
                </a:solidFill>
                <a:latin typeface="+mn-lt"/>
                <a:ea typeface="+mn-ea"/>
                <a:cs typeface="+mn-cs"/>
              </a:defRPr>
            </a:pPr>
            <a:endParaRPr lang="es-CO"/>
          </a:p>
        </c:txPr>
        <c:crossAx val="215543200"/>
        <c:crosses val="autoZero"/>
        <c:auto val="1"/>
        <c:lblAlgn val="ctr"/>
        <c:lblOffset val="100"/>
        <c:noMultiLvlLbl val="0"/>
      </c:catAx>
      <c:valAx>
        <c:axId val="215543200"/>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215542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alpha val="84000"/>
      </a:schemeClr>
    </a:solidFill>
    <a:ln w="9525" cap="flat" cmpd="sng" algn="ctr">
      <a:solidFill>
        <a:schemeClr val="accent6">
          <a:lumMod val="50000"/>
          <a:alpha val="99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r>
              <a:rPr lang="es-CO" sz="1200" b="1"/>
              <a:t>TOP 10: PATOLOGÍAS PREVALENTES CONSULTA</a:t>
            </a:r>
            <a:r>
              <a:rPr lang="es-CO" sz="1200" b="1" baseline="0"/>
              <a:t> EXTERNA</a:t>
            </a:r>
            <a:endParaRPr lang="es-CO" sz="1200" b="1"/>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'CONSULTA EXTERNA'!$G$17:$H$26</c:f>
              <c:multiLvlStrCache>
                <c:ptCount val="10"/>
                <c:lvl>
                  <c:pt idx="0">
                    <c:v>HIPERTENSION ESENCIAL (PRIMARIA)</c:v>
                  </c:pt>
                  <c:pt idx="1">
                    <c:v>DIABETES MELLITUS</c:v>
                  </c:pt>
                  <c:pt idx="2">
                    <c:v>HIPERPLASIA DE LA PROSTATA</c:v>
                  </c:pt>
                  <c:pt idx="3">
                    <c:v>LUMBAGO</c:v>
                  </c:pt>
                  <c:pt idx="4">
                    <c:v>HIPOTIROIDISMO</c:v>
                  </c:pt>
                  <c:pt idx="5">
                    <c:v>INSUFICIENCIA VENOSA (CRONICA) (PERIFERICA)</c:v>
                  </c:pt>
                  <c:pt idx="6">
                    <c:v>GONARTROSIS PRIMARIA</c:v>
                  </c:pt>
                  <c:pt idx="7">
                    <c:v>CARDIOMIOPATIA ISQUEMICA</c:v>
                  </c:pt>
                  <c:pt idx="8">
                    <c:v>OBESIDAD</c:v>
                  </c:pt>
                  <c:pt idx="9">
                    <c:v>TRASTORNO MIXTO DE ANSIEDAD Y DEPRESION</c:v>
                  </c:pt>
                </c:lvl>
                <c:lvl>
                  <c:pt idx="0">
                    <c:v>1</c:v>
                  </c:pt>
                  <c:pt idx="1">
                    <c:v>2</c:v>
                  </c:pt>
                  <c:pt idx="2">
                    <c:v>3</c:v>
                  </c:pt>
                  <c:pt idx="3">
                    <c:v>4</c:v>
                  </c:pt>
                  <c:pt idx="4">
                    <c:v>5</c:v>
                  </c:pt>
                  <c:pt idx="5">
                    <c:v>6</c:v>
                  </c:pt>
                  <c:pt idx="6">
                    <c:v>7</c:v>
                  </c:pt>
                  <c:pt idx="7">
                    <c:v>8</c:v>
                  </c:pt>
                  <c:pt idx="8">
                    <c:v>9</c:v>
                  </c:pt>
                  <c:pt idx="9">
                    <c:v>10</c:v>
                  </c:pt>
                </c:lvl>
              </c:multiLvlStrCache>
            </c:multiLvlStrRef>
          </c:cat>
          <c:val>
            <c:numRef>
              <c:f>'CONSULTA EXTERNA'!$I$17:$I$26</c:f>
              <c:numCache>
                <c:formatCode>General</c:formatCode>
                <c:ptCount val="10"/>
                <c:pt idx="0">
                  <c:v>8464</c:v>
                </c:pt>
                <c:pt idx="1">
                  <c:v>3305</c:v>
                </c:pt>
                <c:pt idx="2">
                  <c:v>2405</c:v>
                </c:pt>
                <c:pt idx="3">
                  <c:v>1538</c:v>
                </c:pt>
                <c:pt idx="4">
                  <c:v>1467</c:v>
                </c:pt>
                <c:pt idx="5">
                  <c:v>1445</c:v>
                </c:pt>
                <c:pt idx="6">
                  <c:v>1260</c:v>
                </c:pt>
                <c:pt idx="7">
                  <c:v>966</c:v>
                </c:pt>
                <c:pt idx="8">
                  <c:v>768</c:v>
                </c:pt>
                <c:pt idx="9">
                  <c:v>685</c:v>
                </c:pt>
              </c:numCache>
            </c:numRef>
          </c:val>
          <c:extLst>
            <c:ext xmlns:c16="http://schemas.microsoft.com/office/drawing/2014/chart" uri="{C3380CC4-5D6E-409C-BE32-E72D297353CC}">
              <c16:uniqueId val="{00000000-E54B-4235-88B3-7A43B815C98A}"/>
            </c:ext>
          </c:extLst>
        </c:ser>
        <c:dLbls>
          <c:dLblPos val="outEnd"/>
          <c:showLegendKey val="0"/>
          <c:showVal val="1"/>
          <c:showCatName val="0"/>
          <c:showSerName val="0"/>
          <c:showPercent val="0"/>
          <c:showBubbleSize val="0"/>
        </c:dLbls>
        <c:gapWidth val="182"/>
        <c:axId val="361648160"/>
        <c:axId val="361648576"/>
      </c:barChart>
      <c:catAx>
        <c:axId val="3616481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rgbClr val="002060"/>
                </a:solidFill>
                <a:latin typeface="+mn-lt"/>
                <a:ea typeface="+mn-ea"/>
                <a:cs typeface="+mn-cs"/>
              </a:defRPr>
            </a:pPr>
            <a:endParaRPr lang="es-CO"/>
          </a:p>
        </c:txPr>
        <c:crossAx val="361648576"/>
        <c:crosses val="autoZero"/>
        <c:auto val="1"/>
        <c:lblAlgn val="ctr"/>
        <c:lblOffset val="100"/>
        <c:noMultiLvlLbl val="0"/>
      </c:catAx>
      <c:valAx>
        <c:axId val="361648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crossAx val="3616481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tx2">
        <a:lumMod val="10000"/>
        <a:lumOff val="90000"/>
        <a:alpha val="82000"/>
      </a:schemeClr>
    </a:solidFill>
    <a:ln w="9525" cap="flat" cmpd="sng" algn="ctr">
      <a:solidFill>
        <a:srgbClr val="002060"/>
      </a:solidFill>
      <a:round/>
    </a:ln>
    <a:effectLst/>
  </c:spPr>
  <c:txPr>
    <a:bodyPr/>
    <a:lstStyle/>
    <a:p>
      <a:pPr>
        <a:defRPr>
          <a:solidFill>
            <a:srgbClr val="002060"/>
          </a:solidFill>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1" i="0" u="none" strike="noStrike" kern="1200" spc="0" baseline="0">
                <a:solidFill>
                  <a:schemeClr val="accent6">
                    <a:lumMod val="50000"/>
                  </a:schemeClr>
                </a:solidFill>
                <a:latin typeface="+mn-lt"/>
                <a:ea typeface="+mn-ea"/>
                <a:cs typeface="+mn-cs"/>
              </a:defRPr>
            </a:pPr>
            <a:r>
              <a:rPr lang="es-CO" b="1"/>
              <a:t>TOP 10: CÓDIGOS</a:t>
            </a:r>
            <a:r>
              <a:rPr lang="es-CO" b="1" baseline="0"/>
              <a:t> CIE- 10 URGENCIAS</a:t>
            </a:r>
            <a:endParaRPr lang="es-CO"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URGENCIAS!$G$4:$H$13</c:f>
              <c:multiLvlStrCache>
                <c:ptCount val="10"/>
                <c:lvl>
                  <c:pt idx="0">
                    <c:v>GASTROENTERITIS Y COLITIS DE ORIGEN NO ESPECIFICADO</c:v>
                  </c:pt>
                  <c:pt idx="1">
                    <c:v>RINOFARINGITIS AGUDA [RESFRIADO COMUN]</c:v>
                  </c:pt>
                  <c:pt idx="2">
                    <c:v>OTRAS GASTROENTERITIS Y COLITIS DE ORIGEN INFECCIOSO</c:v>
                  </c:pt>
                  <c:pt idx="3">
                    <c:v>INFECCION VIRAL, NO ESPECIFICADA</c:v>
                  </c:pt>
                  <c:pt idx="4">
                    <c:v>LUMBAGO NO ESPECIFICADO</c:v>
                  </c:pt>
                  <c:pt idx="5">
                    <c:v>INFECCION AGUDA DE LAS VIAS RESPIRATORIAS SUPERIORES, NO ESPECIFICADA</c:v>
                  </c:pt>
                  <c:pt idx="6">
                    <c:v>HIPERTENSION ESENCIAL (PRIMARIA)</c:v>
                  </c:pt>
                  <c:pt idx="7">
                    <c:v>INFECCION DE VIAS URINARIAS, SITIO NO ESPECIFICADO</c:v>
                  </c:pt>
                  <c:pt idx="8">
                    <c:v>OTROS SINDROMES DE CEFALEA ESPECIFICADOS</c:v>
                  </c:pt>
                  <c:pt idx="9">
                    <c:v>AMIGDALITIS AGUDA, NO ESPECIFICADA</c:v>
                  </c:pt>
                </c:lvl>
                <c:lvl>
                  <c:pt idx="0">
                    <c:v>A099</c:v>
                  </c:pt>
                  <c:pt idx="1">
                    <c:v>J00X</c:v>
                  </c:pt>
                  <c:pt idx="2">
                    <c:v>A090</c:v>
                  </c:pt>
                  <c:pt idx="3">
                    <c:v>B349</c:v>
                  </c:pt>
                  <c:pt idx="4">
                    <c:v>M545</c:v>
                  </c:pt>
                  <c:pt idx="5">
                    <c:v>J069</c:v>
                  </c:pt>
                  <c:pt idx="6">
                    <c:v>I10X</c:v>
                  </c:pt>
                  <c:pt idx="7">
                    <c:v>N390</c:v>
                  </c:pt>
                  <c:pt idx="8">
                    <c:v>G448</c:v>
                  </c:pt>
                  <c:pt idx="9">
                    <c:v>J039</c:v>
                  </c:pt>
                </c:lvl>
              </c:multiLvlStrCache>
            </c:multiLvlStrRef>
          </c:cat>
          <c:val>
            <c:numRef>
              <c:f>URGENCIAS!$I$4:$I$13</c:f>
              <c:numCache>
                <c:formatCode>General</c:formatCode>
                <c:ptCount val="10"/>
                <c:pt idx="0">
                  <c:v>786</c:v>
                </c:pt>
                <c:pt idx="1">
                  <c:v>759</c:v>
                </c:pt>
                <c:pt idx="2">
                  <c:v>729</c:v>
                </c:pt>
                <c:pt idx="3">
                  <c:v>726</c:v>
                </c:pt>
                <c:pt idx="4">
                  <c:v>603</c:v>
                </c:pt>
                <c:pt idx="5">
                  <c:v>584</c:v>
                </c:pt>
                <c:pt idx="6">
                  <c:v>528</c:v>
                </c:pt>
                <c:pt idx="7">
                  <c:v>444</c:v>
                </c:pt>
                <c:pt idx="8">
                  <c:v>374</c:v>
                </c:pt>
                <c:pt idx="9">
                  <c:v>352</c:v>
                </c:pt>
              </c:numCache>
            </c:numRef>
          </c:val>
          <c:extLst>
            <c:ext xmlns:c16="http://schemas.microsoft.com/office/drawing/2014/chart" uri="{C3380CC4-5D6E-409C-BE32-E72D297353CC}">
              <c16:uniqueId val="{00000000-EBCD-4B34-9FFA-4538F7B96963}"/>
            </c:ext>
          </c:extLst>
        </c:ser>
        <c:dLbls>
          <c:dLblPos val="outEnd"/>
          <c:showLegendKey val="0"/>
          <c:showVal val="1"/>
          <c:showCatName val="0"/>
          <c:showSerName val="0"/>
          <c:showPercent val="0"/>
          <c:showBubbleSize val="0"/>
        </c:dLbls>
        <c:gapWidth val="182"/>
        <c:axId val="365529248"/>
        <c:axId val="365527584"/>
      </c:barChart>
      <c:catAx>
        <c:axId val="3655292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accent6">
                    <a:lumMod val="50000"/>
                  </a:schemeClr>
                </a:solidFill>
                <a:latin typeface="+mn-lt"/>
                <a:ea typeface="+mn-ea"/>
                <a:cs typeface="+mn-cs"/>
              </a:defRPr>
            </a:pPr>
            <a:endParaRPr lang="es-CO"/>
          </a:p>
        </c:txPr>
        <c:crossAx val="365527584"/>
        <c:crosses val="autoZero"/>
        <c:auto val="1"/>
        <c:lblAlgn val="ctr"/>
        <c:lblOffset val="100"/>
        <c:noMultiLvlLbl val="0"/>
      </c:catAx>
      <c:valAx>
        <c:axId val="3655275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3655292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9525" cap="flat" cmpd="sng" algn="ctr">
      <a:solidFill>
        <a:schemeClr val="accent6">
          <a:lumMod val="50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r>
              <a:rPr lang="en-US" sz="1200" b="1"/>
              <a:t>TOP 10: CONDICIONES</a:t>
            </a:r>
            <a:r>
              <a:rPr lang="en-US" sz="1200" b="1" baseline="0"/>
              <a:t> DE ATENCIÓN EN URGENCIAS</a:t>
            </a:r>
            <a:r>
              <a:rPr lang="en-US" sz="1200" b="1"/>
              <a:t> </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2060"/>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URGENCIAS!$G$18:$H$27</c:f>
              <c:multiLvlStrCache>
                <c:ptCount val="10"/>
                <c:lvl>
                  <c:pt idx="0">
                    <c:v>IRA- VÍA AÉREA SUPERIOR</c:v>
                  </c:pt>
                  <c:pt idx="1">
                    <c:v>GASTROENTERITIS Y COLITIS </c:v>
                  </c:pt>
                  <c:pt idx="2">
                    <c:v>LUMBAGO</c:v>
                  </c:pt>
                  <c:pt idx="3">
                    <c:v>INFECCION VIRAL, NO ESPECIFICADA</c:v>
                  </c:pt>
                  <c:pt idx="4">
                    <c:v>HIPERTENSION ESENCIAL (PRIMARIA)</c:v>
                  </c:pt>
                  <c:pt idx="5">
                    <c:v>OTROS SINDROMES DE CEFALEA</c:v>
                  </c:pt>
                  <c:pt idx="6">
                    <c:v>INFECCION DE VIAS URINARIAS, SITIO NO ESPECIFICADO</c:v>
                  </c:pt>
                  <c:pt idx="7">
                    <c:v>VÉRTIGO PERIFÉRICO - CENTRAL</c:v>
                  </c:pt>
                  <c:pt idx="8">
                    <c:v>SINDROME DE LA ARTICULACION CONDROCOSTAL [TIETZE]</c:v>
                  </c:pt>
                  <c:pt idx="9">
                    <c:v>AMENAZA DE ABORTO</c:v>
                  </c:pt>
                </c:lvl>
                <c:lvl>
                  <c:pt idx="0">
                    <c:v>1</c:v>
                  </c:pt>
                  <c:pt idx="1">
                    <c:v>2</c:v>
                  </c:pt>
                  <c:pt idx="2">
                    <c:v>3</c:v>
                  </c:pt>
                  <c:pt idx="3">
                    <c:v>4</c:v>
                  </c:pt>
                  <c:pt idx="4">
                    <c:v>5</c:v>
                  </c:pt>
                  <c:pt idx="5">
                    <c:v>6</c:v>
                  </c:pt>
                  <c:pt idx="6">
                    <c:v>7</c:v>
                  </c:pt>
                  <c:pt idx="7">
                    <c:v>8</c:v>
                  </c:pt>
                  <c:pt idx="8">
                    <c:v>9</c:v>
                  </c:pt>
                  <c:pt idx="9">
                    <c:v>10</c:v>
                  </c:pt>
                </c:lvl>
              </c:multiLvlStrCache>
            </c:multiLvlStrRef>
          </c:cat>
          <c:val>
            <c:numRef>
              <c:f>URGENCIAS!$I$18:$I$27</c:f>
              <c:numCache>
                <c:formatCode>General</c:formatCode>
                <c:ptCount val="10"/>
                <c:pt idx="0">
                  <c:v>1900</c:v>
                </c:pt>
                <c:pt idx="1">
                  <c:v>1594</c:v>
                </c:pt>
                <c:pt idx="2">
                  <c:v>728</c:v>
                </c:pt>
                <c:pt idx="3">
                  <c:v>726</c:v>
                </c:pt>
                <c:pt idx="4">
                  <c:v>528</c:v>
                </c:pt>
                <c:pt idx="5">
                  <c:v>502</c:v>
                </c:pt>
                <c:pt idx="6">
                  <c:v>444</c:v>
                </c:pt>
                <c:pt idx="7">
                  <c:v>337</c:v>
                </c:pt>
                <c:pt idx="8">
                  <c:v>320</c:v>
                </c:pt>
                <c:pt idx="9">
                  <c:v>273</c:v>
                </c:pt>
              </c:numCache>
            </c:numRef>
          </c:val>
          <c:extLst>
            <c:ext xmlns:c16="http://schemas.microsoft.com/office/drawing/2014/chart" uri="{C3380CC4-5D6E-409C-BE32-E72D297353CC}">
              <c16:uniqueId val="{00000000-712F-4740-B55E-8DB30B904968}"/>
            </c:ext>
          </c:extLst>
        </c:ser>
        <c:dLbls>
          <c:dLblPos val="outEnd"/>
          <c:showLegendKey val="0"/>
          <c:showVal val="1"/>
          <c:showCatName val="0"/>
          <c:showSerName val="0"/>
          <c:showPercent val="0"/>
          <c:showBubbleSize val="0"/>
        </c:dLbls>
        <c:gapWidth val="182"/>
        <c:axId val="219429680"/>
        <c:axId val="219432592"/>
      </c:barChart>
      <c:catAx>
        <c:axId val="2194296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rgbClr val="002060"/>
                </a:solidFill>
                <a:latin typeface="+mn-lt"/>
                <a:ea typeface="+mn-ea"/>
                <a:cs typeface="+mn-cs"/>
              </a:defRPr>
            </a:pPr>
            <a:endParaRPr lang="es-CO"/>
          </a:p>
        </c:txPr>
        <c:crossAx val="219432592"/>
        <c:crosses val="autoZero"/>
        <c:auto val="1"/>
        <c:lblAlgn val="ctr"/>
        <c:lblOffset val="100"/>
        <c:noMultiLvlLbl val="0"/>
      </c:catAx>
      <c:valAx>
        <c:axId val="2194325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crossAx val="2194296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tx2">
        <a:lumMod val="10000"/>
        <a:lumOff val="90000"/>
        <a:alpha val="74000"/>
      </a:schemeClr>
    </a:solidFill>
    <a:ln w="9525" cap="flat" cmpd="sng" algn="ctr">
      <a:solidFill>
        <a:srgbClr val="002060">
          <a:alpha val="98000"/>
        </a:srgbClr>
      </a:solidFill>
      <a:round/>
    </a:ln>
    <a:effectLst/>
  </c:spPr>
  <c:txPr>
    <a:bodyPr/>
    <a:lstStyle/>
    <a:p>
      <a:pPr>
        <a:defRPr>
          <a:solidFill>
            <a:srgbClr val="002060"/>
          </a:solidFill>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200" b="1" i="0" u="none" strike="noStrike" kern="1200" spc="0" baseline="0">
                <a:solidFill>
                  <a:schemeClr val="accent6">
                    <a:lumMod val="50000"/>
                  </a:schemeClr>
                </a:solidFill>
                <a:latin typeface="+mn-lt"/>
                <a:ea typeface="+mn-ea"/>
                <a:cs typeface="+mn-cs"/>
              </a:defRPr>
            </a:pPr>
            <a:r>
              <a:rPr lang="es-CO" sz="1200" b="1"/>
              <a:t>TOP 10: CÓDIGOS</a:t>
            </a:r>
            <a:r>
              <a:rPr lang="es-CO" sz="1200" b="1" baseline="0"/>
              <a:t> CIE 10 HOSPITALIZACIÓN</a:t>
            </a:r>
            <a:endParaRPr lang="es-CO" sz="1200" b="1"/>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HOSPITALIZACIÓN!$G$4:$H$13</c:f>
              <c:multiLvlStrCache>
                <c:ptCount val="10"/>
                <c:lvl>
                  <c:pt idx="0">
                    <c:v>OTRAS GASTROENTERITIS Y COLITIS DE ORIGEN INFECCIOSO</c:v>
                  </c:pt>
                  <c:pt idx="1">
                    <c:v>HIPERTENSION ESENCIAL (PRIMARIA)</c:v>
                  </c:pt>
                  <c:pt idx="2">
                    <c:v>HIPERPLASIA DE LA PROSTATA</c:v>
                  </c:pt>
                  <c:pt idx="3">
                    <c:v>GASTROENTERITIS Y COLITIS DE ORIGEN NO ESPECIFICADO</c:v>
                  </c:pt>
                  <c:pt idx="4">
                    <c:v>INFECCION DE VIAS URINARIAS, SITIO NO ESPECIFICADO</c:v>
                  </c:pt>
                  <c:pt idx="5">
                    <c:v>INSUFICIENCIA CARDIACA CONGESTIVA</c:v>
                  </c:pt>
                  <c:pt idx="6">
                    <c:v>ENFERMEDAD PULMONAR OBSTRUCTIVA CRONICA CON EXACERBACION AGUDA, NO ESPECIFICADA</c:v>
                  </c:pt>
                  <c:pt idx="7">
                    <c:v>FIEBRE DEL DENGUE [DENGUE CLASICO]</c:v>
                  </c:pt>
                  <c:pt idx="8">
                    <c:v>TRAUMATISMO DE LA CABEZA, NO ESPECIFICADO</c:v>
                  </c:pt>
                  <c:pt idx="9">
                    <c:v>EPILEPSIA, TIPO NO ESPECIFICADO</c:v>
                  </c:pt>
                </c:lvl>
                <c:lvl>
                  <c:pt idx="0">
                    <c:v>A090</c:v>
                  </c:pt>
                  <c:pt idx="1">
                    <c:v>I10X</c:v>
                  </c:pt>
                  <c:pt idx="2">
                    <c:v>N40X</c:v>
                  </c:pt>
                  <c:pt idx="3">
                    <c:v>A099</c:v>
                  </c:pt>
                  <c:pt idx="4">
                    <c:v>N390</c:v>
                  </c:pt>
                  <c:pt idx="5">
                    <c:v>I500</c:v>
                  </c:pt>
                  <c:pt idx="6">
                    <c:v>J441</c:v>
                  </c:pt>
                  <c:pt idx="7">
                    <c:v>A90X</c:v>
                  </c:pt>
                  <c:pt idx="8">
                    <c:v>S099</c:v>
                  </c:pt>
                  <c:pt idx="9">
                    <c:v>G409</c:v>
                  </c:pt>
                </c:lvl>
              </c:multiLvlStrCache>
            </c:multiLvlStrRef>
          </c:cat>
          <c:val>
            <c:numRef>
              <c:f>HOSPITALIZACIÓN!$I$4:$I$13</c:f>
              <c:numCache>
                <c:formatCode>General</c:formatCode>
                <c:ptCount val="10"/>
                <c:pt idx="0">
                  <c:v>227</c:v>
                </c:pt>
                <c:pt idx="1">
                  <c:v>226</c:v>
                </c:pt>
                <c:pt idx="2">
                  <c:v>220</c:v>
                </c:pt>
                <c:pt idx="3">
                  <c:v>215</c:v>
                </c:pt>
                <c:pt idx="4">
                  <c:v>203</c:v>
                </c:pt>
                <c:pt idx="5">
                  <c:v>167</c:v>
                </c:pt>
                <c:pt idx="6">
                  <c:v>162</c:v>
                </c:pt>
                <c:pt idx="7">
                  <c:v>134</c:v>
                </c:pt>
                <c:pt idx="8">
                  <c:v>104</c:v>
                </c:pt>
                <c:pt idx="9">
                  <c:v>104</c:v>
                </c:pt>
              </c:numCache>
            </c:numRef>
          </c:val>
          <c:extLst>
            <c:ext xmlns:c16="http://schemas.microsoft.com/office/drawing/2014/chart" uri="{C3380CC4-5D6E-409C-BE32-E72D297353CC}">
              <c16:uniqueId val="{00000000-B1FD-444E-8B58-78618EBB46A1}"/>
            </c:ext>
          </c:extLst>
        </c:ser>
        <c:dLbls>
          <c:dLblPos val="outEnd"/>
          <c:showLegendKey val="0"/>
          <c:showVal val="1"/>
          <c:showCatName val="0"/>
          <c:showSerName val="0"/>
          <c:showPercent val="0"/>
          <c:showBubbleSize val="0"/>
        </c:dLbls>
        <c:gapWidth val="182"/>
        <c:axId val="394021520"/>
        <c:axId val="394019440"/>
      </c:barChart>
      <c:catAx>
        <c:axId val="3940215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accent6">
                    <a:lumMod val="50000"/>
                  </a:schemeClr>
                </a:solidFill>
                <a:latin typeface="+mn-lt"/>
                <a:ea typeface="+mn-ea"/>
                <a:cs typeface="+mn-cs"/>
              </a:defRPr>
            </a:pPr>
            <a:endParaRPr lang="es-CO"/>
          </a:p>
        </c:txPr>
        <c:crossAx val="394019440"/>
        <c:crosses val="autoZero"/>
        <c:auto val="1"/>
        <c:lblAlgn val="ctr"/>
        <c:lblOffset val="100"/>
        <c:noMultiLvlLbl val="0"/>
      </c:catAx>
      <c:valAx>
        <c:axId val="3940194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3940215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alpha val="85000"/>
      </a:schemeClr>
    </a:solidFill>
    <a:ln w="9525" cap="flat" cmpd="sng" algn="ctr">
      <a:solidFill>
        <a:schemeClr val="accent6">
          <a:lumMod val="50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r>
              <a:rPr lang="es-CO" sz="1200" b="1"/>
              <a:t>TOP</a:t>
            </a:r>
            <a:r>
              <a:rPr lang="es-CO" sz="1200" b="1" baseline="0"/>
              <a:t> 10: CONDICIONES DE ATENCIÓN DE HOSPITALIZACIÓN</a:t>
            </a:r>
            <a:endParaRPr lang="es-CO" sz="1200" b="1"/>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2060"/>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HOSPITALIZACIÓN!$G$18:$H$27</c:f>
              <c:multiLvlStrCache>
                <c:ptCount val="10"/>
                <c:lvl>
                  <c:pt idx="0">
                    <c:v>GASTROENTERITIS Y COLITIS</c:v>
                  </c:pt>
                  <c:pt idx="1">
                    <c:v>EPOC EXACERBADO</c:v>
                  </c:pt>
                  <c:pt idx="2">
                    <c:v>HIPERTENSION ESENCIAL (PRIMARIA)</c:v>
                  </c:pt>
                  <c:pt idx="3">
                    <c:v>INFECCION DE VIAS URINARIAS, SITIO NO ESPECIFICADO</c:v>
                  </c:pt>
                  <c:pt idx="4">
                    <c:v>INSUFICIENCIA CARDIACA</c:v>
                  </c:pt>
                  <c:pt idx="5">
                    <c:v>FIEBRE DEL DENGUE [DENGUE CLASICO]</c:v>
                  </c:pt>
                  <c:pt idx="6">
                    <c:v>EPILEPSIA</c:v>
                  </c:pt>
                  <c:pt idx="7">
                    <c:v>TRAUMATISMO DE LA CABEZA, NO ESPECIFICADO</c:v>
                  </c:pt>
                  <c:pt idx="8">
                    <c:v>CALCULO DE LA VESICULA BILIAR SIN COLECISTITIS</c:v>
                  </c:pt>
                  <c:pt idx="9">
                    <c:v>INFECCION VIRAL, NO ESPECIFICADA</c:v>
                  </c:pt>
                </c:lvl>
                <c:lvl>
                  <c:pt idx="0">
                    <c:v>1</c:v>
                  </c:pt>
                  <c:pt idx="1">
                    <c:v>2</c:v>
                  </c:pt>
                  <c:pt idx="2">
                    <c:v>3</c:v>
                  </c:pt>
                  <c:pt idx="3">
                    <c:v>4</c:v>
                  </c:pt>
                  <c:pt idx="4">
                    <c:v>5</c:v>
                  </c:pt>
                  <c:pt idx="5">
                    <c:v>6</c:v>
                  </c:pt>
                  <c:pt idx="6">
                    <c:v>7</c:v>
                  </c:pt>
                  <c:pt idx="7">
                    <c:v>8</c:v>
                  </c:pt>
                  <c:pt idx="8">
                    <c:v>9</c:v>
                  </c:pt>
                  <c:pt idx="9">
                    <c:v>10</c:v>
                  </c:pt>
                </c:lvl>
              </c:multiLvlStrCache>
            </c:multiLvlStrRef>
          </c:cat>
          <c:val>
            <c:numRef>
              <c:f>HOSPITALIZACIÓN!$I$18:$I$27</c:f>
              <c:numCache>
                <c:formatCode>General</c:formatCode>
                <c:ptCount val="10"/>
                <c:pt idx="0">
                  <c:v>464</c:v>
                </c:pt>
                <c:pt idx="1">
                  <c:v>238</c:v>
                </c:pt>
                <c:pt idx="2">
                  <c:v>226</c:v>
                </c:pt>
                <c:pt idx="3">
                  <c:v>203</c:v>
                </c:pt>
                <c:pt idx="4">
                  <c:v>181</c:v>
                </c:pt>
                <c:pt idx="5">
                  <c:v>134</c:v>
                </c:pt>
                <c:pt idx="6">
                  <c:v>121</c:v>
                </c:pt>
                <c:pt idx="7">
                  <c:v>104</c:v>
                </c:pt>
                <c:pt idx="8">
                  <c:v>90</c:v>
                </c:pt>
                <c:pt idx="9">
                  <c:v>89</c:v>
                </c:pt>
              </c:numCache>
            </c:numRef>
          </c:val>
          <c:extLst>
            <c:ext xmlns:c16="http://schemas.microsoft.com/office/drawing/2014/chart" uri="{C3380CC4-5D6E-409C-BE32-E72D297353CC}">
              <c16:uniqueId val="{00000000-55A1-45F7-98B9-9BBBB52A5CBF}"/>
            </c:ext>
          </c:extLst>
        </c:ser>
        <c:dLbls>
          <c:dLblPos val="outEnd"/>
          <c:showLegendKey val="0"/>
          <c:showVal val="1"/>
          <c:showCatName val="0"/>
          <c:showSerName val="0"/>
          <c:showPercent val="0"/>
          <c:showBubbleSize val="0"/>
        </c:dLbls>
        <c:gapWidth val="182"/>
        <c:axId val="365529664"/>
        <c:axId val="365530080"/>
      </c:barChart>
      <c:catAx>
        <c:axId val="3655296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crossAx val="365530080"/>
        <c:crosses val="autoZero"/>
        <c:auto val="1"/>
        <c:lblAlgn val="ctr"/>
        <c:lblOffset val="100"/>
        <c:noMultiLvlLbl val="0"/>
      </c:catAx>
      <c:valAx>
        <c:axId val="3655300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crossAx val="3655296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tx2">
        <a:lumMod val="10000"/>
        <a:lumOff val="90000"/>
        <a:alpha val="85000"/>
      </a:schemeClr>
    </a:solidFill>
    <a:ln w="9525" cap="flat" cmpd="sng" algn="ctr">
      <a:solidFill>
        <a:srgbClr val="002060">
          <a:alpha val="98000"/>
        </a:srgbClr>
      </a:solidFill>
      <a:round/>
    </a:ln>
    <a:effectLst/>
  </c:spPr>
  <c:txPr>
    <a:bodyPr/>
    <a:lstStyle/>
    <a:p>
      <a:pPr>
        <a:defRPr>
          <a:solidFill>
            <a:srgbClr val="002060"/>
          </a:solidFill>
        </a:defRPr>
      </a:pPr>
      <a:endParaRPr lang="es-C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200" b="1" i="0" u="none" strike="noStrike" kern="1200" spc="0" baseline="0">
                <a:solidFill>
                  <a:schemeClr val="accent6">
                    <a:lumMod val="50000"/>
                  </a:schemeClr>
                </a:solidFill>
                <a:latin typeface="+mn-lt"/>
                <a:ea typeface="+mn-ea"/>
                <a:cs typeface="+mn-cs"/>
              </a:defRPr>
            </a:pPr>
            <a:r>
              <a:rPr lang="es-CO" sz="1200" b="1"/>
              <a:t>TOP 5:</a:t>
            </a:r>
            <a:r>
              <a:rPr lang="es-CO" sz="1200" b="1" baseline="0"/>
              <a:t> CÓDIGOS CIE 10 UCI</a:t>
            </a:r>
            <a:endParaRPr lang="es-CO" sz="1200" b="1"/>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accent6">
                  <a:lumMod val="50000"/>
                </a:schemeClr>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6">
                        <a:lumMod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UCI!$G$4:$H$8</c:f>
              <c:multiLvlStrCache>
                <c:ptCount val="5"/>
                <c:lvl>
                  <c:pt idx="0">
                    <c:v>INFARTO AGUDO DEL MIOCARDIO, SIN OTRA ESPECIFICACION</c:v>
                  </c:pt>
                  <c:pt idx="1">
                    <c:v>ENFERMEDAD PULMONAR OBSTRUCTIVA CRONICA CON EXACERBACION AGUDA, NO ESPECIFICADA</c:v>
                  </c:pt>
                  <c:pt idx="2">
                    <c:v>SEPSIS Y CHOQUE </c:v>
                  </c:pt>
                  <c:pt idx="3">
                    <c:v>ENFERMEDAD CEREBROVASCULAR, NO ESPECIFICADA</c:v>
                  </c:pt>
                  <c:pt idx="4">
                    <c:v>HEMORRAGIA GASTROINTESTINAL, NO ESPECIFICADA</c:v>
                  </c:pt>
                </c:lvl>
                <c:lvl>
                  <c:pt idx="0">
                    <c:v>I219</c:v>
                  </c:pt>
                  <c:pt idx="1">
                    <c:v>J441</c:v>
                  </c:pt>
                  <c:pt idx="2">
                    <c:v>R572</c:v>
                  </c:pt>
                  <c:pt idx="3">
                    <c:v>I679</c:v>
                  </c:pt>
                  <c:pt idx="4">
                    <c:v>K922</c:v>
                  </c:pt>
                </c:lvl>
              </c:multiLvlStrCache>
            </c:multiLvlStrRef>
          </c:cat>
          <c:val>
            <c:numRef>
              <c:f>UCI!$I$4:$I$8</c:f>
              <c:numCache>
                <c:formatCode>General</c:formatCode>
                <c:ptCount val="5"/>
                <c:pt idx="0">
                  <c:v>76</c:v>
                </c:pt>
                <c:pt idx="1">
                  <c:v>58</c:v>
                </c:pt>
                <c:pt idx="2">
                  <c:v>60</c:v>
                </c:pt>
                <c:pt idx="3">
                  <c:v>31</c:v>
                </c:pt>
                <c:pt idx="4">
                  <c:v>30</c:v>
                </c:pt>
              </c:numCache>
            </c:numRef>
          </c:val>
          <c:extLst>
            <c:ext xmlns:c16="http://schemas.microsoft.com/office/drawing/2014/chart" uri="{C3380CC4-5D6E-409C-BE32-E72D297353CC}">
              <c16:uniqueId val="{00000000-CD4B-4A26-8F40-EEEC25CF7464}"/>
            </c:ext>
          </c:extLst>
        </c:ser>
        <c:dLbls>
          <c:dLblPos val="outEnd"/>
          <c:showLegendKey val="0"/>
          <c:showVal val="1"/>
          <c:showCatName val="0"/>
          <c:showSerName val="0"/>
          <c:showPercent val="0"/>
          <c:showBubbleSize val="0"/>
        </c:dLbls>
        <c:gapWidth val="182"/>
        <c:axId val="215534880"/>
        <c:axId val="215530720"/>
      </c:barChart>
      <c:catAx>
        <c:axId val="2155348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accent6">
                    <a:lumMod val="50000"/>
                  </a:schemeClr>
                </a:solidFill>
                <a:latin typeface="+mn-lt"/>
                <a:ea typeface="+mn-ea"/>
                <a:cs typeface="+mn-cs"/>
              </a:defRPr>
            </a:pPr>
            <a:endParaRPr lang="es-CO"/>
          </a:p>
        </c:txPr>
        <c:crossAx val="215530720"/>
        <c:crosses val="autoZero"/>
        <c:auto val="1"/>
        <c:lblAlgn val="ctr"/>
        <c:lblOffset val="100"/>
        <c:noMultiLvlLbl val="0"/>
      </c:catAx>
      <c:valAx>
        <c:axId val="215530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mn-lt"/>
                <a:ea typeface="+mn-ea"/>
                <a:cs typeface="+mn-cs"/>
              </a:defRPr>
            </a:pPr>
            <a:endParaRPr lang="es-CO"/>
          </a:p>
        </c:txPr>
        <c:crossAx val="215534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alpha val="87000"/>
      </a:schemeClr>
    </a:solidFill>
    <a:ln w="9525" cap="flat" cmpd="sng" algn="ctr">
      <a:solidFill>
        <a:schemeClr val="accent6">
          <a:lumMod val="50000"/>
        </a:schemeClr>
      </a:solidFill>
      <a:round/>
    </a:ln>
    <a:effectLst/>
  </c:spPr>
  <c:txPr>
    <a:bodyPr/>
    <a:lstStyle/>
    <a:p>
      <a:pPr>
        <a:defRPr>
          <a:solidFill>
            <a:schemeClr val="accent6">
              <a:lumMod val="50000"/>
            </a:schemeClr>
          </a:solidFill>
        </a:defRPr>
      </a:pPr>
      <a:endParaRPr lang="es-CO"/>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r>
              <a:rPr lang="es-CO" sz="1200" b="1"/>
              <a:t>TOP</a:t>
            </a:r>
            <a:r>
              <a:rPr lang="es-CO" sz="1200" b="1" baseline="0"/>
              <a:t> 5: CONDICIONES DE INGRESO A UCI</a:t>
            </a:r>
            <a:endParaRPr lang="es-CO" sz="1200" b="1"/>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002060"/>
              </a:solidFill>
              <a:latin typeface="+mn-lt"/>
              <a:ea typeface="+mn-ea"/>
              <a:cs typeface="+mn-cs"/>
            </a:defRPr>
          </a:pPr>
          <a:endParaRPr lang="es-CO"/>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2060"/>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UCI!$M$4:$N$8</c:f>
              <c:multiLvlStrCache>
                <c:ptCount val="5"/>
                <c:lvl>
                  <c:pt idx="0">
                    <c:v>SÍNDROME CORONARIO AGUDO</c:v>
                  </c:pt>
                  <c:pt idx="1">
                    <c:v>EPOC EXACERBADO</c:v>
                  </c:pt>
                  <c:pt idx="2">
                    <c:v>ENFERMEDAD CEREBROVASCULAR</c:v>
                  </c:pt>
                  <c:pt idx="3">
                    <c:v>SEPSIS Y CHOQUE </c:v>
                  </c:pt>
                  <c:pt idx="4">
                    <c:v>DIABETES MELLITUS </c:v>
                  </c:pt>
                </c:lvl>
                <c:lvl>
                  <c:pt idx="0">
                    <c:v>1</c:v>
                  </c:pt>
                  <c:pt idx="1">
                    <c:v>2</c:v>
                  </c:pt>
                  <c:pt idx="2">
                    <c:v>3</c:v>
                  </c:pt>
                  <c:pt idx="3">
                    <c:v>4</c:v>
                  </c:pt>
                  <c:pt idx="4">
                    <c:v>5</c:v>
                  </c:pt>
                </c:lvl>
              </c:multiLvlStrCache>
            </c:multiLvlStrRef>
          </c:cat>
          <c:val>
            <c:numRef>
              <c:f>UCI!$O$4:$O$8</c:f>
              <c:numCache>
                <c:formatCode>General</c:formatCode>
                <c:ptCount val="5"/>
                <c:pt idx="0">
                  <c:v>121</c:v>
                </c:pt>
                <c:pt idx="1">
                  <c:v>84</c:v>
                </c:pt>
                <c:pt idx="2">
                  <c:v>77</c:v>
                </c:pt>
                <c:pt idx="3">
                  <c:v>60</c:v>
                </c:pt>
                <c:pt idx="4">
                  <c:v>48</c:v>
                </c:pt>
              </c:numCache>
            </c:numRef>
          </c:val>
          <c:extLst>
            <c:ext xmlns:c16="http://schemas.microsoft.com/office/drawing/2014/chart" uri="{C3380CC4-5D6E-409C-BE32-E72D297353CC}">
              <c16:uniqueId val="{00000000-A931-4BDE-B9E7-06DC76AC9A15}"/>
            </c:ext>
          </c:extLst>
        </c:ser>
        <c:dLbls>
          <c:dLblPos val="outEnd"/>
          <c:showLegendKey val="0"/>
          <c:showVal val="1"/>
          <c:showCatName val="0"/>
          <c:showSerName val="0"/>
          <c:showPercent val="0"/>
          <c:showBubbleSize val="0"/>
        </c:dLbls>
        <c:gapWidth val="182"/>
        <c:axId val="756282992"/>
        <c:axId val="756276752"/>
      </c:barChart>
      <c:catAx>
        <c:axId val="7562829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crossAx val="756276752"/>
        <c:crosses val="autoZero"/>
        <c:auto val="1"/>
        <c:lblAlgn val="ctr"/>
        <c:lblOffset val="100"/>
        <c:noMultiLvlLbl val="0"/>
      </c:catAx>
      <c:valAx>
        <c:axId val="7562767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s-CO"/>
          </a:p>
        </c:txPr>
        <c:crossAx val="756282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tx2">
        <a:lumMod val="10000"/>
        <a:lumOff val="90000"/>
        <a:alpha val="79000"/>
      </a:schemeClr>
    </a:solidFill>
    <a:ln w="9525" cap="flat" cmpd="sng" algn="ctr">
      <a:solidFill>
        <a:srgbClr val="002060"/>
      </a:solidFill>
      <a:round/>
    </a:ln>
    <a:effectLst/>
  </c:spPr>
  <c:txPr>
    <a:bodyPr/>
    <a:lstStyle/>
    <a:p>
      <a:pPr>
        <a:defRPr>
          <a:solidFill>
            <a:srgbClr val="002060"/>
          </a:solidFill>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6">
  <a:schemeClr val="accent3"/>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6">
  <a:schemeClr val="accent3"/>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withinLinear" id="16">
  <a:schemeClr val="accent3"/>
</cs:colorStyle>
</file>

<file path=word/charts/colors8.xml><?xml version="1.0" encoding="utf-8"?>
<cs:colorStyle xmlns:cs="http://schemas.microsoft.com/office/drawing/2012/chartStyle" xmlns:a="http://schemas.openxmlformats.org/drawingml/2006/main" meth="withinLinear" id="14">
  <a:schemeClr val="accent1"/>
</cs:colorStyle>
</file>

<file path=word/charts/colors9.xml><?xml version="1.0" encoding="utf-8"?>
<cs:colorStyle xmlns:cs="http://schemas.microsoft.com/office/drawing/2012/chartStyle" xmlns:a="http://schemas.openxmlformats.org/drawingml/2006/main" meth="withinLinear" id="16">
  <a:schemeClr val="accent3"/>
</cs:colorStyle>
</file>

<file path=word/charts/colors10.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15</Pages>
  <Words>3408</Words>
  <Characters>18745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288</cp:revision>
  <dcterms:created xsi:type="dcterms:W3CDTF">2026-01-05T22:00:00Z</dcterms:created>
  <dcterms:modified xsi:type="dcterms:W3CDTF">2026-02-04T23:29:00Z</dcterms:modified>
</cp:coreProperties>
</file>