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8F1A" w14:textId="5222D268" w:rsidR="00D00719" w:rsidRPr="00126E38" w:rsidRDefault="00126E38">
      <w:pPr>
        <w:rPr>
          <w:lang w:val="es-ES"/>
        </w:rPr>
      </w:pPr>
      <w:r>
        <w:rPr>
          <w:lang w:val="es-ES"/>
        </w:rPr>
        <w:t>Horas  administrativas 60</w:t>
      </w:r>
    </w:p>
    <w:sectPr w:rsidR="00D00719" w:rsidRPr="00126E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38"/>
    <w:rsid w:val="00126E38"/>
    <w:rsid w:val="00AE3A02"/>
    <w:rsid w:val="00D00719"/>
    <w:rsid w:val="00F3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F6C55"/>
  <w15:chartTrackingRefBased/>
  <w15:docId w15:val="{346F8681-3285-4753-8C76-4D8EF03A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6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E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E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E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E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E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6E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E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SUBGERENCIA CIENTIFICA</dc:creator>
  <cp:keywords/>
  <dc:description/>
  <cp:lastModifiedBy>SUBGERENCIA CIENTIFICA</cp:lastModifiedBy>
  <cp:revision>1</cp:revision>
  <dcterms:created xsi:type="dcterms:W3CDTF">2026-03-18T14:53:00Z</dcterms:created>
  <dcterms:modified xsi:type="dcterms:W3CDTF">2026-03-18T14:53:00Z</dcterms:modified>
</cp:coreProperties>
</file>