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62B4" w14:textId="77777777" w:rsidR="00BD58E2" w:rsidRPr="00BD58E2" w:rsidRDefault="00BD58E2" w:rsidP="00BD58E2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color w:val="385623" w:themeColor="accent6" w:themeShade="80"/>
          <w:kern w:val="36"/>
          <w:sz w:val="32"/>
          <w:szCs w:val="32"/>
          <w:u w:val="single"/>
          <w:lang w:val="es-CO" w:eastAsia="es-CO"/>
        </w:rPr>
      </w:pPr>
      <w:r w:rsidRPr="00BD58E2">
        <w:rPr>
          <w:rFonts w:asciiTheme="majorHAnsi" w:eastAsia="Times New Roman" w:hAnsiTheme="majorHAnsi" w:cstheme="majorHAnsi"/>
          <w:b/>
          <w:bCs/>
          <w:color w:val="385623" w:themeColor="accent6" w:themeShade="80"/>
          <w:kern w:val="36"/>
          <w:sz w:val="32"/>
          <w:szCs w:val="32"/>
          <w:u w:val="single"/>
          <w:lang w:val="es-CO" w:eastAsia="es-CO"/>
        </w:rPr>
        <w:t>RECOMENDACIONES TRAZADORAS</w:t>
      </w:r>
    </w:p>
    <w:p w14:paraId="18A275ED" w14:textId="77777777" w:rsidR="00BD58E2" w:rsidRPr="00BD58E2" w:rsidRDefault="00BD58E2" w:rsidP="00BD58E2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color w:val="385623" w:themeColor="accent6" w:themeShade="80"/>
          <w:sz w:val="32"/>
          <w:szCs w:val="32"/>
          <w:lang w:val="es-CO" w:eastAsia="es-CO"/>
        </w:rPr>
      </w:pPr>
      <w:r w:rsidRPr="00BD58E2">
        <w:rPr>
          <w:rFonts w:asciiTheme="majorHAnsi" w:eastAsia="Times New Roman" w:hAnsiTheme="majorHAnsi" w:cstheme="majorHAnsi"/>
          <w:b/>
          <w:bCs/>
          <w:color w:val="385623" w:themeColor="accent6" w:themeShade="80"/>
          <w:sz w:val="32"/>
          <w:szCs w:val="32"/>
          <w:lang w:val="es-CO" w:eastAsia="es-CO"/>
        </w:rPr>
        <w:t>Guía de Práctica Clínica Diabetes Mellitus tipo 2 en adultos</w:t>
      </w:r>
    </w:p>
    <w:p w14:paraId="77A76A27" w14:textId="77777777" w:rsidR="00BD58E2" w:rsidRDefault="00BD58E2" w:rsidP="00BD58E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BD58E2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Recomendaciones clínicas trazadoras de la GPC colombiana de Diabetes Mellitus tipo 2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:</w:t>
      </w:r>
    </w:p>
    <w:p w14:paraId="2B92B31B" w14:textId="7FCB5FB0" w:rsidR="00BD58E2" w:rsidRPr="00BD58E2" w:rsidRDefault="00BD58E2" w:rsidP="00BD58E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BD58E2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“Guía</w:t>
      </w:r>
      <w:r w:rsidRPr="00BD58E2">
        <w:rPr>
          <w:rFonts w:asciiTheme="majorHAnsi" w:hAnsiTheme="majorHAnsi" w:cstheme="majorHAnsi"/>
          <w:sz w:val="24"/>
          <w:szCs w:val="24"/>
          <w:shd w:val="clear" w:color="auto" w:fill="FFFFFF"/>
          <w:lang w:val="es-419"/>
        </w:rPr>
        <w:t xml:space="preserve"> de práctica clínica para el tratamiento y seguimiento </w:t>
      </w:r>
      <w:r w:rsidRPr="00BD58E2">
        <w:rPr>
          <w:rFonts w:asciiTheme="majorHAnsi" w:hAnsiTheme="majorHAnsi" w:cstheme="majorHAnsi"/>
          <w:sz w:val="24"/>
          <w:szCs w:val="24"/>
          <w:shd w:val="clear" w:color="auto" w:fill="FFFFFF"/>
          <w:lang w:val="es-CO"/>
        </w:rPr>
        <w:t>de la diabetes mellitus tipo 2 en la población colombiana mayor de 18 años: Asociación Colombiana de Endocrinología, Diabetes y Metabolismo, 2025</w:t>
      </w:r>
      <w:r w:rsidRPr="00BD58E2">
        <w:rPr>
          <w:rFonts w:asciiTheme="majorHAnsi" w:hAnsiTheme="majorHAnsi" w:cstheme="majorHAnsi"/>
          <w:sz w:val="24"/>
          <w:szCs w:val="24"/>
          <w:shd w:val="clear" w:color="auto" w:fill="FFFFFF"/>
          <w:lang w:val="es-CO"/>
        </w:rPr>
        <w:t>”</w:t>
      </w:r>
      <w:r w:rsidRPr="00BD58E2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</w:t>
      </w:r>
      <w:r w:rsidRPr="00BD58E2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con adaptación institucional basada en actualizaciones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de </w:t>
      </w:r>
      <w:r w:rsidRPr="00BD58E2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 guía americana ADA 2026.</w:t>
      </w:r>
    </w:p>
    <w:p w14:paraId="4570ECD0" w14:textId="77777777" w:rsidR="00BD58E2" w:rsidRPr="00BD58E2" w:rsidRDefault="00BD58E2" w:rsidP="00BD58E2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BD58E2">
        <w:rPr>
          <w:rFonts w:asciiTheme="majorHAnsi" w:hAnsiTheme="majorHAnsi" w:cstheme="majorHAnsi"/>
          <w:sz w:val="24"/>
          <w:szCs w:val="24"/>
          <w:u w:val="single"/>
        </w:rPr>
        <w:t>Recomendación 1: Tamizaje e identificación de riesgo</w:t>
      </w:r>
    </w:p>
    <w:p w14:paraId="62B720B8" w14:textId="4A190228" w:rsidR="00BD58E2" w:rsidRDefault="00BD58E2" w:rsidP="00BD58E2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</w:t>
      </w:r>
      <w:r w:rsidRPr="00BD58E2">
        <w:rPr>
          <w:rFonts w:asciiTheme="majorHAnsi" w:hAnsiTheme="majorHAnsi" w:cstheme="majorHAnsi"/>
        </w:rPr>
        <w:t xml:space="preserve">ealizar tamizaje </w:t>
      </w:r>
      <w:r>
        <w:rPr>
          <w:rFonts w:asciiTheme="majorHAnsi" w:hAnsiTheme="majorHAnsi" w:cstheme="majorHAnsi"/>
        </w:rPr>
        <w:t xml:space="preserve">en la población ≥ 35 años en </w:t>
      </w:r>
      <w:r w:rsidRPr="00BD58E2">
        <w:rPr>
          <w:rFonts w:asciiTheme="majorHAnsi" w:hAnsiTheme="majorHAnsi" w:cstheme="majorHAnsi"/>
        </w:rPr>
        <w:t>consulta mediante la identificación de factores de riesgo</w:t>
      </w:r>
      <w:r>
        <w:rPr>
          <w:rFonts w:asciiTheme="majorHAnsi" w:hAnsiTheme="majorHAnsi" w:cstheme="majorHAnsi"/>
        </w:rPr>
        <w:t xml:space="preserve"> </w:t>
      </w:r>
      <w:r w:rsidRPr="00BD58E2">
        <w:rPr>
          <w:rFonts w:asciiTheme="majorHAnsi" w:hAnsiTheme="majorHAnsi" w:cstheme="majorHAnsi"/>
        </w:rPr>
        <w:t>cardiovascular</w:t>
      </w:r>
      <w:r>
        <w:rPr>
          <w:rFonts w:asciiTheme="majorHAnsi" w:hAnsiTheme="majorHAnsi" w:cstheme="majorHAnsi"/>
        </w:rPr>
        <w:t xml:space="preserve"> (IMC ≥ 25, antecedente familiar de DM2, enfermedad cardiovascular establecida, hipertensión arterial, dislipidemia, síndrome de ovario poliquístico (SOP), diabetes mellitus gestacional*) </w:t>
      </w:r>
      <w:r w:rsidRPr="00BD58E2">
        <w:rPr>
          <w:rFonts w:asciiTheme="majorHAnsi" w:hAnsiTheme="majorHAnsi" w:cstheme="majorHAnsi"/>
        </w:rPr>
        <w:t xml:space="preserve">y síntomas sugestivos de hiperglucemia. </w:t>
      </w:r>
    </w:p>
    <w:p w14:paraId="546DE5D1" w14:textId="5F3734F8" w:rsidR="00BD58E2" w:rsidRDefault="00BD58E2" w:rsidP="00BD58E2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Iniciar el tamizaje antes de los 35 años si se identifica factores de riesgo cardiovascular*</w:t>
      </w:r>
    </w:p>
    <w:p w14:paraId="3D7BD04B" w14:textId="56698C95" w:rsidR="00BD58E2" w:rsidRDefault="00BD58E2" w:rsidP="00BD58E2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</w:rPr>
      </w:pPr>
      <w:r w:rsidRPr="00BD58E2">
        <w:rPr>
          <w:rFonts w:asciiTheme="majorHAnsi" w:hAnsiTheme="majorHAnsi" w:cstheme="majorHAnsi"/>
        </w:rPr>
        <w:t>El cuestionario FINDRISC puede utilizarse como herramienta de apoyo para estimar riesgo, sin reemplazar los criterios diagnósticos bioquímico</w:t>
      </w:r>
      <w:r w:rsidR="0011367A">
        <w:rPr>
          <w:rFonts w:asciiTheme="majorHAnsi" w:hAnsiTheme="majorHAnsi" w:cstheme="majorHAnsi"/>
        </w:rPr>
        <w:t>.</w:t>
      </w:r>
    </w:p>
    <w:p w14:paraId="2A430ADE" w14:textId="5BFFBE60" w:rsidR="0011367A" w:rsidRPr="0011367A" w:rsidRDefault="0011367A" w:rsidP="0011367A">
      <w:pPr>
        <w:pStyle w:val="NormalWeb"/>
        <w:spacing w:line="276" w:lineRule="auto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3DC82013" w14:textId="77777777" w:rsidR="0011367A" w:rsidRPr="0011367A" w:rsidRDefault="0011367A" w:rsidP="0011367A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11367A">
        <w:rPr>
          <w:rFonts w:asciiTheme="majorHAnsi" w:hAnsiTheme="majorHAnsi" w:cstheme="majorHAnsi"/>
          <w:sz w:val="24"/>
          <w:szCs w:val="24"/>
          <w:u w:val="single"/>
        </w:rPr>
        <w:t>Recomendación 2: Diagnóstico de diabetes mellitus tipo 2</w:t>
      </w:r>
    </w:p>
    <w:p w14:paraId="41833F43" w14:textId="4B5738B4" w:rsidR="0011367A" w:rsidRPr="0011367A" w:rsidRDefault="0011367A" w:rsidP="0011367A">
      <w:pPr>
        <w:pStyle w:val="NormalWeb"/>
        <w:jc w:val="both"/>
        <w:rPr>
          <w:rFonts w:asciiTheme="majorHAnsi" w:hAnsiTheme="majorHAnsi" w:cstheme="majorHAnsi"/>
        </w:rPr>
      </w:pPr>
      <w:r w:rsidRPr="0011367A">
        <w:rPr>
          <w:rFonts w:asciiTheme="majorHAnsi" w:hAnsiTheme="majorHAnsi" w:cstheme="majorHAnsi"/>
        </w:rPr>
        <w:t>E</w:t>
      </w:r>
      <w:r w:rsidRPr="0011367A">
        <w:rPr>
          <w:rFonts w:asciiTheme="majorHAnsi" w:hAnsiTheme="majorHAnsi" w:cstheme="majorHAnsi"/>
        </w:rPr>
        <w:t>l diagnóstico de diabetes mellitus tipo 2 puede realizarse mediante cualquiera de los siguientes criterios bioquímicos:</w:t>
      </w:r>
    </w:p>
    <w:p w14:paraId="631EB651" w14:textId="77777777" w:rsidR="0011367A" w:rsidRPr="0011367A" w:rsidRDefault="0011367A" w:rsidP="001136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1367A">
        <w:rPr>
          <w:rFonts w:asciiTheme="majorHAnsi" w:hAnsiTheme="majorHAnsi" w:cstheme="majorHAnsi"/>
          <w:sz w:val="24"/>
          <w:szCs w:val="24"/>
        </w:rPr>
        <w:t xml:space="preserve">Glicemia en ayunas ≥126 mg/dL </w:t>
      </w:r>
    </w:p>
    <w:p w14:paraId="2C453E7C" w14:textId="77777777" w:rsidR="0011367A" w:rsidRPr="0011367A" w:rsidRDefault="0011367A" w:rsidP="001136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11367A">
        <w:rPr>
          <w:rFonts w:asciiTheme="majorHAnsi" w:hAnsiTheme="majorHAnsi" w:cstheme="majorHAnsi"/>
          <w:sz w:val="24"/>
          <w:szCs w:val="24"/>
          <w:lang w:val="es-CO"/>
        </w:rPr>
        <w:t xml:space="preserve">Glicemia a las 2 horas poscarga de 75 g ≥200 mg/dL </w:t>
      </w:r>
    </w:p>
    <w:p w14:paraId="777AD497" w14:textId="77777777" w:rsidR="0011367A" w:rsidRPr="0011367A" w:rsidRDefault="0011367A" w:rsidP="001136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1367A">
        <w:rPr>
          <w:rFonts w:asciiTheme="majorHAnsi" w:hAnsiTheme="majorHAnsi" w:cstheme="majorHAnsi"/>
          <w:sz w:val="24"/>
          <w:szCs w:val="24"/>
        </w:rPr>
        <w:t xml:space="preserve">HbA1c ≥6,5% </w:t>
      </w:r>
    </w:p>
    <w:p w14:paraId="3E3A91E0" w14:textId="77777777" w:rsidR="0011367A" w:rsidRPr="0011367A" w:rsidRDefault="0011367A" w:rsidP="001136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11367A">
        <w:rPr>
          <w:rFonts w:asciiTheme="majorHAnsi" w:hAnsiTheme="majorHAnsi" w:cstheme="majorHAnsi"/>
          <w:sz w:val="24"/>
          <w:szCs w:val="24"/>
          <w:lang w:val="es-CO"/>
        </w:rPr>
        <w:t xml:space="preserve">Glicemia al azar ≥200 mg/dL en presencia de síntomas clásicos </w:t>
      </w:r>
    </w:p>
    <w:p w14:paraId="7A0B261B" w14:textId="27315EE0" w:rsidR="00BD58E2" w:rsidRPr="0011367A" w:rsidRDefault="0011367A" w:rsidP="0011367A">
      <w:pPr>
        <w:pStyle w:val="NormalWeb"/>
        <w:spacing w:line="276" w:lineRule="auto"/>
        <w:rPr>
          <w:rFonts w:asciiTheme="majorHAnsi" w:hAnsiTheme="majorHAnsi" w:cstheme="majorHAnsi"/>
        </w:rPr>
      </w:pPr>
      <w:r w:rsidRPr="0011367A">
        <w:rPr>
          <w:rFonts w:asciiTheme="majorHAnsi" w:hAnsiTheme="majorHAnsi" w:cstheme="majorHAnsi"/>
        </w:rPr>
        <w:t>En presencia de hiperglucemia inequívoca, definida como glucosa plasmática ≥200 mg/dL en presencia de síntomas clásicos de hiperglucemia o crisis hiperglucémica, el diagnóstico de diabetes puede realizarse sin necesidad de confirmación adicional. En ausencia de estos hallazgos, se recomienda confirmar el diagnóstico con una segunda prueba alterada.</w:t>
      </w:r>
    </w:p>
    <w:p w14:paraId="5975B82D" w14:textId="77777777" w:rsidR="00FA2E7B" w:rsidRPr="0011367A" w:rsidRDefault="00FA2E7B" w:rsidP="00FA2E7B">
      <w:pPr>
        <w:pStyle w:val="NormalWeb"/>
        <w:spacing w:line="276" w:lineRule="auto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011F7EC3" w14:textId="792CC689" w:rsidR="008F650C" w:rsidRDefault="008F650C" w:rsidP="008F650C">
      <w:pPr>
        <w:rPr>
          <w:lang w:val="es-CO"/>
        </w:rPr>
      </w:pPr>
    </w:p>
    <w:p w14:paraId="7065E62E" w14:textId="024E2463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val="es-CO" w:eastAsia="es-CO"/>
        </w:rPr>
      </w:pPr>
      <w:r w:rsidRPr="0011367A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Recomendación 3: Valoración inicial del paciente con diabetes</w:t>
      </w:r>
    </w:p>
    <w:p w14:paraId="394B2E02" w14:textId="0B9BBB1C" w:rsidR="0011367A" w:rsidRPr="0011367A" w:rsidRDefault="0011367A" w:rsidP="0011367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 GPC recomienda realizar una valoración clínica integral desde el momento del diagnóstico.</w:t>
      </w:r>
    </w:p>
    <w:p w14:paraId="1430DAEC" w14:textId="77777777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Adaptación institucional: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br/>
        <w:t>En la primera consulta se debe evaluar:</w:t>
      </w:r>
    </w:p>
    <w:p w14:paraId="314B3B32" w14:textId="77777777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Tiempo de evolución de la enfermedad </w:t>
      </w:r>
    </w:p>
    <w:p w14:paraId="2E2AAE21" w14:textId="77777777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Comorbilidades asociadas </w:t>
      </w:r>
    </w:p>
    <w:p w14:paraId="3666EDF9" w14:textId="77777777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Antecedentes de enfermedad cardiovascular </w:t>
      </w:r>
    </w:p>
    <w:p w14:paraId="675ADF01" w14:textId="2C5B6EF0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Estado nutricional</w:t>
      </w:r>
    </w:p>
    <w:p w14:paraId="242A2812" w14:textId="7FF2286F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Factores de riesgo de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hipoglucemia </w:t>
      </w:r>
    </w:p>
    <w:p w14:paraId="004FF3F0" w14:textId="77777777" w:rsidR="0011367A" w:rsidRPr="0011367A" w:rsidRDefault="0011367A" w:rsidP="001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Adherencia terapéutica </w:t>
      </w:r>
    </w:p>
    <w:p w14:paraId="164DF6E9" w14:textId="77777777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Además, se debe realizar:</w:t>
      </w:r>
    </w:p>
    <w:p w14:paraId="48060F61" w14:textId="000B3A10" w:rsidR="0011367A" w:rsidRPr="0011367A" w:rsidRDefault="0011367A" w:rsidP="001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Examen de pie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s (riesgo de neuropatía)</w:t>
      </w:r>
    </w:p>
    <w:p w14:paraId="2B88D011" w14:textId="77777777" w:rsidR="0011367A" w:rsidRPr="0011367A" w:rsidRDefault="0011367A" w:rsidP="001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Evaluación oftalmológica o remisión a oftalmología </w:t>
      </w:r>
    </w:p>
    <w:p w14:paraId="3AA2E156" w14:textId="77777777" w:rsidR="0011367A" w:rsidRPr="0011367A" w:rsidRDefault="0011367A" w:rsidP="001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Solicitud de paraclínicos básicos: </w:t>
      </w:r>
    </w:p>
    <w:p w14:paraId="15AB6CD2" w14:textId="77777777" w:rsidR="0011367A" w:rsidRPr="0011367A" w:rsidRDefault="0011367A" w:rsidP="00113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Creatinina sérica </w:t>
      </w:r>
    </w:p>
    <w:p w14:paraId="6C7A8030" w14:textId="77777777" w:rsidR="0011367A" w:rsidRPr="0011367A" w:rsidRDefault="0011367A" w:rsidP="00113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Uroanálisis </w:t>
      </w:r>
    </w:p>
    <w:p w14:paraId="3294B1B7" w14:textId="77777777" w:rsidR="0011367A" w:rsidRPr="0011367A" w:rsidRDefault="0011367A" w:rsidP="00113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Relación albúmina/creatinina (RAC) </w:t>
      </w:r>
    </w:p>
    <w:p w14:paraId="0D729220" w14:textId="68382666" w:rsidR="0011367A" w:rsidRPr="0011367A" w:rsidRDefault="0011367A" w:rsidP="00113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Perfil lipídico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(HDL, LDL, TG, CT)</w:t>
      </w:r>
    </w:p>
    <w:p w14:paraId="7F5C8487" w14:textId="14276B65" w:rsidR="0011367A" w:rsidRDefault="0011367A" w:rsidP="00113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HbA1c</w:t>
      </w:r>
    </w:p>
    <w:p w14:paraId="58D4998F" w14:textId="77777777" w:rsidR="00FA2E7B" w:rsidRPr="0011367A" w:rsidRDefault="00FA2E7B" w:rsidP="00FA2E7B">
      <w:pPr>
        <w:pStyle w:val="NormalWeb"/>
        <w:spacing w:line="276" w:lineRule="auto"/>
        <w:ind w:left="1080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45C966FA" w14:textId="6E25D6C1" w:rsidR="0011367A" w:rsidRDefault="0011367A" w:rsidP="008F65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1367A">
        <w:rPr>
          <w:rFonts w:asciiTheme="majorHAnsi" w:hAnsiTheme="majorHAnsi" w:cstheme="majorHAnsi"/>
          <w:b/>
          <w:bCs/>
          <w:sz w:val="24"/>
          <w:szCs w:val="24"/>
          <w:u w:val="single"/>
        </w:rPr>
        <w:t>Recomendación 4: Evaluación de complicaciones crónicas</w:t>
      </w:r>
    </w:p>
    <w:p w14:paraId="04ECABDB" w14:textId="1BB10557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 GPC enfatiza la necesidad de identificar de forma temprana las complicaciones micro y macrovasculares de la diabetes.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Se recomienda evaluar de manera sistemática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así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:</w:t>
      </w:r>
    </w:p>
    <w:p w14:paraId="0689B4AC" w14:textId="77777777" w:rsidR="0011367A" w:rsidRPr="0011367A" w:rsidRDefault="0011367A" w:rsidP="001136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Retinopatía diabética: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remisión a oftalmología desde el diagnóstico y control cada 1–2 años si no hay alteraciones. </w:t>
      </w:r>
    </w:p>
    <w:p w14:paraId="6BE4E23B" w14:textId="77777777" w:rsidR="0011367A" w:rsidRPr="0011367A" w:rsidRDefault="0011367A" w:rsidP="001136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Nefropatía diabética: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evaluación con creatinina sérica y RAC urinaria. </w:t>
      </w:r>
    </w:p>
    <w:p w14:paraId="46C7D0AB" w14:textId="77777777" w:rsidR="0011367A" w:rsidRPr="0011367A" w:rsidRDefault="0011367A" w:rsidP="001136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Neuropatía diabética y pie diabético: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examen de pies con inspección, prueba de monofilamento y evaluación sensitiva. </w:t>
      </w:r>
    </w:p>
    <w:p w14:paraId="7A9D04DD" w14:textId="77777777" w:rsidR="0011367A" w:rsidRPr="0011367A" w:rsidRDefault="0011367A" w:rsidP="001136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Enfermedad arterial periférica: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evaluación de pulsos distales y síntomas asociados. </w:t>
      </w:r>
    </w:p>
    <w:p w14:paraId="74D07CD5" w14:textId="65AB7416" w:rsidR="0011367A" w:rsidRDefault="0011367A" w:rsidP="001136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Compromiso cardiovascular: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identificación de síntomas o signos sugestivos de cardiopatía.</w:t>
      </w:r>
    </w:p>
    <w:p w14:paraId="6AE08672" w14:textId="77777777" w:rsidR="00FA2E7B" w:rsidRPr="0011367A" w:rsidRDefault="00FA2E7B" w:rsidP="00FA2E7B">
      <w:pPr>
        <w:pStyle w:val="NormalWeb"/>
        <w:spacing w:line="276" w:lineRule="auto"/>
        <w:ind w:left="720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39C20188" w14:textId="5052695B" w:rsidR="0011367A" w:rsidRPr="0011367A" w:rsidRDefault="0011367A" w:rsidP="0011367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</w:pPr>
      <w:r w:rsidRPr="0011367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  <w:lastRenderedPageBreak/>
        <w:t>Recomendación 5: Tratamiento no farmacológico</w:t>
      </w:r>
    </w:p>
    <w:p w14:paraId="62C19CF7" w14:textId="60F353FA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Se 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reconoce los cambios en el estilo de vida como pilar fundamental del manejo de la diabetes mellitus tipo 2.</w:t>
      </w:r>
    </w:p>
    <w:p w14:paraId="38AF9269" w14:textId="3B8E8E36" w:rsidR="0011367A" w:rsidRPr="0011367A" w:rsidRDefault="0011367A" w:rsidP="0011367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Por ende, se recomienda 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ref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orzar 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las intervenciones orientadas a:</w:t>
      </w:r>
    </w:p>
    <w:p w14:paraId="4290A873" w14:textId="77777777" w:rsidR="0011367A" w:rsidRPr="0011367A" w:rsidRDefault="0011367A" w:rsidP="0011367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Alimentación saludable individualizada </w:t>
      </w:r>
    </w:p>
    <w:p w14:paraId="429B299B" w14:textId="77777777" w:rsidR="0011367A" w:rsidRPr="0011367A" w:rsidRDefault="0011367A" w:rsidP="001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Reducción de carbohidratos refinados y azúcares simples </w:t>
      </w:r>
    </w:p>
    <w:p w14:paraId="5597F361" w14:textId="77777777" w:rsidR="0011367A" w:rsidRPr="0011367A" w:rsidRDefault="0011367A" w:rsidP="001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Incremento del consumo de vegetales y fibra </w:t>
      </w:r>
    </w:p>
    <w:p w14:paraId="4160A26F" w14:textId="77777777" w:rsidR="0011367A" w:rsidRPr="0011367A" w:rsidRDefault="0011367A" w:rsidP="001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Adopción de patrones alimentarios saludables como dieta mediterránea </w:t>
      </w:r>
    </w:p>
    <w:p w14:paraId="33446021" w14:textId="42FA6213" w:rsidR="0011367A" w:rsidRPr="00FA2E7B" w:rsidRDefault="00FA2E7B" w:rsidP="00FA2E7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</w:t>
      </w:r>
      <w:r w:rsidR="0011367A"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a actividad física:</w:t>
      </w:r>
    </w:p>
    <w:p w14:paraId="6128A9BA" w14:textId="77777777" w:rsidR="0011367A" w:rsidRPr="0011367A" w:rsidRDefault="0011367A" w:rsidP="00113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Al menos 150 minutos por semana de ejercicio aeróbico moderado </w:t>
      </w:r>
    </w:p>
    <w:p w14:paraId="7004394E" w14:textId="77777777" w:rsidR="0011367A" w:rsidRPr="0011367A" w:rsidRDefault="0011367A" w:rsidP="00113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Ejercicio de resistencia 2 a 3 veces por semana </w:t>
      </w:r>
    </w:p>
    <w:p w14:paraId="35997124" w14:textId="77777777" w:rsidR="0011367A" w:rsidRPr="0011367A" w:rsidRDefault="0011367A" w:rsidP="00FA2E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Meta de pérdida de peso entre </w:t>
      </w: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5–10%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(hasta 15% en pacientes de alto riesgo) </w:t>
      </w:r>
    </w:p>
    <w:p w14:paraId="5A963463" w14:textId="77777777" w:rsidR="0011367A" w:rsidRPr="0011367A" w:rsidRDefault="0011367A" w:rsidP="00FA2E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Consejería para </w:t>
      </w:r>
      <w:r w:rsidRPr="0011367A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cese de tabaquismo</w:t>
      </w: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4F64B0A7" w14:textId="42C008DA" w:rsidR="0011367A" w:rsidRDefault="0011367A" w:rsidP="00FA2E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1367A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Limitación del consumo de alcohol.</w:t>
      </w:r>
    </w:p>
    <w:p w14:paraId="6348C0D6" w14:textId="77777777" w:rsidR="00FA2E7B" w:rsidRPr="0011367A" w:rsidRDefault="00FA2E7B" w:rsidP="00FA2E7B">
      <w:pPr>
        <w:pStyle w:val="NormalWeb"/>
        <w:spacing w:line="276" w:lineRule="auto"/>
        <w:ind w:left="720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4B6D7E82" w14:textId="77777777" w:rsidR="00FA2E7B" w:rsidRPr="00FA2E7B" w:rsidRDefault="00FA2E7B" w:rsidP="00FA2E7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</w:pPr>
      <w:r w:rsidRPr="00FA2E7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  <w:t>Recomendación 6: Tratamiento farmacológico</w:t>
      </w:r>
    </w:p>
    <w:p w14:paraId="429B2029" w14:textId="77777777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 GPC establece que el tratamiento farmacológico debe individualizarse según el perfil clínico del paciente.</w:t>
      </w:r>
    </w:p>
    <w:p w14:paraId="542DA40D" w14:textId="77777777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Adaptación institucional: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br/>
        <w:t>El manejo farmacológico debe considerar:</w:t>
      </w:r>
    </w:p>
    <w:p w14:paraId="75FB7AC9" w14:textId="77777777" w:rsidR="00FA2E7B" w:rsidRPr="00FA2E7B" w:rsidRDefault="00FA2E7B" w:rsidP="00FA2E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Nivel de HbA1c </w:t>
      </w:r>
    </w:p>
    <w:p w14:paraId="4BA258B8" w14:textId="77777777" w:rsidR="00FA2E7B" w:rsidRPr="00FA2E7B" w:rsidRDefault="00FA2E7B" w:rsidP="00FA2E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Peso corporal </w:t>
      </w:r>
    </w:p>
    <w:p w14:paraId="2E3273AB" w14:textId="77777777" w:rsidR="00FA2E7B" w:rsidRPr="00FA2E7B" w:rsidRDefault="00FA2E7B" w:rsidP="00FA2E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Riesgo de hipoglucemia </w:t>
      </w:r>
    </w:p>
    <w:p w14:paraId="608C4561" w14:textId="77777777" w:rsidR="00FA2E7B" w:rsidRPr="00FA2E7B" w:rsidRDefault="00FA2E7B" w:rsidP="00FA2E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Presencia de enfermedad cardiovascular, insuficiencia cardiaca o enfermedad renal crónica. </w:t>
      </w:r>
    </w:p>
    <w:p w14:paraId="004E876A" w14:textId="2EBA5725" w:rsid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Se enfatiza que el tratamiento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no debe centrarse únicamente en el control de la glucosa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, sino en el riesgo 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cardio metabólico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global.</w:t>
      </w:r>
    </w:p>
    <w:p w14:paraId="3DADE1EF" w14:textId="52C17034" w:rsidR="00C2344F" w:rsidRDefault="00C2344F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61FA67AF" w14:textId="7D34A612" w:rsidR="00C2344F" w:rsidRDefault="00C2344F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67D40D54" w14:textId="02C5AB27" w:rsidR="009310C0" w:rsidRPr="00FA2E7B" w:rsidRDefault="009310C0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lastRenderedPageBreak/>
        <w:t>Inicio de tratamiento:</w:t>
      </w:r>
    </w:p>
    <w:p w14:paraId="37DE1126" w14:textId="5E689AE2" w:rsidR="00C2344F" w:rsidRDefault="00C2344F" w:rsidP="00C2344F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La </w:t>
      </w:r>
      <w:r w:rsidRPr="00C2344F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metformina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se mantiene como el fármaco inicial de elección en la mayoría de los pacientes, siempre que no existan contraindicaciones.</w:t>
      </w:r>
    </w:p>
    <w:p w14:paraId="6E0AC909" w14:textId="77777777" w:rsidR="00C2344F" w:rsidRPr="00C2344F" w:rsidRDefault="00C2344F" w:rsidP="00C2344F">
      <w:pPr>
        <w:pStyle w:val="Prrafodelista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2E7B3406" w14:textId="77777777" w:rsidR="00C2344F" w:rsidRDefault="00C2344F" w:rsidP="00C2344F">
      <w:pPr>
        <w:pStyle w:val="Prrafodelista"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Este medicamento presenta alta eficacia en la reducción de la HbA1c, bajo riesgo de hipoglucemia y un perfil de seguridad favorable. Debe utilizarse con precaución en pacientes con deterioro de la función renal y está contraindicad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o </w:t>
      </w:r>
      <w:r w:rsidRPr="00C2344F">
        <w:rPr>
          <w:rFonts w:asciiTheme="majorHAnsi" w:eastAsia="Times New Roman" w:hAnsiTheme="majorHAnsi" w:cstheme="majorHAnsi"/>
          <w:sz w:val="24"/>
          <w:szCs w:val="24"/>
          <w:u w:val="single"/>
          <w:lang w:val="es-CO" w:eastAsia="es-CO"/>
        </w:rPr>
        <w:t>su inicio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cuando la tasa de filtración glomerular es menor de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45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ml/min/1.73 m²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o </w:t>
      </w:r>
      <w:r w:rsidRPr="00C2344F">
        <w:rPr>
          <w:rFonts w:asciiTheme="majorHAnsi" w:eastAsia="Times New Roman" w:hAnsiTheme="majorHAnsi" w:cstheme="majorHAnsi"/>
          <w:sz w:val="24"/>
          <w:szCs w:val="24"/>
          <w:u w:val="single"/>
          <w:lang w:val="es-CO" w:eastAsia="es-CO"/>
        </w:rPr>
        <w:t>su continuidad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cuando 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la tasa de filtración glomerular es menor de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30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ml/min/1.73 m²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. </w:t>
      </w:r>
    </w:p>
    <w:p w14:paraId="36030FA6" w14:textId="77777777" w:rsidR="00C2344F" w:rsidRDefault="00C2344F" w:rsidP="00C2344F">
      <w:pPr>
        <w:pStyle w:val="Prrafodelista"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4AFC4151" w14:textId="47878B98" w:rsidR="00C2344F" w:rsidRPr="00C2344F" w:rsidRDefault="00C2344F" w:rsidP="00C2344F">
      <w:pPr>
        <w:pStyle w:val="Prrafodelista"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Considere iniciar tratamiento en </w:t>
      </w:r>
      <w:r w:rsidRPr="00C2344F">
        <w:rPr>
          <w:rFonts w:asciiTheme="majorHAnsi" w:eastAsia="Times New Roman" w:hAnsiTheme="majorHAnsi" w:cstheme="majorHAnsi"/>
          <w:sz w:val="24"/>
          <w:szCs w:val="24"/>
          <w:u w:val="single"/>
          <w:lang w:val="es-CO" w:eastAsia="es-CO"/>
        </w:rPr>
        <w:t xml:space="preserve">monoterapia 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cuando la HbA1c no se encuentre más de 1% por encima de la meta individualizada y el paciente no presente condiciones clínicas como enfermedad cardiovascular establecida, enfermedad renal crónica, insuficiencia cardiaca u obesidad.</w:t>
      </w:r>
    </w:p>
    <w:p w14:paraId="0D93D119" w14:textId="7AC96420" w:rsidR="00C2344F" w:rsidRDefault="00C2344F" w:rsidP="00C2344F">
      <w:pPr>
        <w:pStyle w:val="Prrafodelista"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1B131ABC" w14:textId="5A638CE8" w:rsidR="00C2344F" w:rsidRPr="009310C0" w:rsidRDefault="00C2344F" w:rsidP="00C2344F">
      <w:pPr>
        <w:pStyle w:val="Prrafodelista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hAnsiTheme="majorHAnsi" w:cstheme="majorHAnsi"/>
          <w:sz w:val="24"/>
          <w:szCs w:val="24"/>
          <w:lang w:val="es-CO"/>
        </w:rPr>
        <w:t xml:space="preserve">Si el paciente presenta </w:t>
      </w:r>
      <w:r w:rsidRPr="00C2344F">
        <w:rPr>
          <w:rStyle w:val="Textoennegrita"/>
          <w:rFonts w:asciiTheme="majorHAnsi" w:hAnsiTheme="majorHAnsi" w:cstheme="majorHAnsi"/>
          <w:sz w:val="24"/>
          <w:szCs w:val="24"/>
          <w:lang w:val="es-CO"/>
        </w:rPr>
        <w:t>HbA1c mayor de 1% por encima de la meta</w:t>
      </w:r>
      <w:r>
        <w:rPr>
          <w:rStyle w:val="Textoennegrita"/>
          <w:rFonts w:asciiTheme="majorHAnsi" w:hAnsiTheme="majorHAnsi" w:cstheme="majorHAnsi"/>
          <w:sz w:val="24"/>
          <w:szCs w:val="24"/>
          <w:lang w:val="es-CO"/>
        </w:rPr>
        <w:t xml:space="preserve"> individualizada</w:t>
      </w:r>
      <w:r w:rsidRPr="00C2344F">
        <w:rPr>
          <w:rFonts w:asciiTheme="majorHAnsi" w:hAnsiTheme="majorHAnsi" w:cstheme="majorHAnsi"/>
          <w:sz w:val="24"/>
          <w:szCs w:val="24"/>
          <w:lang w:val="es-CO"/>
        </w:rPr>
        <w:t xml:space="preserve">, se recomienda considerar </w:t>
      </w:r>
      <w:r w:rsidRPr="00C2344F">
        <w:rPr>
          <w:rStyle w:val="Textoennegrita"/>
          <w:rFonts w:asciiTheme="majorHAnsi" w:hAnsiTheme="majorHAnsi" w:cstheme="majorHAnsi"/>
          <w:b w:val="0"/>
          <w:bCs w:val="0"/>
          <w:sz w:val="24"/>
          <w:szCs w:val="24"/>
          <w:u w:val="single"/>
          <w:lang w:val="es-CO"/>
        </w:rPr>
        <w:t>terapia combinada</w:t>
      </w:r>
      <w:r w:rsidRPr="00C2344F">
        <w:rPr>
          <w:rStyle w:val="Textoennegrita"/>
          <w:rFonts w:asciiTheme="majorHAnsi" w:hAnsiTheme="majorHAnsi" w:cstheme="majorHAnsi"/>
          <w:b w:val="0"/>
          <w:bCs w:val="0"/>
          <w:sz w:val="24"/>
          <w:szCs w:val="24"/>
          <w:lang w:val="es-CO"/>
        </w:rPr>
        <w:t xml:space="preserve"> desde el inicio</w:t>
      </w:r>
      <w:r w:rsidRPr="00C2344F">
        <w:rPr>
          <w:rFonts w:asciiTheme="majorHAnsi" w:hAnsiTheme="majorHAnsi" w:cstheme="majorHAnsi"/>
          <w:sz w:val="24"/>
          <w:szCs w:val="24"/>
          <w:lang w:val="es-CO"/>
        </w:rPr>
        <w:t>, con el objetivo de mejorar el control glucémico y reducir el riesgo cardiovascular y renal.</w:t>
      </w:r>
    </w:p>
    <w:p w14:paraId="382186EF" w14:textId="77777777" w:rsidR="009310C0" w:rsidRPr="009310C0" w:rsidRDefault="009310C0" w:rsidP="009310C0">
      <w:pPr>
        <w:pStyle w:val="Prrafodelista"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16AD2A74" w14:textId="309A3F5F" w:rsidR="00C2344F" w:rsidRPr="00C2344F" w:rsidRDefault="00C2344F" w:rsidP="009310C0">
      <w:pPr>
        <w:pStyle w:val="Ttulo3"/>
        <w:numPr>
          <w:ilvl w:val="0"/>
          <w:numId w:val="20"/>
        </w:numPr>
        <w:spacing w:after="240"/>
        <w:jc w:val="both"/>
        <w:rPr>
          <w:color w:val="auto"/>
          <w:lang w:val="es-CO"/>
        </w:rPr>
      </w:pPr>
      <w:r w:rsidRPr="00C2344F">
        <w:rPr>
          <w:color w:val="auto"/>
          <w:lang w:val="es-CO"/>
        </w:rPr>
        <w:t>Pacientes con enfermedad cardiovascular aterosclerótica establecida o alto riesgo cardiovascular</w:t>
      </w:r>
      <w:r w:rsidRPr="00C2344F">
        <w:rPr>
          <w:color w:val="auto"/>
          <w:lang w:val="es-CO"/>
        </w:rPr>
        <w:t>, s</w:t>
      </w:r>
      <w:r w:rsidRPr="00C2344F">
        <w:rPr>
          <w:color w:val="auto"/>
          <w:lang w:val="es-CO"/>
        </w:rPr>
        <w:t>e recomienda priorizar el uso de:</w:t>
      </w:r>
      <w:r w:rsidRPr="00C2344F">
        <w:rPr>
          <w:color w:val="auto"/>
          <w:lang w:val="es-CO"/>
        </w:rPr>
        <w:t xml:space="preserve"> </w:t>
      </w:r>
      <w:r w:rsidRPr="00C2344F">
        <w:rPr>
          <w:rStyle w:val="Textoennegrita"/>
          <w:color w:val="auto"/>
          <w:lang w:val="es-CO"/>
        </w:rPr>
        <w:t>Inhibidores del cotransportador sodio-glucosa tipo 2 (iSGLT2</w:t>
      </w:r>
      <w:r w:rsidRPr="00C2344F">
        <w:rPr>
          <w:rStyle w:val="Textoennegrita"/>
          <w:color w:val="auto"/>
          <w:lang w:val="es-CO"/>
        </w:rPr>
        <w:t>)</w:t>
      </w:r>
      <w:r w:rsidRPr="00C2344F">
        <w:rPr>
          <w:color w:val="auto"/>
          <w:lang w:val="es-CO"/>
        </w:rPr>
        <w:t xml:space="preserve"> y/o </w:t>
      </w:r>
      <w:r w:rsidRPr="00C2344F">
        <w:rPr>
          <w:rStyle w:val="Textoennegrita"/>
          <w:color w:val="auto"/>
          <w:lang w:val="es-CO"/>
        </w:rPr>
        <w:t>Agonistas del receptor GLP-1 (aGLP-1)</w:t>
      </w:r>
      <w:r>
        <w:rPr>
          <w:color w:val="auto"/>
          <w:lang w:val="es-CO"/>
        </w:rPr>
        <w:t xml:space="preserve">. </w:t>
      </w:r>
      <w:r w:rsidRPr="00C2344F">
        <w:rPr>
          <w:color w:val="auto"/>
          <w:lang w:val="es-CO"/>
        </w:rPr>
        <w:t>Estos medicamentos han demostrado beneficios cardiovasculares y renales adicionales, más allá del control glucémico.</w:t>
      </w:r>
    </w:p>
    <w:p w14:paraId="524ACB15" w14:textId="0463A3C2" w:rsidR="00C2344F" w:rsidRDefault="00C2344F" w:rsidP="009310C0">
      <w:pPr>
        <w:pStyle w:val="Prrafodelista"/>
        <w:numPr>
          <w:ilvl w:val="0"/>
          <w:numId w:val="20"/>
        </w:numPr>
        <w:spacing w:before="100" w:beforeAutospacing="1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Se recomienda preferir </w:t>
      </w:r>
      <w:r w:rsidRPr="00C2344F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iSGLT2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 dado su efecto favorable en la reducción de hospitalizaciones por insuficiencia cardiaca y progresión de la enfermedad.</w:t>
      </w:r>
    </w:p>
    <w:p w14:paraId="7D8DFCA6" w14:textId="77777777" w:rsidR="009310C0" w:rsidRDefault="009310C0" w:rsidP="009310C0">
      <w:pPr>
        <w:pStyle w:val="Prrafodelista"/>
        <w:spacing w:before="100" w:beforeAutospacing="1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218C7F60" w14:textId="18613FFF" w:rsidR="00C2344F" w:rsidRDefault="00C2344F" w:rsidP="009310C0">
      <w:pPr>
        <w:pStyle w:val="Prrafodelista"/>
        <w:numPr>
          <w:ilvl w:val="0"/>
          <w:numId w:val="20"/>
        </w:numPr>
        <w:spacing w:before="100" w:beforeAutospacing="1" w:after="24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Se recomienda el uso de </w:t>
      </w:r>
      <w:r w:rsidRPr="00C2344F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iSGLT2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cuando la tasa de filtración glomerular lo permita</w:t>
      </w:r>
      <w:r w:rsid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(TFG ≥ 20 </w:t>
      </w:r>
      <w:r w:rsidR="009310C0"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ml/min/1.73 m²</w:t>
      </w:r>
      <w:r w:rsid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)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 debido a su efecto protector renal.</w:t>
      </w:r>
    </w:p>
    <w:p w14:paraId="17824B4D" w14:textId="77777777" w:rsidR="009310C0" w:rsidRPr="009310C0" w:rsidRDefault="009310C0" w:rsidP="009310C0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25FF5D51" w14:textId="6D7210BF" w:rsidR="00C2344F" w:rsidRPr="009310C0" w:rsidRDefault="00C2344F" w:rsidP="009310C0">
      <w:pPr>
        <w:pStyle w:val="Prrafodelista"/>
        <w:numPr>
          <w:ilvl w:val="0"/>
          <w:numId w:val="20"/>
        </w:numPr>
        <w:spacing w:before="100" w:beforeAutospacing="1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En pacientes con albuminuria persistente a pesar del uso de IECA</w:t>
      </w:r>
      <w:r w:rsid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/A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RA II</w:t>
      </w:r>
      <w:r w:rsid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y iSGLT2</w:t>
      </w:r>
      <w:r w:rsidRPr="00C2344F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, puede considerarse el uso de </w:t>
      </w:r>
      <w:r w:rsidRPr="00C2344F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finerenona</w:t>
      </w:r>
      <w:r w:rsid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.</w:t>
      </w:r>
    </w:p>
    <w:p w14:paraId="397D3993" w14:textId="77777777" w:rsidR="009310C0" w:rsidRPr="009310C0" w:rsidRDefault="009310C0" w:rsidP="009310C0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4BF963FA" w14:textId="6E4EAB9F" w:rsidR="009310C0" w:rsidRPr="009310C0" w:rsidRDefault="009310C0" w:rsidP="009310C0">
      <w:pPr>
        <w:pStyle w:val="Prrafodelista"/>
        <w:numPr>
          <w:ilvl w:val="0"/>
          <w:numId w:val="20"/>
        </w:numPr>
        <w:spacing w:before="100" w:beforeAutospacing="1" w:after="240" w:line="240" w:lineRule="auto"/>
        <w:jc w:val="both"/>
        <w:rPr>
          <w:rFonts w:asciiTheme="majorHAnsi" w:eastAsia="Times New Roman" w:hAnsiTheme="majorHAnsi" w:cstheme="majorHAnsi"/>
          <w:sz w:val="28"/>
          <w:szCs w:val="28"/>
          <w:lang w:val="es-CO" w:eastAsia="es-CO"/>
        </w:rPr>
      </w:pPr>
      <w:r w:rsidRPr="009310C0">
        <w:rPr>
          <w:rFonts w:asciiTheme="majorHAnsi" w:hAnsiTheme="majorHAnsi" w:cstheme="majorHAnsi"/>
          <w:sz w:val="24"/>
          <w:szCs w:val="24"/>
          <w:lang w:val="es-CO"/>
        </w:rPr>
        <w:t xml:space="preserve">Se recomienda priorizar el uso de </w:t>
      </w:r>
      <w:r w:rsidRPr="009310C0">
        <w:rPr>
          <w:rStyle w:val="Textoennegrita"/>
          <w:rFonts w:asciiTheme="majorHAnsi" w:hAnsiTheme="majorHAnsi" w:cstheme="majorHAnsi"/>
          <w:sz w:val="24"/>
          <w:szCs w:val="24"/>
          <w:lang w:val="es-CO"/>
        </w:rPr>
        <w:t>agonistas GLP-1</w:t>
      </w:r>
      <w:r w:rsidRPr="009310C0">
        <w:rPr>
          <w:rFonts w:asciiTheme="majorHAnsi" w:hAnsiTheme="majorHAnsi" w:cstheme="majorHAnsi"/>
          <w:sz w:val="24"/>
          <w:szCs w:val="24"/>
          <w:lang w:val="es-CO"/>
        </w:rPr>
        <w:t>, los cuales presentan efectos favorables en la reducción de peso y en el control glucémico</w:t>
      </w:r>
    </w:p>
    <w:p w14:paraId="0DD61366" w14:textId="2D706949" w:rsidR="00FA2E7B" w:rsidRDefault="00FA2E7B" w:rsidP="00EA6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lastRenderedPageBreak/>
        <w:t xml:space="preserve">Se desaconseja el uso inicial de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sulfonilureas en terapia combinada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cuando existan alternativas con mayor beneficio 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cardio metabólico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.</w:t>
      </w:r>
    </w:p>
    <w:p w14:paraId="0177AA3A" w14:textId="7443B0EF" w:rsidR="009310C0" w:rsidRPr="009310C0" w:rsidRDefault="009310C0" w:rsidP="009310C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  <w:t>Intensificación del tratamiento</w:t>
      </w: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  <w:t>:</w:t>
      </w:r>
    </w:p>
    <w:p w14:paraId="66CA3621" w14:textId="3B30055A" w:rsidR="009310C0" w:rsidRPr="009310C0" w:rsidRDefault="009310C0" w:rsidP="009310C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Si el paciente no alcanza las metas de control con dos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medicamentos hipoglucemiantes orales, se debe considerar:</w:t>
      </w:r>
    </w:p>
    <w:p w14:paraId="768B7FA1" w14:textId="77777777" w:rsidR="009310C0" w:rsidRPr="009310C0" w:rsidRDefault="009310C0" w:rsidP="009310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Adición de un tercer agente hipoglucemiante, o </w:t>
      </w:r>
    </w:p>
    <w:p w14:paraId="60AC4184" w14:textId="115EF27F" w:rsidR="009310C0" w:rsidRPr="009310C0" w:rsidRDefault="009310C0" w:rsidP="009310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Inicio de terapia inyectable</w:t>
      </w:r>
    </w:p>
    <w:p w14:paraId="4B5A52DF" w14:textId="77777777" w:rsidR="009310C0" w:rsidRPr="009310C0" w:rsidRDefault="009310C0" w:rsidP="009310C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En pacientes con mal control glucémico persistente, se recomienda preferir </w:t>
      </w: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agonistas GLP-1 antes de iniciar esquemas complejos de insulina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 siempre que no existan contraindicaciones.</w:t>
      </w:r>
    </w:p>
    <w:p w14:paraId="623793F5" w14:textId="77777777" w:rsidR="009310C0" w:rsidRPr="009310C0" w:rsidRDefault="009310C0" w:rsidP="009310C0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  <w:t>Criterios de inicio de insulina</w:t>
      </w:r>
    </w:p>
    <w:p w14:paraId="093403E9" w14:textId="77777777" w:rsidR="009310C0" w:rsidRPr="009310C0" w:rsidRDefault="009310C0" w:rsidP="009310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Se recomienda iniciar tratamiento con insulina en las siguientes situaciones:</w:t>
      </w:r>
    </w:p>
    <w:p w14:paraId="2B86B652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Glucosa ≥300 mg/dL </w:t>
      </w:r>
    </w:p>
    <w:p w14:paraId="6A0D35DD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HbA1c &gt;10% </w:t>
      </w:r>
    </w:p>
    <w:p w14:paraId="17D84378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Síntomas severos de hiperglucemia (poliuria, polidipsia, pérdida de peso) </w:t>
      </w:r>
    </w:p>
    <w:p w14:paraId="5EA10073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Presencia de cetonuria o cetonemia </w:t>
      </w:r>
    </w:p>
    <w:p w14:paraId="619B1BE9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Sospecha de </w:t>
      </w:r>
      <w:proofErr w:type="spellStart"/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insulinopenia</w:t>
      </w:r>
      <w:proofErr w:type="spellEnd"/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168A9536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Fracaso terapéutico con múltiples agentes </w:t>
      </w:r>
    </w:p>
    <w:p w14:paraId="5D8AEABE" w14:textId="77777777" w:rsidR="009310C0" w:rsidRPr="009310C0" w:rsidRDefault="009310C0" w:rsidP="009310C0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Situaciones clínicas especiales como enfermedad aguda o uso de corticoides. </w:t>
      </w:r>
    </w:p>
    <w:p w14:paraId="352A31B0" w14:textId="77777777" w:rsidR="009310C0" w:rsidRPr="009310C0" w:rsidRDefault="009310C0" w:rsidP="009310C0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s-CO" w:eastAsia="es-CO"/>
        </w:rPr>
        <w:t>Esquemas de insulinización</w:t>
      </w:r>
    </w:p>
    <w:p w14:paraId="2EC0F46C" w14:textId="77777777" w:rsidR="009310C0" w:rsidRPr="009310C0" w:rsidRDefault="009310C0" w:rsidP="009310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Cuando se inicia insulinoterapia, se recomienda comenzar con </w:t>
      </w: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insulina basal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 generalmente con una dosis inicial aproximada de:</w:t>
      </w:r>
    </w:p>
    <w:p w14:paraId="3B6D91A6" w14:textId="77777777" w:rsidR="009310C0" w:rsidRPr="009310C0" w:rsidRDefault="009310C0" w:rsidP="009310C0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10 unidades/día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o </w:t>
      </w:r>
    </w:p>
    <w:p w14:paraId="757972E8" w14:textId="77777777" w:rsidR="009310C0" w:rsidRPr="009310C0" w:rsidRDefault="009310C0" w:rsidP="009310C0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0.1 – 0.2 U/kg/día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4F3A13CF" w14:textId="77777777" w:rsidR="009310C0" w:rsidRPr="009310C0" w:rsidRDefault="009310C0" w:rsidP="009310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Si el control glucémico continúa siendo insuficiente, puede considerarse la intensificación mediante:</w:t>
      </w:r>
    </w:p>
    <w:p w14:paraId="0216CAD6" w14:textId="77777777" w:rsidR="009310C0" w:rsidRPr="009310C0" w:rsidRDefault="009310C0" w:rsidP="009310C0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Esquema </w:t>
      </w: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basal plus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(insulina prandial en la comida principal) </w:t>
      </w:r>
    </w:p>
    <w:p w14:paraId="3F703707" w14:textId="77777777" w:rsidR="009310C0" w:rsidRPr="009310C0" w:rsidRDefault="009310C0" w:rsidP="009310C0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Esquema </w:t>
      </w:r>
      <w:r w:rsidRPr="009310C0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basal-bolo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, distribuyendo aproximadamente el 50% de la dosis como insulina basal y el 50% restante como insulina prandial. </w:t>
      </w:r>
    </w:p>
    <w:p w14:paraId="4C83F401" w14:textId="77777777" w:rsidR="009310C0" w:rsidRDefault="009310C0" w:rsidP="009310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473517E3" w14:textId="77777777" w:rsidR="009310C0" w:rsidRPr="009310C0" w:rsidRDefault="009310C0" w:rsidP="009310C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lastRenderedPageBreak/>
        <w:t xml:space="preserve">Es importante tener en cuenta que </w:t>
      </w:r>
      <w:r w:rsidRPr="009310C0">
        <w:rPr>
          <w:rFonts w:asciiTheme="majorHAnsi" w:eastAsia="Times New Roman" w:hAnsiTheme="majorHAnsi" w:cstheme="majorHAnsi"/>
          <w:b/>
          <w:bCs/>
          <w:color w:val="C00000"/>
          <w:sz w:val="24"/>
          <w:szCs w:val="24"/>
          <w:u w:val="single"/>
          <w:lang w:val="es-CO" w:eastAsia="es-CO"/>
        </w:rPr>
        <w:t>no se recomienda la combinación de inhibidores DPP-4 con agonistas GLP-1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, ya que ambos medicamentos actúan sobre la misma vía incretina y no proporcionan beneficios adicionales clínicamente relevantes. </w:t>
      </w:r>
    </w:p>
    <w:p w14:paraId="5AE23DE0" w14:textId="77777777" w:rsidR="009310C0" w:rsidRPr="009310C0" w:rsidRDefault="009310C0" w:rsidP="009310C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Asimismo, durante el seguimiento se debe evaluar periódicamente:</w:t>
      </w:r>
    </w:p>
    <w:p w14:paraId="346C8F1F" w14:textId="484E890F" w:rsidR="009310C0" w:rsidRPr="009310C0" w:rsidRDefault="009310C0" w:rsidP="009310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A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dherencia al tratamiento </w:t>
      </w:r>
    </w:p>
    <w:p w14:paraId="43BB5C72" w14:textId="239A3FC2" w:rsidR="009310C0" w:rsidRPr="009310C0" w:rsidRDefault="009310C0" w:rsidP="009310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P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resencia de hipoglucemias </w:t>
      </w:r>
    </w:p>
    <w:p w14:paraId="05D6667F" w14:textId="03CFB815" w:rsidR="009310C0" w:rsidRPr="009310C0" w:rsidRDefault="009310C0" w:rsidP="009310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fectos adversos de los medicamentos </w:t>
      </w:r>
    </w:p>
    <w:p w14:paraId="0D26CAE4" w14:textId="6A1234D3" w:rsidR="009310C0" w:rsidRPr="009310C0" w:rsidRDefault="009310C0" w:rsidP="009310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N</w:t>
      </w:r>
      <w:r w:rsidRPr="009310C0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ecesidad de ajuste terapéutico.</w:t>
      </w:r>
    </w:p>
    <w:p w14:paraId="7A19CC70" w14:textId="77777777" w:rsidR="00FA2E7B" w:rsidRPr="0011367A" w:rsidRDefault="00FA2E7B" w:rsidP="00FA2E7B">
      <w:pPr>
        <w:pStyle w:val="NormalWeb"/>
        <w:spacing w:line="276" w:lineRule="auto"/>
        <w:ind w:left="720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424899EA" w14:textId="77777777" w:rsidR="00FA2E7B" w:rsidRPr="00FA2E7B" w:rsidRDefault="00FA2E7B" w:rsidP="00FA2E7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</w:pPr>
      <w:r w:rsidRPr="00FA2E7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  <w:t>Recomendación 7: Metas de tratamiento</w:t>
      </w:r>
    </w:p>
    <w:p w14:paraId="76458490" w14:textId="77777777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La GPC establece metas individualizadas para el control metabólico.</w:t>
      </w:r>
    </w:p>
    <w:p w14:paraId="4D0FDF7C" w14:textId="13A87B22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Meta general: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HbA1c &lt;7%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388B7435" w14:textId="2ED82CAC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Metas más estrictas: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HbA1c &lt;6,5%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en pacientes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sin comorbilidades asociadas, larga expectativa de vida y 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bajo riesgo de hipoglucemia. </w:t>
      </w:r>
    </w:p>
    <w:p w14:paraId="6EDF3202" w14:textId="3F5CA292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Metas menos estrictas: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HbA1c entre 7% y 8%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en adultos mayores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con comorbilidades significativas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, perfil de fragilidad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o alto riesgo de hipoglucemia. </w:t>
      </w:r>
    </w:p>
    <w:p w14:paraId="038E651A" w14:textId="77777777" w:rsidR="00FA2E7B" w:rsidRPr="00FA2E7B" w:rsidRDefault="00FA2E7B" w:rsidP="00FA2E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Otras metas de control incluyen:</w:t>
      </w:r>
    </w:p>
    <w:p w14:paraId="08C938FE" w14:textId="2D186E06" w:rsidR="00FA2E7B" w:rsidRP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Glucemia 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prep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r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andial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: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80–130 mg/dL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2A9C11A3" w14:textId="77777777" w:rsidR="00FA2E7B" w:rsidRP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Glucemia posprandial: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≤180 mg/dL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</w:t>
      </w:r>
    </w:p>
    <w:p w14:paraId="405D57E2" w14:textId="77777777" w:rsidR="00FA2E7B" w:rsidRP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LDL según riesgo cardiovascular </w:t>
      </w:r>
    </w:p>
    <w:p w14:paraId="58013F62" w14:textId="77777777" w:rsidR="00FA2E7B" w:rsidRP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Triglicéridos &lt;150 mg/dL </w:t>
      </w:r>
    </w:p>
    <w:p w14:paraId="42E97AFA" w14:textId="7C47171D" w:rsidR="00FA2E7B" w:rsidRP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Presión arterial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≤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130/80 mmHg </w:t>
      </w:r>
    </w:p>
    <w:p w14:paraId="121FA3A3" w14:textId="2831E305" w:rsidR="00FA2E7B" w:rsidRDefault="00FA2E7B" w:rsidP="00FA2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Pérdida de peso entre 5–15%.</w:t>
      </w:r>
    </w:p>
    <w:p w14:paraId="324D08B3" w14:textId="77777777" w:rsidR="00FA2E7B" w:rsidRPr="0011367A" w:rsidRDefault="00FA2E7B" w:rsidP="00FA2E7B">
      <w:pPr>
        <w:pStyle w:val="NormalWeb"/>
        <w:spacing w:line="276" w:lineRule="auto"/>
        <w:ind w:left="720"/>
        <w:jc w:val="right"/>
        <w:rPr>
          <w:rFonts w:asciiTheme="majorHAnsi" w:hAnsiTheme="majorHAnsi" w:cstheme="majorHAnsi"/>
          <w:u w:val="single"/>
        </w:rPr>
      </w:pP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p w14:paraId="2C7DC32E" w14:textId="77777777" w:rsidR="00FA2E7B" w:rsidRPr="00FA2E7B" w:rsidRDefault="00FA2E7B" w:rsidP="00FA2E7B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</w:pPr>
      <w:r w:rsidRPr="00FA2E7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u w:val="single"/>
          <w:lang w:val="es-CO" w:eastAsia="es-CO"/>
        </w:rPr>
        <w:t>Recomendación 8: Seguimiento y controles</w:t>
      </w:r>
    </w:p>
    <w:p w14:paraId="70BDC038" w14:textId="77777777" w:rsidR="00FA2E7B" w:rsidRPr="00FA2E7B" w:rsidRDefault="00FA2E7B" w:rsidP="00FA2E7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Se establecen controles periódicos según </w:t>
      </w:r>
      <w:proofErr w:type="spellStart"/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condición</w:t>
      </w:r>
      <w:proofErr w:type="spellEnd"/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clínica del paciente y presencia de complicaciones, incluyendo:</w:t>
      </w:r>
    </w:p>
    <w:p w14:paraId="3A842047" w14:textId="77777777" w:rsidR="00FA2E7B" w:rsidRPr="00FA2E7B" w:rsidRDefault="00FA2E7B" w:rsidP="00FA2E7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Control oftalmológico cada </w:t>
      </w:r>
      <w:r w:rsidRPr="00FA2E7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1–2 años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en pacientes sin retinopatía. </w:t>
      </w:r>
    </w:p>
    <w:p w14:paraId="79D7080D" w14:textId="604EDA74" w:rsidR="00FA2E7B" w:rsidRPr="00FA2E7B" w:rsidRDefault="00FA2E7B" w:rsidP="00FA2E7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Remisión a nefrología en pacientes con enfermedad renal </w:t>
      </w:r>
      <w:r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estadio IV y V</w:t>
      </w: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o deterioro rápido de la función renal. </w:t>
      </w:r>
    </w:p>
    <w:p w14:paraId="495CC6C5" w14:textId="6DCA6E6A" w:rsidR="00FA2E7B" w:rsidRDefault="00FA2E7B" w:rsidP="00FA2E7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lastRenderedPageBreak/>
        <w:t xml:space="preserve">Seguimiento multidisciplinario con Medicina Familiar y otros servicios según requerimientos clínicos (cardiología, nutrición, psicología, cirugía vascular u obesidad). </w:t>
      </w:r>
    </w:p>
    <w:p w14:paraId="3CACA0A6" w14:textId="23B73806" w:rsidR="0011367A" w:rsidRPr="00FA2E7B" w:rsidRDefault="00FA2E7B" w:rsidP="003776A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</w:pPr>
      <w:r w:rsidRPr="00FA2E7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Control en programa institucional de riesgo cardiovascular cada 3 meses. Sólo indicar seguimiento al mes en pacientes con: inicio de insulinoterapia, presencia de hipoglucemias, glucometrías fuera de metas y requiere ajuste con insulina.</w:t>
      </w:r>
    </w:p>
    <w:p w14:paraId="46ED00B7" w14:textId="578172D2" w:rsidR="00FA2E7B" w:rsidRPr="00FA2E7B" w:rsidRDefault="00FA2E7B" w:rsidP="009310C0">
      <w:pPr>
        <w:pStyle w:val="NormalWeb"/>
        <w:spacing w:line="276" w:lineRule="auto"/>
        <w:ind w:left="720"/>
        <w:jc w:val="right"/>
        <w:rPr>
          <w:rFonts w:asciiTheme="majorHAnsi" w:hAnsiTheme="majorHAnsi" w:cstheme="majorHAnsi"/>
          <w:b/>
          <w:bCs/>
          <w:u w:val="single"/>
        </w:rPr>
      </w:pPr>
      <w:r>
        <w:rPr>
          <w:rFonts w:asciiTheme="majorHAnsi" w:hAnsiTheme="majorHAnsi" w:cstheme="majorHAnsi"/>
        </w:rPr>
        <w:t xml:space="preserve"> </w:t>
      </w:r>
      <w:r w:rsidRPr="0011367A">
        <w:rPr>
          <w:rFonts w:asciiTheme="majorHAnsi" w:hAnsiTheme="majorHAnsi" w:cstheme="majorHAnsi"/>
          <w:u w:val="single"/>
        </w:rPr>
        <w:t>Ver Ruta Clínica Institucional</w:t>
      </w:r>
    </w:p>
    <w:sectPr w:rsidR="00FA2E7B" w:rsidRPr="00FA2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894D3" w14:textId="77777777" w:rsidR="00052082" w:rsidRDefault="00052082" w:rsidP="008F650C">
      <w:pPr>
        <w:spacing w:after="0" w:line="240" w:lineRule="auto"/>
      </w:pPr>
      <w:r>
        <w:separator/>
      </w:r>
    </w:p>
  </w:endnote>
  <w:endnote w:type="continuationSeparator" w:id="0">
    <w:p w14:paraId="152452F6" w14:textId="77777777" w:rsidR="00052082" w:rsidRDefault="00052082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D7983" w14:textId="77777777" w:rsidR="00052082" w:rsidRDefault="00052082" w:rsidP="008F650C">
      <w:pPr>
        <w:spacing w:after="0" w:line="240" w:lineRule="auto"/>
      </w:pPr>
      <w:r>
        <w:separator/>
      </w:r>
    </w:p>
  </w:footnote>
  <w:footnote w:type="continuationSeparator" w:id="0">
    <w:p w14:paraId="05D68354" w14:textId="77777777" w:rsidR="00052082" w:rsidRDefault="00052082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052082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052082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052082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179"/>
    <w:multiLevelType w:val="multilevel"/>
    <w:tmpl w:val="9FE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6BDF"/>
    <w:multiLevelType w:val="multilevel"/>
    <w:tmpl w:val="111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35B9"/>
    <w:multiLevelType w:val="multilevel"/>
    <w:tmpl w:val="52AACD4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5F59"/>
    <w:multiLevelType w:val="multilevel"/>
    <w:tmpl w:val="39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66F3C"/>
    <w:multiLevelType w:val="hybridMultilevel"/>
    <w:tmpl w:val="1CD477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F6057"/>
    <w:multiLevelType w:val="hybridMultilevel"/>
    <w:tmpl w:val="55F4EB5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61AA"/>
    <w:multiLevelType w:val="multilevel"/>
    <w:tmpl w:val="FEC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5E3D"/>
    <w:multiLevelType w:val="multilevel"/>
    <w:tmpl w:val="411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C1E48"/>
    <w:multiLevelType w:val="multilevel"/>
    <w:tmpl w:val="B59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D0034"/>
    <w:multiLevelType w:val="multilevel"/>
    <w:tmpl w:val="F7B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D1F97"/>
    <w:multiLevelType w:val="hybridMultilevel"/>
    <w:tmpl w:val="240AE5F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882F14"/>
    <w:multiLevelType w:val="hybridMultilevel"/>
    <w:tmpl w:val="80141D0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935F8A"/>
    <w:multiLevelType w:val="multilevel"/>
    <w:tmpl w:val="03A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65BFD"/>
    <w:multiLevelType w:val="multilevel"/>
    <w:tmpl w:val="782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C25A4"/>
    <w:multiLevelType w:val="multilevel"/>
    <w:tmpl w:val="712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D25F1"/>
    <w:multiLevelType w:val="multilevel"/>
    <w:tmpl w:val="78F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71553"/>
    <w:multiLevelType w:val="multilevel"/>
    <w:tmpl w:val="9FF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96B0F"/>
    <w:multiLevelType w:val="multilevel"/>
    <w:tmpl w:val="D31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858A1"/>
    <w:multiLevelType w:val="hybridMultilevel"/>
    <w:tmpl w:val="A9D61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94921"/>
    <w:multiLevelType w:val="multilevel"/>
    <w:tmpl w:val="761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82F7E"/>
    <w:multiLevelType w:val="multilevel"/>
    <w:tmpl w:val="46B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556A9"/>
    <w:multiLevelType w:val="hybridMultilevel"/>
    <w:tmpl w:val="9BC2F714"/>
    <w:lvl w:ilvl="0" w:tplc="66427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D665F"/>
    <w:multiLevelType w:val="multilevel"/>
    <w:tmpl w:val="202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E3DD8"/>
    <w:multiLevelType w:val="multilevel"/>
    <w:tmpl w:val="97A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62517"/>
    <w:multiLevelType w:val="multilevel"/>
    <w:tmpl w:val="157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F205D"/>
    <w:multiLevelType w:val="hybridMultilevel"/>
    <w:tmpl w:val="9990D6E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82E6D"/>
    <w:multiLevelType w:val="multilevel"/>
    <w:tmpl w:val="8DE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0494F"/>
    <w:multiLevelType w:val="multilevel"/>
    <w:tmpl w:val="382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14"/>
  </w:num>
  <w:num w:numId="4">
    <w:abstractNumId w:val="24"/>
  </w:num>
  <w:num w:numId="5">
    <w:abstractNumId w:val="13"/>
  </w:num>
  <w:num w:numId="6">
    <w:abstractNumId w:val="1"/>
  </w:num>
  <w:num w:numId="7">
    <w:abstractNumId w:val="20"/>
  </w:num>
  <w:num w:numId="8">
    <w:abstractNumId w:val="8"/>
  </w:num>
  <w:num w:numId="9">
    <w:abstractNumId w:val="10"/>
  </w:num>
  <w:num w:numId="10">
    <w:abstractNumId w:val="11"/>
  </w:num>
  <w:num w:numId="11">
    <w:abstractNumId w:val="2"/>
  </w:num>
  <w:num w:numId="12">
    <w:abstractNumId w:val="16"/>
  </w:num>
  <w:num w:numId="13">
    <w:abstractNumId w:val="19"/>
  </w:num>
  <w:num w:numId="14">
    <w:abstractNumId w:val="4"/>
  </w:num>
  <w:num w:numId="15">
    <w:abstractNumId w:val="15"/>
  </w:num>
  <w:num w:numId="16">
    <w:abstractNumId w:val="27"/>
  </w:num>
  <w:num w:numId="17">
    <w:abstractNumId w:val="17"/>
  </w:num>
  <w:num w:numId="18">
    <w:abstractNumId w:val="9"/>
  </w:num>
  <w:num w:numId="19">
    <w:abstractNumId w:val="7"/>
  </w:num>
  <w:num w:numId="20">
    <w:abstractNumId w:val="21"/>
  </w:num>
  <w:num w:numId="21">
    <w:abstractNumId w:val="26"/>
  </w:num>
  <w:num w:numId="22">
    <w:abstractNumId w:val="12"/>
  </w:num>
  <w:num w:numId="23">
    <w:abstractNumId w:val="22"/>
  </w:num>
  <w:num w:numId="24">
    <w:abstractNumId w:val="6"/>
  </w:num>
  <w:num w:numId="25">
    <w:abstractNumId w:val="0"/>
  </w:num>
  <w:num w:numId="26">
    <w:abstractNumId w:val="5"/>
  </w:num>
  <w:num w:numId="27">
    <w:abstractNumId w:val="25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52082"/>
    <w:rsid w:val="0011367A"/>
    <w:rsid w:val="00116DE2"/>
    <w:rsid w:val="00161CF0"/>
    <w:rsid w:val="0068387A"/>
    <w:rsid w:val="00833CBE"/>
    <w:rsid w:val="008F650C"/>
    <w:rsid w:val="009310C0"/>
    <w:rsid w:val="00B01274"/>
    <w:rsid w:val="00B440DF"/>
    <w:rsid w:val="00BD58E2"/>
    <w:rsid w:val="00C2344F"/>
    <w:rsid w:val="00DF3B12"/>
    <w:rsid w:val="00F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5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BD5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4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BD58E2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D58E2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unhideWhenUsed/>
    <w:rsid w:val="00BD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BD58E2"/>
    <w:rPr>
      <w:b/>
      <w:bCs/>
    </w:rPr>
  </w:style>
  <w:style w:type="paragraph" w:styleId="Prrafodelista">
    <w:name w:val="List Paragraph"/>
    <w:basedOn w:val="Normal"/>
    <w:uiPriority w:val="34"/>
    <w:qFormat/>
    <w:rsid w:val="0011367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234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1518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</cp:revision>
  <dcterms:created xsi:type="dcterms:W3CDTF">2026-04-09T11:06:00Z</dcterms:created>
  <dcterms:modified xsi:type="dcterms:W3CDTF">2026-04-09T11:06:00Z</dcterms:modified>
</cp:coreProperties>
</file>