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62984D1D" w:rsidR="00B6387C" w:rsidRPr="00287FB3" w:rsidRDefault="00B6387C">
      <w:pPr>
        <w:rPr>
          <w:rFonts w:cstheme="minorHAnsi"/>
          <w:lang w:val="es-CO"/>
        </w:rPr>
      </w:pPr>
    </w:p>
    <w:p w14:paraId="7F43FBC7" w14:textId="77777777" w:rsidR="00D9647A" w:rsidRPr="00287FB3" w:rsidRDefault="00D9647A" w:rsidP="00A019A7">
      <w:pPr>
        <w:jc w:val="center"/>
        <w:rPr>
          <w:rFonts w:asciiTheme="majorHAnsi" w:hAnsiTheme="majorHAnsi" w:cstheme="majorHAnsi"/>
          <w:b/>
          <w:bCs/>
          <w:sz w:val="28"/>
          <w:szCs w:val="28"/>
          <w:lang w:val="es-CO"/>
        </w:rPr>
      </w:pPr>
    </w:p>
    <w:p w14:paraId="497FDD85" w14:textId="54EE41D8" w:rsidR="00A019A7" w:rsidRPr="009A0182" w:rsidRDefault="00AC787E" w:rsidP="001A3AE6">
      <w:pPr>
        <w:jc w:val="center"/>
        <w:rPr>
          <w:rFonts w:ascii="Arial" w:hAnsi="Arial" w:cs="Arial"/>
          <w:b/>
          <w:bCs/>
          <w:sz w:val="24"/>
          <w:szCs w:val="24"/>
          <w:lang w:val="es-CO"/>
        </w:rPr>
      </w:pPr>
      <w:r w:rsidRPr="009A0182">
        <w:rPr>
          <w:rFonts w:ascii="Arial" w:hAnsi="Arial" w:cs="Arial"/>
          <w:b/>
          <w:bCs/>
          <w:sz w:val="24"/>
          <w:szCs w:val="24"/>
          <w:lang w:val="es-CO"/>
        </w:rPr>
        <w:t>PROTOC</w:t>
      </w:r>
      <w:r w:rsidR="006468F9" w:rsidRPr="009A0182">
        <w:rPr>
          <w:rFonts w:ascii="Arial" w:hAnsi="Arial" w:cs="Arial"/>
          <w:b/>
          <w:bCs/>
          <w:sz w:val="24"/>
          <w:szCs w:val="24"/>
          <w:lang w:val="es-CO"/>
        </w:rPr>
        <w:t>O</w:t>
      </w:r>
      <w:r w:rsidRPr="009A0182">
        <w:rPr>
          <w:rFonts w:ascii="Arial" w:hAnsi="Arial" w:cs="Arial"/>
          <w:b/>
          <w:bCs/>
          <w:sz w:val="24"/>
          <w:szCs w:val="24"/>
          <w:lang w:val="es-CO"/>
        </w:rPr>
        <w:t xml:space="preserve">LO CLÍNICO PARA LA SOSPECHA, DIAGNÓSTICO Y TRATAMIENTO DE </w:t>
      </w:r>
      <w:r w:rsidR="000068D5" w:rsidRPr="009A0182">
        <w:rPr>
          <w:rFonts w:ascii="Arial" w:hAnsi="Arial" w:cs="Arial"/>
          <w:b/>
          <w:bCs/>
          <w:sz w:val="24"/>
          <w:szCs w:val="24"/>
          <w:lang w:val="es-CO"/>
        </w:rPr>
        <w:t>GLAUCOMA</w:t>
      </w:r>
    </w:p>
    <w:p w14:paraId="515E8708" w14:textId="326F1D97" w:rsidR="00A019A7" w:rsidRPr="00287FB3" w:rsidRDefault="00A019A7" w:rsidP="00A019A7">
      <w:pPr>
        <w:jc w:val="center"/>
        <w:rPr>
          <w:rFonts w:cstheme="minorHAnsi"/>
          <w:b/>
          <w:bCs/>
          <w:sz w:val="28"/>
          <w:szCs w:val="28"/>
          <w:lang w:val="es-CO"/>
        </w:rPr>
      </w:pPr>
    </w:p>
    <w:p w14:paraId="6BCF01F8" w14:textId="7E6D79C1" w:rsidR="00A019A7" w:rsidRPr="00287FB3" w:rsidRDefault="00A019A7" w:rsidP="00A019A7">
      <w:pPr>
        <w:jc w:val="center"/>
        <w:rPr>
          <w:rFonts w:cstheme="minorHAnsi"/>
          <w:b/>
          <w:bCs/>
          <w:sz w:val="28"/>
          <w:szCs w:val="28"/>
          <w:lang w:val="es-CO"/>
        </w:rPr>
      </w:pPr>
    </w:p>
    <w:p w14:paraId="48E4DBEC" w14:textId="576B849C" w:rsidR="00A019A7" w:rsidRPr="00287FB3" w:rsidRDefault="00BC69C1" w:rsidP="00A019A7">
      <w:pPr>
        <w:jc w:val="center"/>
        <w:rPr>
          <w:rFonts w:cstheme="minorHAnsi"/>
          <w:b/>
          <w:bCs/>
          <w:sz w:val="28"/>
          <w:szCs w:val="28"/>
          <w:lang w:val="es-CO"/>
        </w:rPr>
      </w:pPr>
      <w:r>
        <w:rPr>
          <w:rFonts w:cstheme="minorHAnsi"/>
          <w:b/>
          <w:bCs/>
          <w:noProof/>
          <w:sz w:val="28"/>
          <w:szCs w:val="28"/>
          <w:lang w:val="es-CO"/>
        </w:rPr>
        <w:drawing>
          <wp:inline distT="0" distB="0" distL="0" distR="0" wp14:anchorId="52CB2DD6" wp14:editId="7697159F">
            <wp:extent cx="5612130" cy="3156585"/>
            <wp:effectExtent l="0" t="0" r="7620" b="5715"/>
            <wp:docPr id="1450847926"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7926"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0C157DF0" w14:textId="77777777" w:rsidR="001373F0" w:rsidRPr="00287FB3" w:rsidRDefault="001373F0" w:rsidP="00BC69C1">
      <w:pPr>
        <w:rPr>
          <w:rFonts w:cstheme="minorHAnsi"/>
          <w:b/>
          <w:bCs/>
          <w:sz w:val="28"/>
          <w:szCs w:val="28"/>
          <w:lang w:val="es-CO"/>
        </w:rPr>
      </w:pPr>
    </w:p>
    <w:p w14:paraId="37C8489B" w14:textId="19962645" w:rsidR="00D9647A" w:rsidRPr="00287FB3" w:rsidRDefault="00D9647A" w:rsidP="00A019A7">
      <w:pPr>
        <w:jc w:val="center"/>
        <w:rPr>
          <w:rFonts w:cstheme="minorHAnsi"/>
          <w:b/>
          <w:bCs/>
          <w:sz w:val="28"/>
          <w:szCs w:val="28"/>
          <w:lang w:val="es-CO"/>
        </w:rPr>
      </w:pPr>
    </w:p>
    <w:tbl>
      <w:tblPr>
        <w:tblStyle w:val="Tablaconcuadrcula"/>
        <w:tblW w:w="8805" w:type="dxa"/>
        <w:tblLayout w:type="fixed"/>
        <w:tblLook w:val="04A0" w:firstRow="1" w:lastRow="0" w:firstColumn="1" w:lastColumn="0" w:noHBand="0" w:noVBand="1"/>
      </w:tblPr>
      <w:tblGrid>
        <w:gridCol w:w="1413"/>
        <w:gridCol w:w="2551"/>
        <w:gridCol w:w="3544"/>
        <w:gridCol w:w="1297"/>
      </w:tblGrid>
      <w:tr w:rsidR="001373F0" w:rsidRPr="00287FB3" w14:paraId="724720A9" w14:textId="77777777" w:rsidTr="009A0182">
        <w:trPr>
          <w:trHeight w:val="20"/>
        </w:trPr>
        <w:tc>
          <w:tcPr>
            <w:tcW w:w="1413" w:type="dxa"/>
            <w:tcBorders>
              <w:right w:val="nil"/>
            </w:tcBorders>
          </w:tcPr>
          <w:p w14:paraId="2049C85A" w14:textId="77777777" w:rsidR="001373F0" w:rsidRPr="009A0182" w:rsidRDefault="001373F0" w:rsidP="00B8250E">
            <w:pPr>
              <w:tabs>
                <w:tab w:val="left" w:pos="-3188"/>
                <w:tab w:val="left" w:pos="-3046"/>
                <w:tab w:val="left" w:pos="781"/>
              </w:tabs>
              <w:jc w:val="center"/>
              <w:rPr>
                <w:rFonts w:ascii="Arial" w:hAnsi="Arial" w:cs="Arial"/>
                <w:b/>
                <w:sz w:val="20"/>
                <w:szCs w:val="20"/>
                <w:lang w:val="es-CO"/>
              </w:rPr>
            </w:pPr>
          </w:p>
        </w:tc>
        <w:tc>
          <w:tcPr>
            <w:tcW w:w="2551" w:type="dxa"/>
            <w:tcBorders>
              <w:left w:val="nil"/>
            </w:tcBorders>
            <w:hideMark/>
          </w:tcPr>
          <w:p w14:paraId="4997E881" w14:textId="77777777" w:rsidR="001373F0" w:rsidRPr="009A0182" w:rsidRDefault="001373F0" w:rsidP="00B8250E">
            <w:pPr>
              <w:tabs>
                <w:tab w:val="left" w:pos="-3188"/>
                <w:tab w:val="left" w:pos="-3046"/>
                <w:tab w:val="left" w:pos="781"/>
              </w:tabs>
              <w:jc w:val="center"/>
              <w:rPr>
                <w:rFonts w:ascii="Arial" w:hAnsi="Arial" w:cs="Arial"/>
                <w:b/>
                <w:sz w:val="20"/>
                <w:szCs w:val="20"/>
                <w:lang w:val="es-CO"/>
              </w:rPr>
            </w:pPr>
            <w:r w:rsidRPr="009A0182">
              <w:rPr>
                <w:rFonts w:ascii="Arial" w:hAnsi="Arial" w:cs="Arial"/>
                <w:b/>
                <w:sz w:val="20"/>
                <w:szCs w:val="20"/>
                <w:lang w:val="es-CO"/>
              </w:rPr>
              <w:t>NOMBRE</w:t>
            </w:r>
          </w:p>
        </w:tc>
        <w:tc>
          <w:tcPr>
            <w:tcW w:w="3544" w:type="dxa"/>
            <w:hideMark/>
          </w:tcPr>
          <w:p w14:paraId="63BF8576" w14:textId="77777777" w:rsidR="001373F0" w:rsidRPr="009A0182" w:rsidRDefault="001373F0" w:rsidP="00B8250E">
            <w:pPr>
              <w:keepNext/>
              <w:jc w:val="center"/>
              <w:outlineLvl w:val="3"/>
              <w:rPr>
                <w:rFonts w:ascii="Arial" w:hAnsi="Arial" w:cs="Arial"/>
                <w:b/>
                <w:sz w:val="20"/>
                <w:szCs w:val="20"/>
                <w:lang w:val="es-CO"/>
              </w:rPr>
            </w:pPr>
            <w:r w:rsidRPr="009A0182">
              <w:rPr>
                <w:rFonts w:ascii="Arial" w:hAnsi="Arial" w:cs="Arial"/>
                <w:b/>
                <w:sz w:val="20"/>
                <w:szCs w:val="20"/>
                <w:lang w:val="es-CO"/>
              </w:rPr>
              <w:t>CARGO</w:t>
            </w:r>
          </w:p>
        </w:tc>
        <w:tc>
          <w:tcPr>
            <w:tcW w:w="1297" w:type="dxa"/>
            <w:hideMark/>
          </w:tcPr>
          <w:p w14:paraId="456FEF96" w14:textId="77777777" w:rsidR="001373F0" w:rsidRPr="009A0182" w:rsidRDefault="001373F0" w:rsidP="00B8250E">
            <w:pPr>
              <w:tabs>
                <w:tab w:val="left" w:pos="-3188"/>
                <w:tab w:val="left" w:pos="-3046"/>
              </w:tabs>
              <w:jc w:val="center"/>
              <w:rPr>
                <w:rFonts w:ascii="Arial" w:hAnsi="Arial" w:cs="Arial"/>
                <w:b/>
                <w:sz w:val="20"/>
                <w:szCs w:val="20"/>
                <w:lang w:val="es-CO"/>
              </w:rPr>
            </w:pPr>
            <w:r w:rsidRPr="009A0182">
              <w:rPr>
                <w:rFonts w:ascii="Arial" w:hAnsi="Arial" w:cs="Arial"/>
                <w:b/>
                <w:sz w:val="20"/>
                <w:szCs w:val="20"/>
                <w:lang w:val="es-CO"/>
              </w:rPr>
              <w:t xml:space="preserve">FECHA </w:t>
            </w:r>
          </w:p>
        </w:tc>
      </w:tr>
      <w:tr w:rsidR="001373F0" w:rsidRPr="00287FB3" w14:paraId="12A2D83B" w14:textId="77777777" w:rsidTr="009A0182">
        <w:trPr>
          <w:trHeight w:val="20"/>
        </w:trPr>
        <w:tc>
          <w:tcPr>
            <w:tcW w:w="1413" w:type="dxa"/>
            <w:hideMark/>
          </w:tcPr>
          <w:p w14:paraId="2DBCE510" w14:textId="77777777" w:rsidR="001373F0" w:rsidRPr="009A0182" w:rsidRDefault="001373F0" w:rsidP="00B8250E">
            <w:pPr>
              <w:tabs>
                <w:tab w:val="left" w:pos="-3188"/>
                <w:tab w:val="left" w:pos="-3046"/>
                <w:tab w:val="left" w:pos="781"/>
              </w:tabs>
              <w:jc w:val="center"/>
              <w:rPr>
                <w:rFonts w:ascii="Arial" w:hAnsi="Arial" w:cs="Arial"/>
                <w:b/>
                <w:sz w:val="20"/>
                <w:szCs w:val="20"/>
                <w:lang w:val="es-CO"/>
              </w:rPr>
            </w:pPr>
            <w:r w:rsidRPr="009A0182">
              <w:rPr>
                <w:rFonts w:ascii="Arial" w:hAnsi="Arial" w:cs="Arial"/>
                <w:b/>
                <w:sz w:val="20"/>
                <w:szCs w:val="20"/>
                <w:lang w:val="es-CO"/>
              </w:rPr>
              <w:t>ELABORÓ</w:t>
            </w:r>
          </w:p>
        </w:tc>
        <w:tc>
          <w:tcPr>
            <w:tcW w:w="2551" w:type="dxa"/>
            <w:hideMark/>
          </w:tcPr>
          <w:p w14:paraId="42AC5F6B" w14:textId="7E3BECDF" w:rsidR="001373F0" w:rsidRPr="009A0182" w:rsidRDefault="00D26703" w:rsidP="00B8250E">
            <w:pPr>
              <w:tabs>
                <w:tab w:val="left" w:pos="-3188"/>
                <w:tab w:val="left" w:pos="-3046"/>
                <w:tab w:val="left" w:pos="781"/>
              </w:tabs>
              <w:jc w:val="center"/>
              <w:rPr>
                <w:rFonts w:ascii="Arial" w:hAnsi="Arial" w:cs="Arial"/>
                <w:sz w:val="20"/>
                <w:szCs w:val="20"/>
                <w:lang w:val="es-CO"/>
              </w:rPr>
            </w:pPr>
            <w:r>
              <w:rPr>
                <w:rFonts w:ascii="Arial" w:hAnsi="Arial" w:cs="Arial"/>
                <w:sz w:val="20"/>
                <w:szCs w:val="20"/>
                <w:lang w:val="es-CO"/>
              </w:rPr>
              <w:t xml:space="preserve">Jhean </w:t>
            </w:r>
            <w:r w:rsidR="006468F9" w:rsidRPr="009A0182">
              <w:rPr>
                <w:rFonts w:ascii="Arial" w:hAnsi="Arial" w:cs="Arial"/>
                <w:sz w:val="20"/>
                <w:szCs w:val="20"/>
                <w:lang w:val="es-CO"/>
              </w:rPr>
              <w:t>Mar</w:t>
            </w:r>
            <w:r>
              <w:rPr>
                <w:rFonts w:ascii="Arial" w:hAnsi="Arial" w:cs="Arial"/>
                <w:sz w:val="20"/>
                <w:szCs w:val="20"/>
                <w:lang w:val="es-CO"/>
              </w:rPr>
              <w:t>c</w:t>
            </w:r>
            <w:r w:rsidR="006468F9" w:rsidRPr="009A0182">
              <w:rPr>
                <w:rFonts w:ascii="Arial" w:hAnsi="Arial" w:cs="Arial"/>
                <w:sz w:val="20"/>
                <w:szCs w:val="20"/>
                <w:lang w:val="es-CO"/>
              </w:rPr>
              <w:t>ello Ríos Franco</w:t>
            </w:r>
          </w:p>
        </w:tc>
        <w:tc>
          <w:tcPr>
            <w:tcW w:w="3544" w:type="dxa"/>
          </w:tcPr>
          <w:p w14:paraId="69D56615" w14:textId="68FF40EB" w:rsidR="001373F0" w:rsidRPr="009A0182" w:rsidRDefault="006468F9" w:rsidP="00B8250E">
            <w:pPr>
              <w:keepNext/>
              <w:jc w:val="center"/>
              <w:outlineLvl w:val="3"/>
              <w:rPr>
                <w:rFonts w:ascii="Arial" w:hAnsi="Arial" w:cs="Arial"/>
                <w:sz w:val="20"/>
                <w:szCs w:val="20"/>
                <w:lang w:val="es-CO"/>
              </w:rPr>
            </w:pPr>
            <w:r w:rsidRPr="009A0182">
              <w:rPr>
                <w:rFonts w:ascii="Arial" w:hAnsi="Arial" w:cs="Arial"/>
                <w:sz w:val="20"/>
                <w:szCs w:val="20"/>
                <w:lang w:val="es-CO"/>
              </w:rPr>
              <w:t>Especialista Oftalmología</w:t>
            </w:r>
          </w:p>
        </w:tc>
        <w:tc>
          <w:tcPr>
            <w:tcW w:w="1297" w:type="dxa"/>
          </w:tcPr>
          <w:p w14:paraId="3ABA2825" w14:textId="1A80F4D6" w:rsidR="001373F0" w:rsidRPr="009A0182" w:rsidRDefault="00AC787E" w:rsidP="00B8250E">
            <w:pPr>
              <w:tabs>
                <w:tab w:val="left" w:pos="-3188"/>
                <w:tab w:val="left" w:pos="-3046"/>
              </w:tabs>
              <w:jc w:val="center"/>
              <w:rPr>
                <w:rFonts w:ascii="Arial" w:hAnsi="Arial" w:cs="Arial"/>
                <w:sz w:val="20"/>
                <w:szCs w:val="20"/>
                <w:lang w:val="es-CO"/>
              </w:rPr>
            </w:pPr>
            <w:r w:rsidRPr="009A0182">
              <w:rPr>
                <w:rFonts w:ascii="Arial" w:hAnsi="Arial" w:cs="Arial"/>
                <w:sz w:val="20"/>
                <w:szCs w:val="20"/>
                <w:lang w:val="es-CO"/>
              </w:rPr>
              <w:t>08/05/2026</w:t>
            </w:r>
          </w:p>
        </w:tc>
      </w:tr>
      <w:tr w:rsidR="001373F0" w:rsidRPr="00287FB3" w14:paraId="5B230FF3" w14:textId="77777777" w:rsidTr="009A0182">
        <w:trPr>
          <w:trHeight w:val="20"/>
        </w:trPr>
        <w:tc>
          <w:tcPr>
            <w:tcW w:w="1413" w:type="dxa"/>
            <w:hideMark/>
          </w:tcPr>
          <w:p w14:paraId="0C4DF92C" w14:textId="4CE83F16" w:rsidR="001373F0" w:rsidRPr="009A0182" w:rsidRDefault="008A6881" w:rsidP="00B8250E">
            <w:pPr>
              <w:tabs>
                <w:tab w:val="left" w:pos="567"/>
                <w:tab w:val="left" w:pos="781"/>
                <w:tab w:val="left" w:pos="1134"/>
                <w:tab w:val="left" w:pos="2552"/>
              </w:tabs>
              <w:jc w:val="center"/>
              <w:rPr>
                <w:rFonts w:ascii="Arial" w:hAnsi="Arial" w:cs="Arial"/>
                <w:b/>
                <w:sz w:val="20"/>
                <w:szCs w:val="20"/>
                <w:lang w:val="es-CO"/>
              </w:rPr>
            </w:pPr>
            <w:r w:rsidRPr="009A0182">
              <w:rPr>
                <w:rFonts w:ascii="Arial" w:hAnsi="Arial" w:cs="Arial"/>
                <w:b/>
                <w:sz w:val="20"/>
                <w:szCs w:val="20"/>
                <w:lang w:val="es-CO"/>
              </w:rPr>
              <w:t>REVISÓ</w:t>
            </w:r>
          </w:p>
        </w:tc>
        <w:tc>
          <w:tcPr>
            <w:tcW w:w="2551" w:type="dxa"/>
          </w:tcPr>
          <w:p w14:paraId="265CC721" w14:textId="34F0166B" w:rsidR="001373F0" w:rsidRPr="009A0182" w:rsidRDefault="00AC787E" w:rsidP="00B8250E">
            <w:pPr>
              <w:tabs>
                <w:tab w:val="left" w:pos="567"/>
                <w:tab w:val="left" w:pos="781"/>
                <w:tab w:val="left" w:pos="1134"/>
                <w:tab w:val="left" w:pos="2552"/>
              </w:tabs>
              <w:jc w:val="center"/>
              <w:rPr>
                <w:rFonts w:ascii="Arial" w:hAnsi="Arial" w:cs="Arial"/>
                <w:sz w:val="20"/>
                <w:szCs w:val="20"/>
                <w:lang w:val="es-CO"/>
              </w:rPr>
            </w:pPr>
            <w:r w:rsidRPr="009A0182">
              <w:rPr>
                <w:rFonts w:ascii="Arial" w:hAnsi="Arial" w:cs="Arial"/>
                <w:sz w:val="20"/>
                <w:szCs w:val="20"/>
                <w:lang w:val="es-CO"/>
              </w:rPr>
              <w:t>Leidy Yibeth Toledo Rojas</w:t>
            </w:r>
          </w:p>
        </w:tc>
        <w:tc>
          <w:tcPr>
            <w:tcW w:w="3544" w:type="dxa"/>
          </w:tcPr>
          <w:p w14:paraId="50501507" w14:textId="4B338729" w:rsidR="001373F0" w:rsidRPr="009A0182" w:rsidRDefault="00AC787E" w:rsidP="00B8250E">
            <w:pPr>
              <w:tabs>
                <w:tab w:val="left" w:pos="-3188"/>
                <w:tab w:val="left" w:pos="-3046"/>
              </w:tabs>
              <w:jc w:val="center"/>
              <w:rPr>
                <w:rFonts w:ascii="Arial" w:hAnsi="Arial" w:cs="Arial"/>
                <w:sz w:val="20"/>
                <w:szCs w:val="20"/>
                <w:lang w:val="es-CO"/>
              </w:rPr>
            </w:pPr>
            <w:r w:rsidRPr="009A0182">
              <w:rPr>
                <w:rFonts w:ascii="Arial" w:hAnsi="Arial" w:cs="Arial"/>
                <w:sz w:val="20"/>
                <w:szCs w:val="20"/>
                <w:lang w:val="es-CO"/>
              </w:rPr>
              <w:t>Referente de GPC y protocolos</w:t>
            </w:r>
          </w:p>
        </w:tc>
        <w:tc>
          <w:tcPr>
            <w:tcW w:w="1297" w:type="dxa"/>
          </w:tcPr>
          <w:p w14:paraId="2B4397CB" w14:textId="566218DD" w:rsidR="001373F0" w:rsidRPr="009A0182" w:rsidRDefault="00AC787E" w:rsidP="00B8250E">
            <w:pPr>
              <w:tabs>
                <w:tab w:val="left" w:pos="-3188"/>
                <w:tab w:val="left" w:pos="-3046"/>
              </w:tabs>
              <w:jc w:val="center"/>
              <w:rPr>
                <w:rFonts w:ascii="Arial" w:hAnsi="Arial" w:cs="Arial"/>
                <w:sz w:val="20"/>
                <w:szCs w:val="20"/>
                <w:lang w:val="es-CO"/>
              </w:rPr>
            </w:pPr>
            <w:r w:rsidRPr="009A0182">
              <w:rPr>
                <w:rFonts w:ascii="Arial" w:hAnsi="Arial" w:cs="Arial"/>
                <w:sz w:val="20"/>
                <w:szCs w:val="20"/>
                <w:lang w:val="es-CO"/>
              </w:rPr>
              <w:t>14/05/2026</w:t>
            </w:r>
          </w:p>
        </w:tc>
      </w:tr>
      <w:tr w:rsidR="001373F0" w:rsidRPr="00287FB3" w14:paraId="6A5E8C67" w14:textId="77777777" w:rsidTr="009A0182">
        <w:trPr>
          <w:trHeight w:val="20"/>
        </w:trPr>
        <w:tc>
          <w:tcPr>
            <w:tcW w:w="1413" w:type="dxa"/>
            <w:hideMark/>
          </w:tcPr>
          <w:p w14:paraId="6B27C8DF" w14:textId="77777777" w:rsidR="001373F0" w:rsidRPr="009A0182" w:rsidRDefault="001373F0" w:rsidP="00B8250E">
            <w:pPr>
              <w:tabs>
                <w:tab w:val="left" w:pos="567"/>
                <w:tab w:val="left" w:pos="781"/>
                <w:tab w:val="left" w:pos="1134"/>
                <w:tab w:val="left" w:pos="2552"/>
              </w:tabs>
              <w:jc w:val="center"/>
              <w:rPr>
                <w:rFonts w:ascii="Arial" w:hAnsi="Arial" w:cs="Arial"/>
                <w:b/>
                <w:sz w:val="20"/>
                <w:szCs w:val="20"/>
                <w:lang w:val="es-CO"/>
              </w:rPr>
            </w:pPr>
            <w:r w:rsidRPr="009A0182">
              <w:rPr>
                <w:rFonts w:ascii="Arial" w:hAnsi="Arial" w:cs="Arial"/>
                <w:b/>
                <w:sz w:val="20"/>
                <w:szCs w:val="20"/>
                <w:lang w:val="es-CO"/>
              </w:rPr>
              <w:t>APROBÓ</w:t>
            </w:r>
          </w:p>
        </w:tc>
        <w:tc>
          <w:tcPr>
            <w:tcW w:w="2551" w:type="dxa"/>
          </w:tcPr>
          <w:p w14:paraId="70520CEB" w14:textId="1DCB23AF" w:rsidR="001373F0" w:rsidRPr="009A0182" w:rsidRDefault="00AC787E" w:rsidP="00B8250E">
            <w:pPr>
              <w:tabs>
                <w:tab w:val="left" w:pos="567"/>
                <w:tab w:val="left" w:pos="781"/>
                <w:tab w:val="left" w:pos="1134"/>
                <w:tab w:val="left" w:pos="2552"/>
              </w:tabs>
              <w:jc w:val="center"/>
              <w:rPr>
                <w:rFonts w:ascii="Arial" w:hAnsi="Arial" w:cs="Arial"/>
                <w:sz w:val="20"/>
                <w:szCs w:val="20"/>
                <w:lang w:val="es-CO"/>
              </w:rPr>
            </w:pPr>
            <w:r w:rsidRPr="009A0182">
              <w:rPr>
                <w:rFonts w:ascii="Arial" w:hAnsi="Arial" w:cs="Arial"/>
                <w:sz w:val="20"/>
                <w:szCs w:val="20"/>
                <w:lang w:val="es-CO"/>
              </w:rPr>
              <w:t xml:space="preserve">Karin Milena Gamba F. </w:t>
            </w:r>
          </w:p>
        </w:tc>
        <w:tc>
          <w:tcPr>
            <w:tcW w:w="3544" w:type="dxa"/>
          </w:tcPr>
          <w:p w14:paraId="16C68198" w14:textId="1D144A70" w:rsidR="001373F0" w:rsidRPr="009A0182" w:rsidRDefault="00AC787E" w:rsidP="00B8250E">
            <w:pPr>
              <w:tabs>
                <w:tab w:val="left" w:pos="-3188"/>
                <w:tab w:val="left" w:pos="-3046"/>
              </w:tabs>
              <w:jc w:val="center"/>
              <w:rPr>
                <w:rFonts w:ascii="Arial" w:hAnsi="Arial" w:cs="Arial"/>
                <w:sz w:val="20"/>
                <w:szCs w:val="20"/>
                <w:lang w:val="es-CO"/>
              </w:rPr>
            </w:pPr>
            <w:r w:rsidRPr="009A0182">
              <w:rPr>
                <w:rFonts w:ascii="Arial" w:hAnsi="Arial" w:cs="Arial"/>
                <w:sz w:val="20"/>
                <w:szCs w:val="20"/>
                <w:lang w:val="es-CO"/>
              </w:rPr>
              <w:t>Subgerente científica</w:t>
            </w:r>
          </w:p>
        </w:tc>
        <w:tc>
          <w:tcPr>
            <w:tcW w:w="1297" w:type="dxa"/>
          </w:tcPr>
          <w:p w14:paraId="58665F30" w14:textId="0EEC177E" w:rsidR="001373F0" w:rsidRPr="009A0182" w:rsidRDefault="00D26703" w:rsidP="00B8250E">
            <w:pPr>
              <w:tabs>
                <w:tab w:val="left" w:pos="-3188"/>
                <w:tab w:val="left" w:pos="-3046"/>
              </w:tabs>
              <w:jc w:val="center"/>
              <w:rPr>
                <w:rFonts w:ascii="Arial" w:hAnsi="Arial" w:cs="Arial"/>
                <w:sz w:val="20"/>
                <w:szCs w:val="20"/>
                <w:lang w:val="es-CO"/>
              </w:rPr>
            </w:pPr>
            <w:r>
              <w:rPr>
                <w:rFonts w:ascii="Arial" w:hAnsi="Arial" w:cs="Arial"/>
                <w:sz w:val="20"/>
                <w:szCs w:val="20"/>
                <w:lang w:val="es-CO"/>
              </w:rPr>
              <w:t>20</w:t>
            </w:r>
            <w:r w:rsidR="00AC787E" w:rsidRPr="009A0182">
              <w:rPr>
                <w:rFonts w:ascii="Arial" w:hAnsi="Arial" w:cs="Arial"/>
                <w:sz w:val="20"/>
                <w:szCs w:val="20"/>
                <w:lang w:val="es-CO"/>
              </w:rPr>
              <w:t>/05/2026</w:t>
            </w:r>
          </w:p>
        </w:tc>
      </w:tr>
    </w:tbl>
    <w:p w14:paraId="2E0852C4" w14:textId="77777777" w:rsidR="00D9647A" w:rsidRPr="00287FB3" w:rsidRDefault="00D9647A" w:rsidP="00D9647A">
      <w:pPr>
        <w:rPr>
          <w:rFonts w:cstheme="minorHAnsi"/>
          <w:b/>
          <w:bCs/>
          <w:sz w:val="28"/>
          <w:szCs w:val="28"/>
          <w:lang w:val="es-CO"/>
        </w:rPr>
        <w:sectPr w:rsidR="00D9647A" w:rsidRPr="00287FB3" w:rsidSect="009A0182">
          <w:headerReference w:type="default" r:id="rId9"/>
          <w:pgSz w:w="12240" w:h="15840"/>
          <w:pgMar w:top="1198" w:right="1701" w:bottom="1417" w:left="1701" w:header="708" w:footer="708" w:gutter="0"/>
          <w:cols w:space="708"/>
          <w:docGrid w:linePitch="360"/>
        </w:sectPr>
      </w:pPr>
    </w:p>
    <w:sdt>
      <w:sdtPr>
        <w:rPr>
          <w:rFonts w:asciiTheme="minorHAnsi" w:eastAsiaTheme="minorHAnsi" w:hAnsiTheme="minorHAnsi" w:cstheme="minorHAns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9A0182" w:rsidRDefault="006C30FC" w:rsidP="006C30FC">
          <w:pPr>
            <w:pStyle w:val="TtuloTDC"/>
            <w:jc w:val="center"/>
            <w:rPr>
              <w:rFonts w:ascii="Arial" w:hAnsi="Arial" w:cs="Arial"/>
              <w:b/>
              <w:bCs/>
              <w:color w:val="auto"/>
              <w:sz w:val="24"/>
              <w:szCs w:val="24"/>
            </w:rPr>
          </w:pPr>
          <w:r w:rsidRPr="009A0182">
            <w:rPr>
              <w:rFonts w:ascii="Arial" w:hAnsi="Arial" w:cs="Arial"/>
              <w:b/>
              <w:bCs/>
              <w:color w:val="auto"/>
              <w:sz w:val="24"/>
              <w:szCs w:val="24"/>
              <w:lang w:val="es-ES"/>
            </w:rPr>
            <w:t>CONTENIDO</w:t>
          </w:r>
        </w:p>
        <w:p w14:paraId="7A79D80D" w14:textId="29634077" w:rsidR="00996985" w:rsidRPr="009A0182" w:rsidRDefault="00FD757D">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r w:rsidRPr="009A0182">
            <w:rPr>
              <w:rFonts w:ascii="Arial" w:hAnsi="Arial" w:cs="Arial"/>
              <w:sz w:val="24"/>
              <w:szCs w:val="24"/>
            </w:rPr>
            <w:fldChar w:fldCharType="begin"/>
          </w:r>
          <w:r w:rsidRPr="009A0182">
            <w:rPr>
              <w:rFonts w:ascii="Arial" w:hAnsi="Arial" w:cs="Arial"/>
              <w:sz w:val="24"/>
              <w:szCs w:val="24"/>
            </w:rPr>
            <w:instrText xml:space="preserve"> TOC \o "1-3" \h \z \u </w:instrText>
          </w:r>
          <w:r w:rsidRPr="009A0182">
            <w:rPr>
              <w:rFonts w:ascii="Arial" w:hAnsi="Arial" w:cs="Arial"/>
              <w:sz w:val="24"/>
              <w:szCs w:val="24"/>
            </w:rPr>
            <w:fldChar w:fldCharType="separate"/>
          </w:r>
          <w:hyperlink w:anchor="_Toc228445686" w:history="1">
            <w:r w:rsidR="00996985" w:rsidRPr="009A0182">
              <w:rPr>
                <w:rStyle w:val="Hipervnculo"/>
                <w:rFonts w:ascii="Arial" w:hAnsi="Arial" w:cs="Arial"/>
                <w:noProof/>
                <w:sz w:val="24"/>
                <w:szCs w:val="24"/>
              </w:rPr>
              <w:t>1.</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rPr>
              <w:t>INTRODUCCIÓN</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_Toc228445686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3</w:t>
            </w:r>
            <w:r w:rsidR="00996985" w:rsidRPr="009A0182">
              <w:rPr>
                <w:rFonts w:ascii="Arial" w:hAnsi="Arial" w:cs="Arial"/>
                <w:noProof/>
                <w:webHidden/>
                <w:sz w:val="24"/>
                <w:szCs w:val="24"/>
              </w:rPr>
              <w:fldChar w:fldCharType="end"/>
            </w:r>
          </w:hyperlink>
        </w:p>
        <w:p w14:paraId="2F6265FB" w14:textId="0446064A"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87" w:history="1">
            <w:r w:rsidR="00996985" w:rsidRPr="009A0182">
              <w:rPr>
                <w:rStyle w:val="Hipervnculo"/>
                <w:rFonts w:ascii="Arial" w:hAnsi="Arial" w:cs="Arial"/>
                <w:noProof/>
                <w:sz w:val="24"/>
                <w:szCs w:val="24"/>
              </w:rPr>
              <w:t>2.</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rPr>
              <w:t>OBJETIVOS</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_Toc228445687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3</w:t>
            </w:r>
            <w:r w:rsidR="00996985" w:rsidRPr="009A0182">
              <w:rPr>
                <w:rFonts w:ascii="Arial" w:hAnsi="Arial" w:cs="Arial"/>
                <w:noProof/>
                <w:webHidden/>
                <w:sz w:val="24"/>
                <w:szCs w:val="24"/>
              </w:rPr>
              <w:fldChar w:fldCharType="end"/>
            </w:r>
          </w:hyperlink>
        </w:p>
        <w:p w14:paraId="6CEF2061" w14:textId="02A7ED26" w:rsidR="00996985" w:rsidRPr="009A0182" w:rsidRDefault="00EC23C6">
          <w:pPr>
            <w:pStyle w:val="TDC2"/>
            <w:tabs>
              <w:tab w:val="left" w:pos="960"/>
              <w:tab w:val="right" w:leader="dot" w:pos="8828"/>
            </w:tabs>
            <w:rPr>
              <w:rFonts w:ascii="Arial" w:eastAsiaTheme="minorEastAsia" w:hAnsi="Arial" w:cs="Arial"/>
              <w:noProof/>
              <w:kern w:val="2"/>
              <w:sz w:val="24"/>
              <w:szCs w:val="24"/>
              <w:lang w:val="es-CO" w:eastAsia="zh-CN"/>
              <w14:ligatures w14:val="standardContextual"/>
            </w:rPr>
          </w:pPr>
          <w:hyperlink w:anchor="_Toc228445688" w:history="1">
            <w:r w:rsidR="00996985" w:rsidRPr="009A0182">
              <w:rPr>
                <w:rStyle w:val="Hipervnculo"/>
                <w:rFonts w:ascii="Arial" w:hAnsi="Arial" w:cs="Arial"/>
                <w:noProof/>
                <w:sz w:val="24"/>
                <w:szCs w:val="24"/>
              </w:rPr>
              <w:t>2.1.</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rPr>
              <w:t>Objetivo General</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_Toc228445688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3</w:t>
            </w:r>
            <w:r w:rsidR="00996985" w:rsidRPr="009A0182">
              <w:rPr>
                <w:rFonts w:ascii="Arial" w:hAnsi="Arial" w:cs="Arial"/>
                <w:noProof/>
                <w:webHidden/>
                <w:sz w:val="24"/>
                <w:szCs w:val="24"/>
              </w:rPr>
              <w:fldChar w:fldCharType="end"/>
            </w:r>
          </w:hyperlink>
        </w:p>
        <w:p w14:paraId="2CBA0D0B" w14:textId="0EDB5EBB" w:rsidR="00996985" w:rsidRPr="009A0182" w:rsidRDefault="00EC23C6">
          <w:pPr>
            <w:pStyle w:val="TDC2"/>
            <w:tabs>
              <w:tab w:val="left" w:pos="960"/>
              <w:tab w:val="right" w:leader="dot" w:pos="8828"/>
            </w:tabs>
            <w:rPr>
              <w:rFonts w:ascii="Arial" w:eastAsiaTheme="minorEastAsia" w:hAnsi="Arial" w:cs="Arial"/>
              <w:noProof/>
              <w:kern w:val="2"/>
              <w:sz w:val="24"/>
              <w:szCs w:val="24"/>
              <w:lang w:val="es-CO" w:eastAsia="zh-CN"/>
              <w14:ligatures w14:val="standardContextual"/>
            </w:rPr>
          </w:pPr>
          <w:hyperlink w:anchor="_Toc228445689" w:history="1">
            <w:r w:rsidR="00996985" w:rsidRPr="009A0182">
              <w:rPr>
                <w:rStyle w:val="Hipervnculo"/>
                <w:rFonts w:ascii="Arial" w:hAnsi="Arial" w:cs="Arial"/>
                <w:noProof/>
                <w:sz w:val="24"/>
                <w:szCs w:val="24"/>
              </w:rPr>
              <w:t>2.2.</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rPr>
              <w:t>Objetivos Específicos</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_Toc228445689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3</w:t>
            </w:r>
            <w:r w:rsidR="00996985" w:rsidRPr="009A0182">
              <w:rPr>
                <w:rFonts w:ascii="Arial" w:hAnsi="Arial" w:cs="Arial"/>
                <w:noProof/>
                <w:webHidden/>
                <w:sz w:val="24"/>
                <w:szCs w:val="24"/>
              </w:rPr>
              <w:fldChar w:fldCharType="end"/>
            </w:r>
          </w:hyperlink>
        </w:p>
        <w:p w14:paraId="789336BC" w14:textId="4511D00A"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90" w:history="1">
            <w:r w:rsidR="00996985" w:rsidRPr="009A0182">
              <w:rPr>
                <w:rStyle w:val="Hipervnculo"/>
                <w:rFonts w:ascii="Arial" w:hAnsi="Arial" w:cs="Arial"/>
                <w:noProof/>
                <w:sz w:val="24"/>
                <w:szCs w:val="24"/>
                <w:lang w:val="es-CO"/>
              </w:rPr>
              <w:t>3.</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CO"/>
              </w:rPr>
              <w:t>ENFOQUE DIFERENCIAL</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_Toc228445690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4</w:t>
            </w:r>
            <w:r w:rsidR="00996985" w:rsidRPr="009A0182">
              <w:rPr>
                <w:rFonts w:ascii="Arial" w:hAnsi="Arial" w:cs="Arial"/>
                <w:noProof/>
                <w:webHidden/>
                <w:sz w:val="24"/>
                <w:szCs w:val="24"/>
              </w:rPr>
              <w:fldChar w:fldCharType="end"/>
            </w:r>
          </w:hyperlink>
        </w:p>
        <w:p w14:paraId="42A7BF09" w14:textId="241181DF"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91" w:history="1">
            <w:r w:rsidR="00996985" w:rsidRPr="009A0182">
              <w:rPr>
                <w:rStyle w:val="Hipervnculo"/>
                <w:rFonts w:ascii="Arial" w:hAnsi="Arial" w:cs="Arial"/>
                <w:noProof/>
                <w:sz w:val="24"/>
                <w:szCs w:val="24"/>
                <w:lang w:val="es-CO"/>
              </w:rPr>
              <w:t>4.</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CO"/>
              </w:rPr>
              <w:t>TÉRMINOS Y DEFINICIONES</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_Toc228445691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6</w:t>
            </w:r>
            <w:r w:rsidR="00996985" w:rsidRPr="009A0182">
              <w:rPr>
                <w:rFonts w:ascii="Arial" w:hAnsi="Arial" w:cs="Arial"/>
                <w:noProof/>
                <w:webHidden/>
                <w:sz w:val="24"/>
                <w:szCs w:val="24"/>
              </w:rPr>
              <w:fldChar w:fldCharType="end"/>
            </w:r>
          </w:hyperlink>
        </w:p>
        <w:p w14:paraId="3858961C" w14:textId="50C876A6"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92" w:history="1">
            <w:r w:rsidR="00996985" w:rsidRPr="009A0182">
              <w:rPr>
                <w:rStyle w:val="Hipervnculo"/>
                <w:rFonts w:ascii="Arial" w:hAnsi="Arial" w:cs="Arial"/>
                <w:noProof/>
                <w:sz w:val="24"/>
                <w:szCs w:val="24"/>
                <w:lang w:val="es-CO"/>
              </w:rPr>
              <w:t>5.</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CO"/>
              </w:rPr>
              <w:t>Desarrollo de la guía</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_Toc228445692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7</w:t>
            </w:r>
            <w:r w:rsidR="00996985" w:rsidRPr="009A0182">
              <w:rPr>
                <w:rFonts w:ascii="Arial" w:hAnsi="Arial" w:cs="Arial"/>
                <w:noProof/>
                <w:webHidden/>
                <w:sz w:val="24"/>
                <w:szCs w:val="24"/>
              </w:rPr>
              <w:fldChar w:fldCharType="end"/>
            </w:r>
          </w:hyperlink>
        </w:p>
        <w:p w14:paraId="398381D8" w14:textId="0AA2F590" w:rsidR="00996985" w:rsidRPr="009A0182" w:rsidRDefault="00EC23C6">
          <w:pPr>
            <w:pStyle w:val="TDC1"/>
            <w:tabs>
              <w:tab w:val="left" w:pos="720"/>
              <w:tab w:val="right" w:leader="dot" w:pos="8828"/>
            </w:tabs>
            <w:rPr>
              <w:rFonts w:ascii="Arial" w:eastAsiaTheme="minorEastAsia" w:hAnsi="Arial" w:cs="Arial"/>
              <w:noProof/>
              <w:kern w:val="2"/>
              <w:sz w:val="24"/>
              <w:szCs w:val="24"/>
              <w:lang w:val="es-CO" w:eastAsia="zh-CN"/>
              <w14:ligatures w14:val="standardContextual"/>
            </w:rPr>
          </w:pPr>
          <w:hyperlink w:anchor="_Toc228445693" w:history="1">
            <w:r w:rsidR="00996985" w:rsidRPr="009A0182">
              <w:rPr>
                <w:rStyle w:val="Hipervnculo"/>
                <w:rFonts w:ascii="Arial" w:hAnsi="Arial" w:cs="Arial"/>
                <w:noProof/>
                <w:sz w:val="24"/>
                <w:szCs w:val="24"/>
                <w:lang w:val="es-CO"/>
              </w:rPr>
              <w:t>5.1.</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CO"/>
              </w:rPr>
              <w:t>Manejo del paciente por Oftalmología General</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_Toc228445693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7</w:t>
            </w:r>
            <w:r w:rsidR="00996985" w:rsidRPr="009A0182">
              <w:rPr>
                <w:rFonts w:ascii="Arial" w:hAnsi="Arial" w:cs="Arial"/>
                <w:noProof/>
                <w:webHidden/>
                <w:sz w:val="24"/>
                <w:szCs w:val="24"/>
              </w:rPr>
              <w:fldChar w:fldCharType="end"/>
            </w:r>
          </w:hyperlink>
        </w:p>
        <w:p w14:paraId="051914DD" w14:textId="7FB48DCB"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94" w:history="1">
            <w:r w:rsidR="00996985" w:rsidRPr="009A0182">
              <w:rPr>
                <w:rStyle w:val="Hipervnculo"/>
                <w:rFonts w:ascii="Arial" w:hAnsi="Arial" w:cs="Arial"/>
                <w:noProof/>
                <w:sz w:val="24"/>
                <w:szCs w:val="24"/>
                <w:lang w:val="es-CO"/>
              </w:rPr>
              <w:t>6.</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CO"/>
              </w:rPr>
              <w:t>MARCO LEGAL</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_Toc228445694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9</w:t>
            </w:r>
            <w:r w:rsidR="00996985" w:rsidRPr="009A0182">
              <w:rPr>
                <w:rFonts w:ascii="Arial" w:hAnsi="Arial" w:cs="Arial"/>
                <w:noProof/>
                <w:webHidden/>
                <w:sz w:val="24"/>
                <w:szCs w:val="24"/>
              </w:rPr>
              <w:fldChar w:fldCharType="end"/>
            </w:r>
          </w:hyperlink>
        </w:p>
        <w:p w14:paraId="2E420A26" w14:textId="310DC082"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95" w:history="1">
            <w:r w:rsidR="00996985" w:rsidRPr="009A0182">
              <w:rPr>
                <w:rStyle w:val="Hipervnculo"/>
                <w:rFonts w:ascii="Arial" w:hAnsi="Arial" w:cs="Arial"/>
                <w:noProof/>
                <w:sz w:val="24"/>
                <w:szCs w:val="24"/>
              </w:rPr>
              <w:t>7.</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ES"/>
              </w:rPr>
              <w:t>BIBLIOGRAFÍA</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_Toc228445695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10</w:t>
            </w:r>
            <w:r w:rsidR="00996985" w:rsidRPr="009A0182">
              <w:rPr>
                <w:rFonts w:ascii="Arial" w:hAnsi="Arial" w:cs="Arial"/>
                <w:noProof/>
                <w:webHidden/>
                <w:sz w:val="24"/>
                <w:szCs w:val="24"/>
              </w:rPr>
              <w:fldChar w:fldCharType="end"/>
            </w:r>
          </w:hyperlink>
        </w:p>
        <w:p w14:paraId="368C1F8F" w14:textId="28D34E92" w:rsidR="00996985" w:rsidRPr="009A0182" w:rsidRDefault="00EC23C6">
          <w:pPr>
            <w:pStyle w:val="TDC1"/>
            <w:tabs>
              <w:tab w:val="left" w:pos="480"/>
              <w:tab w:val="right" w:leader="dot" w:pos="8828"/>
            </w:tabs>
            <w:rPr>
              <w:rFonts w:ascii="Arial" w:eastAsiaTheme="minorEastAsia" w:hAnsi="Arial" w:cs="Arial"/>
              <w:noProof/>
              <w:kern w:val="2"/>
              <w:sz w:val="24"/>
              <w:szCs w:val="24"/>
              <w:lang w:val="es-CO" w:eastAsia="zh-CN"/>
              <w14:ligatures w14:val="standardContextual"/>
            </w:rPr>
          </w:pPr>
          <w:hyperlink w:anchor="_Toc228445696" w:history="1">
            <w:r w:rsidR="00996985" w:rsidRPr="009A0182">
              <w:rPr>
                <w:rStyle w:val="Hipervnculo"/>
                <w:rFonts w:ascii="Arial" w:hAnsi="Arial" w:cs="Arial"/>
                <w:noProof/>
                <w:sz w:val="24"/>
                <w:szCs w:val="24"/>
                <w:lang w:val="es-CO"/>
              </w:rPr>
              <w:t>8.</w:t>
            </w:r>
            <w:r w:rsidR="00996985" w:rsidRPr="009A0182">
              <w:rPr>
                <w:rFonts w:ascii="Arial" w:eastAsiaTheme="minorEastAsia" w:hAnsi="Arial" w:cs="Arial"/>
                <w:noProof/>
                <w:kern w:val="2"/>
                <w:sz w:val="24"/>
                <w:szCs w:val="24"/>
                <w:lang w:val="es-CO" w:eastAsia="zh-CN"/>
                <w14:ligatures w14:val="standardContextual"/>
              </w:rPr>
              <w:tab/>
            </w:r>
            <w:r w:rsidR="00996985" w:rsidRPr="009A0182">
              <w:rPr>
                <w:rStyle w:val="Hipervnculo"/>
                <w:rFonts w:ascii="Arial" w:hAnsi="Arial" w:cs="Arial"/>
                <w:noProof/>
                <w:sz w:val="24"/>
                <w:szCs w:val="24"/>
                <w:lang w:val="es-CO"/>
              </w:rPr>
              <w:t>CONTROL DE CAMBIOS</w:t>
            </w:r>
            <w:r w:rsidR="00996985" w:rsidRPr="009A0182">
              <w:rPr>
                <w:rFonts w:ascii="Arial" w:hAnsi="Arial" w:cs="Arial"/>
                <w:noProof/>
                <w:webHidden/>
                <w:sz w:val="24"/>
                <w:szCs w:val="24"/>
              </w:rPr>
              <w:tab/>
            </w:r>
            <w:r w:rsidR="00996985" w:rsidRPr="009A0182">
              <w:rPr>
                <w:rFonts w:ascii="Arial" w:hAnsi="Arial" w:cs="Arial"/>
                <w:noProof/>
                <w:webHidden/>
                <w:sz w:val="24"/>
                <w:szCs w:val="24"/>
              </w:rPr>
              <w:fldChar w:fldCharType="begin"/>
            </w:r>
            <w:r w:rsidR="00996985" w:rsidRPr="009A0182">
              <w:rPr>
                <w:rFonts w:ascii="Arial" w:hAnsi="Arial" w:cs="Arial"/>
                <w:noProof/>
                <w:webHidden/>
                <w:sz w:val="24"/>
                <w:szCs w:val="24"/>
              </w:rPr>
              <w:instrText xml:space="preserve"> PAGEREF _Toc228445696 \h </w:instrText>
            </w:r>
            <w:r w:rsidR="00996985" w:rsidRPr="009A0182">
              <w:rPr>
                <w:rFonts w:ascii="Arial" w:hAnsi="Arial" w:cs="Arial"/>
                <w:noProof/>
                <w:webHidden/>
                <w:sz w:val="24"/>
                <w:szCs w:val="24"/>
              </w:rPr>
            </w:r>
            <w:r w:rsidR="00996985" w:rsidRPr="009A0182">
              <w:rPr>
                <w:rFonts w:ascii="Arial" w:hAnsi="Arial" w:cs="Arial"/>
                <w:noProof/>
                <w:webHidden/>
                <w:sz w:val="24"/>
                <w:szCs w:val="24"/>
              </w:rPr>
              <w:fldChar w:fldCharType="separate"/>
            </w:r>
            <w:r w:rsidR="00CF01AE" w:rsidRPr="009A0182">
              <w:rPr>
                <w:rFonts w:ascii="Arial" w:hAnsi="Arial" w:cs="Arial"/>
                <w:noProof/>
                <w:webHidden/>
                <w:sz w:val="24"/>
                <w:szCs w:val="24"/>
              </w:rPr>
              <w:t>11</w:t>
            </w:r>
            <w:r w:rsidR="00996985" w:rsidRPr="009A0182">
              <w:rPr>
                <w:rFonts w:ascii="Arial" w:hAnsi="Arial" w:cs="Arial"/>
                <w:noProof/>
                <w:webHidden/>
                <w:sz w:val="24"/>
                <w:szCs w:val="24"/>
              </w:rPr>
              <w:fldChar w:fldCharType="end"/>
            </w:r>
          </w:hyperlink>
        </w:p>
        <w:p w14:paraId="20F1B35D" w14:textId="38A37CED" w:rsidR="001E4788" w:rsidRDefault="00FD757D" w:rsidP="001E4788">
          <w:pPr>
            <w:rPr>
              <w:rFonts w:cstheme="minorHAnsi"/>
              <w:b/>
              <w:bCs/>
              <w:lang w:val="es-ES"/>
            </w:rPr>
          </w:pPr>
          <w:r w:rsidRPr="009A0182">
            <w:rPr>
              <w:rFonts w:ascii="Arial" w:hAnsi="Arial" w:cs="Arial"/>
              <w:b/>
              <w:bCs/>
              <w:sz w:val="24"/>
              <w:szCs w:val="24"/>
              <w:lang w:val="es-ES"/>
            </w:rPr>
            <w:fldChar w:fldCharType="end"/>
          </w:r>
        </w:p>
      </w:sdtContent>
    </w:sdt>
    <w:p w14:paraId="7898EFB9" w14:textId="11D7DACD" w:rsidR="00AD1EFA" w:rsidRPr="00287FB3" w:rsidRDefault="006C30FC" w:rsidP="001E4788">
      <w:pPr>
        <w:rPr>
          <w:rFonts w:cstheme="minorHAnsi"/>
        </w:rPr>
      </w:pPr>
      <w:r w:rsidRPr="00287FB3">
        <w:rPr>
          <w:rFonts w:cstheme="minorHAnsi"/>
          <w:lang w:val="es-CO"/>
        </w:rPr>
        <w:br w:type="page"/>
      </w:r>
    </w:p>
    <w:p w14:paraId="75DD6026" w14:textId="3CA916A1" w:rsidR="00AD1EFA" w:rsidRPr="009A0182" w:rsidRDefault="00AD1EFA" w:rsidP="00390AC6">
      <w:pPr>
        <w:pStyle w:val="Ttulo1"/>
        <w:numPr>
          <w:ilvl w:val="0"/>
          <w:numId w:val="1"/>
        </w:numPr>
        <w:rPr>
          <w:rFonts w:ascii="Arial" w:hAnsi="Arial" w:cs="Arial"/>
        </w:rPr>
      </w:pPr>
      <w:bookmarkStart w:id="0" w:name="_Toc228445686"/>
      <w:r w:rsidRPr="009A0182">
        <w:rPr>
          <w:rFonts w:ascii="Arial" w:hAnsi="Arial" w:cs="Arial"/>
        </w:rPr>
        <w:lastRenderedPageBreak/>
        <w:t>INTRODUCCIÓN</w:t>
      </w:r>
      <w:bookmarkEnd w:id="0"/>
    </w:p>
    <w:p w14:paraId="081B82D9" w14:textId="77777777" w:rsidR="00AC787E" w:rsidRPr="009A0182" w:rsidRDefault="00AC787E" w:rsidP="009A0182">
      <w:pPr>
        <w:pStyle w:val="NormalWeb"/>
        <w:spacing w:line="276" w:lineRule="auto"/>
        <w:jc w:val="both"/>
        <w:rPr>
          <w:rFonts w:ascii="Arial" w:hAnsi="Arial" w:cs="Arial"/>
        </w:rPr>
      </w:pPr>
      <w:r w:rsidRPr="009A0182">
        <w:rPr>
          <w:rFonts w:ascii="Arial" w:hAnsi="Arial" w:cs="Arial"/>
        </w:rPr>
        <w:t>El glaucoma constituye una de las principales causas de ceguera irreversible a nivel mundial y representa un importante problema de salud pública debido a su curso crónico, progresivo y frecuentemente asintomático en estadios iniciales. La detección temprana, el diagnóstico oportuno y el manejo adecuado permiten disminuir el riesgo de progresión del daño del nervio óptico y de la pérdida funcional del campo visual, impactando positivamente la calidad de vida de los pacientes y reduciendo la discapacidad visual asociada.</w:t>
      </w:r>
    </w:p>
    <w:p w14:paraId="227769FE" w14:textId="77777777" w:rsidR="00AC787E" w:rsidRPr="009A0182" w:rsidRDefault="00AC787E" w:rsidP="009A0182">
      <w:pPr>
        <w:pStyle w:val="NormalWeb"/>
        <w:spacing w:line="276" w:lineRule="auto"/>
        <w:jc w:val="both"/>
        <w:rPr>
          <w:rFonts w:ascii="Arial" w:hAnsi="Arial" w:cs="Arial"/>
        </w:rPr>
      </w:pPr>
      <w:r w:rsidRPr="009A0182">
        <w:rPr>
          <w:rFonts w:ascii="Arial" w:hAnsi="Arial" w:cs="Arial"/>
        </w:rPr>
        <w:t>En el marco del Sistema Obligatorio de Garantía de la Calidad en Salud (SOGCS) y del Sistema Único de Habilitación, el Hospital Regional de Moniquirá E.S.E. reconoce la necesidad de contar con documentos institucionales que orienten la atención integral, estandaricen la práctica clínica, fortalezcan la seguridad del paciente y respalden la toma de decisiones basadas en la mejor evidencia científica disponible.</w:t>
      </w:r>
    </w:p>
    <w:p w14:paraId="5A2A00BA" w14:textId="77777777" w:rsidR="00AC787E" w:rsidRPr="009A0182" w:rsidRDefault="00AC787E" w:rsidP="009A0182">
      <w:pPr>
        <w:pStyle w:val="NormalWeb"/>
        <w:spacing w:line="276" w:lineRule="auto"/>
        <w:jc w:val="both"/>
        <w:rPr>
          <w:rFonts w:ascii="Arial" w:hAnsi="Arial" w:cs="Arial"/>
        </w:rPr>
      </w:pPr>
      <w:r w:rsidRPr="009A0182">
        <w:rPr>
          <w:rFonts w:ascii="Arial" w:hAnsi="Arial" w:cs="Arial"/>
        </w:rPr>
        <w:t xml:space="preserve">El presente Protocolo Clínico para la Sospecha, Diagnóstico y Tratamiento del Glaucoma fue elaborado con base en la revisión y adaptación de recomendaciones provenientes de guías nacionales e internacionales y literatura científica actualizada. Durante el proceso de elaboración se identificó que las guías disponibles de glaucoma de la </w:t>
      </w:r>
      <w:r w:rsidRPr="009A0182">
        <w:rPr>
          <w:rStyle w:val="whitespace-normal"/>
          <w:rFonts w:ascii="Arial" w:hAnsi="Arial" w:cs="Arial"/>
        </w:rPr>
        <w:t>Sociedad Colombiana de Oftalmología</w:t>
      </w:r>
      <w:r w:rsidRPr="009A0182">
        <w:rPr>
          <w:rFonts w:ascii="Arial" w:hAnsi="Arial" w:cs="Arial"/>
        </w:rPr>
        <w:t xml:space="preserve"> no cuentan con actualización reciente, y adicionalmente no fue posible realizar un proceso completo de evaluación metodológica mediante la herramienta AGREE II. Por tal motivo, se optó por adoptar y adaptar recomendaciones clínicas vigentes y aplicables al contexto institucional, priorizando evidencia actualizada y lineamientos internacionales reconocidos para orientar la práctica clínica del servicio de oftalmología.</w:t>
      </w:r>
    </w:p>
    <w:p w14:paraId="186AB60A" w14:textId="236A5B1A" w:rsidR="00AC787E" w:rsidRPr="009A0182" w:rsidRDefault="00AC787E" w:rsidP="009A0182">
      <w:pPr>
        <w:pStyle w:val="NormalWeb"/>
        <w:spacing w:line="276" w:lineRule="auto"/>
        <w:jc w:val="both"/>
        <w:rPr>
          <w:rFonts w:ascii="Arial" w:hAnsi="Arial" w:cs="Arial"/>
        </w:rPr>
      </w:pPr>
      <w:r w:rsidRPr="009A0182">
        <w:rPr>
          <w:rFonts w:ascii="Arial" w:hAnsi="Arial" w:cs="Arial"/>
        </w:rPr>
        <w:t>Este protocolo orienta al personal asistencial en la identificación de pacientes con sospecha de glaucoma, el abordaje diagnóstico, el seguimiento clínico y paraclínico, el control de la presión intraocular, la instauración del tratamiento y los criterios de remisión a subespecialidad. Asimismo, constituye un soporte técnico-científico para la atención integral del paciente, favorece la continuidad del cuidado y contribuye al cumplimiento de los estándares de calidad y la normatividad vigente en Colombia.</w:t>
      </w:r>
    </w:p>
    <w:p w14:paraId="2F9D6C9E" w14:textId="3FE2AB96" w:rsidR="00A019A7" w:rsidRPr="009A0182" w:rsidRDefault="00FD757D" w:rsidP="00390AC6">
      <w:pPr>
        <w:pStyle w:val="Ttulo1"/>
        <w:numPr>
          <w:ilvl w:val="0"/>
          <w:numId w:val="1"/>
        </w:numPr>
        <w:spacing w:line="276" w:lineRule="auto"/>
        <w:rPr>
          <w:rFonts w:ascii="Arial" w:hAnsi="Arial" w:cs="Arial"/>
          <w:szCs w:val="24"/>
        </w:rPr>
      </w:pPr>
      <w:bookmarkStart w:id="1" w:name="_Toc228445687"/>
      <w:r w:rsidRPr="009A0182">
        <w:rPr>
          <w:rFonts w:ascii="Arial" w:hAnsi="Arial" w:cs="Arial"/>
          <w:szCs w:val="24"/>
        </w:rPr>
        <w:lastRenderedPageBreak/>
        <w:t>OBJETIVO</w:t>
      </w:r>
      <w:r w:rsidR="006C30FC" w:rsidRPr="009A0182">
        <w:rPr>
          <w:rFonts w:ascii="Arial" w:hAnsi="Arial" w:cs="Arial"/>
          <w:szCs w:val="24"/>
        </w:rPr>
        <w:t>S</w:t>
      </w:r>
      <w:bookmarkEnd w:id="1"/>
    </w:p>
    <w:p w14:paraId="75561B50" w14:textId="32F1EAE9" w:rsidR="006C30FC" w:rsidRPr="009A0182" w:rsidRDefault="006C30FC" w:rsidP="00390AC6">
      <w:pPr>
        <w:pStyle w:val="Ttulo2"/>
        <w:numPr>
          <w:ilvl w:val="1"/>
          <w:numId w:val="1"/>
        </w:numPr>
        <w:spacing w:line="276" w:lineRule="auto"/>
        <w:rPr>
          <w:rFonts w:ascii="Arial" w:hAnsi="Arial" w:cs="Arial"/>
          <w:szCs w:val="24"/>
        </w:rPr>
      </w:pPr>
      <w:bookmarkStart w:id="2" w:name="_Toc228445688"/>
      <w:r w:rsidRPr="009A0182">
        <w:rPr>
          <w:rFonts w:ascii="Arial" w:hAnsi="Arial" w:cs="Arial"/>
          <w:szCs w:val="24"/>
        </w:rPr>
        <w:t>Objetivo General</w:t>
      </w:r>
      <w:bookmarkEnd w:id="2"/>
    </w:p>
    <w:p w14:paraId="3F57DCE6" w14:textId="3905E873" w:rsidR="00E37580" w:rsidRPr="009A0182" w:rsidRDefault="00E37580" w:rsidP="009A0182">
      <w:pPr>
        <w:spacing w:line="276" w:lineRule="auto"/>
        <w:rPr>
          <w:rFonts w:ascii="Arial" w:hAnsi="Arial" w:cs="Arial"/>
          <w:sz w:val="24"/>
          <w:szCs w:val="24"/>
          <w:lang w:val="es-CO"/>
        </w:rPr>
      </w:pPr>
      <w:r w:rsidRPr="009A0182">
        <w:rPr>
          <w:rFonts w:ascii="Arial" w:hAnsi="Arial" w:cs="Arial"/>
          <w:sz w:val="24"/>
          <w:szCs w:val="24"/>
          <w:lang w:val="es-CO"/>
        </w:rPr>
        <w:t>Establecer los lineamientos institucionales para la detección, diagnóstico, seguimiento y manejo integral del paciente con sospecha o diagnóstico confirmado de glaucoma, con el fin de estandarizar la atención clínica, prevenir la progresión del daño del nervio óptico y contribuir al cumplimiento de los estándares de calidad y normatividad vigente en el Sistema de Salud colombiano.</w:t>
      </w:r>
    </w:p>
    <w:p w14:paraId="44BB403C" w14:textId="7496910F" w:rsidR="006C30FC" w:rsidRPr="009A0182" w:rsidRDefault="006C30FC" w:rsidP="00390AC6">
      <w:pPr>
        <w:pStyle w:val="Ttulo2"/>
        <w:numPr>
          <w:ilvl w:val="1"/>
          <w:numId w:val="1"/>
        </w:numPr>
        <w:spacing w:line="276" w:lineRule="auto"/>
        <w:rPr>
          <w:rFonts w:ascii="Arial" w:hAnsi="Arial" w:cs="Arial"/>
          <w:szCs w:val="24"/>
        </w:rPr>
      </w:pPr>
      <w:bookmarkStart w:id="3" w:name="_Toc228445689"/>
      <w:r w:rsidRPr="009A0182">
        <w:rPr>
          <w:rFonts w:ascii="Arial" w:hAnsi="Arial" w:cs="Arial"/>
          <w:szCs w:val="24"/>
        </w:rPr>
        <w:t>Objetivos Específicos</w:t>
      </w:r>
      <w:bookmarkEnd w:id="3"/>
    </w:p>
    <w:p w14:paraId="2C32D358" w14:textId="77777777" w:rsidR="004C2B36" w:rsidRPr="009A0182" w:rsidRDefault="004C2B36" w:rsidP="009A0182">
      <w:pPr>
        <w:spacing w:line="276" w:lineRule="auto"/>
        <w:rPr>
          <w:rFonts w:ascii="Arial" w:hAnsi="Arial" w:cs="Arial"/>
          <w:sz w:val="24"/>
          <w:szCs w:val="24"/>
        </w:rPr>
      </w:pPr>
    </w:p>
    <w:p w14:paraId="193A3375" w14:textId="3400A3FF" w:rsidR="006468F9" w:rsidRPr="009A0182" w:rsidRDefault="006468F9" w:rsidP="00390AC6">
      <w:pPr>
        <w:pStyle w:val="Prrafodelista"/>
        <w:numPr>
          <w:ilvl w:val="0"/>
          <w:numId w:val="3"/>
        </w:numPr>
        <w:spacing w:after="0" w:line="276" w:lineRule="auto"/>
        <w:rPr>
          <w:rFonts w:ascii="Arial" w:eastAsia="Times New Roman" w:hAnsi="Arial" w:cs="Arial"/>
          <w:sz w:val="24"/>
          <w:szCs w:val="24"/>
          <w:lang w:val="es-CO" w:eastAsia="es-CO"/>
        </w:rPr>
      </w:pPr>
      <w:r w:rsidRPr="009A0182">
        <w:rPr>
          <w:rFonts w:ascii="Arial" w:eastAsia="Times New Roman" w:hAnsi="Arial" w:cs="Arial"/>
          <w:sz w:val="24"/>
          <w:szCs w:val="24"/>
          <w:lang w:val="es-CO" w:eastAsia="es-CO"/>
        </w:rPr>
        <w:t xml:space="preserve">Identificar oportunamente a los pacientes con sospecha de glaucoma mediante la evaluación clínica integral, medición de la presión intraocular y valoración del nervio óptico. </w:t>
      </w:r>
    </w:p>
    <w:p w14:paraId="68D4C29A" w14:textId="54D82684" w:rsidR="006468F9" w:rsidRPr="009A0182" w:rsidRDefault="006468F9" w:rsidP="00390AC6">
      <w:pPr>
        <w:pStyle w:val="Prrafodelista"/>
        <w:numPr>
          <w:ilvl w:val="0"/>
          <w:numId w:val="3"/>
        </w:numPr>
        <w:spacing w:after="0" w:line="276" w:lineRule="auto"/>
        <w:rPr>
          <w:rFonts w:ascii="Arial" w:eastAsia="Times New Roman" w:hAnsi="Arial" w:cs="Arial"/>
          <w:sz w:val="24"/>
          <w:szCs w:val="24"/>
          <w:lang w:val="es-CO" w:eastAsia="es-CO"/>
        </w:rPr>
      </w:pPr>
      <w:r w:rsidRPr="009A0182">
        <w:rPr>
          <w:rFonts w:ascii="Arial" w:eastAsia="Times New Roman" w:hAnsi="Arial" w:cs="Arial"/>
          <w:sz w:val="24"/>
          <w:szCs w:val="24"/>
          <w:lang w:val="es-CO" w:eastAsia="es-CO"/>
        </w:rPr>
        <w:t xml:space="preserve">Definir los criterios </w:t>
      </w:r>
      <w:r w:rsidR="00BF5DD6" w:rsidRPr="009A0182">
        <w:rPr>
          <w:rFonts w:ascii="Arial" w:eastAsia="Times New Roman" w:hAnsi="Arial" w:cs="Arial"/>
          <w:sz w:val="24"/>
          <w:szCs w:val="24"/>
          <w:lang w:val="es-CO" w:eastAsia="es-CO"/>
        </w:rPr>
        <w:t>diagnósticos, seguimiento</w:t>
      </w:r>
      <w:r w:rsidRPr="009A0182">
        <w:rPr>
          <w:rFonts w:ascii="Arial" w:eastAsia="Times New Roman" w:hAnsi="Arial" w:cs="Arial"/>
          <w:sz w:val="24"/>
          <w:szCs w:val="24"/>
          <w:lang w:val="es-CO" w:eastAsia="es-CO"/>
        </w:rPr>
        <w:t xml:space="preserve"> y uso de ayudas diagnósticas para el abordaje integral del paciente con</w:t>
      </w:r>
      <w:r w:rsidR="007B43CF" w:rsidRPr="009A0182">
        <w:rPr>
          <w:rFonts w:ascii="Arial" w:eastAsia="Times New Roman" w:hAnsi="Arial" w:cs="Arial"/>
          <w:sz w:val="24"/>
          <w:szCs w:val="24"/>
          <w:lang w:val="es-CO" w:eastAsia="es-CO"/>
        </w:rPr>
        <w:t xml:space="preserve"> sospecha y/o diagnóstico de</w:t>
      </w:r>
      <w:r w:rsidRPr="009A0182">
        <w:rPr>
          <w:rFonts w:ascii="Arial" w:eastAsia="Times New Roman" w:hAnsi="Arial" w:cs="Arial"/>
          <w:sz w:val="24"/>
          <w:szCs w:val="24"/>
          <w:lang w:val="es-CO" w:eastAsia="es-CO"/>
        </w:rPr>
        <w:t xml:space="preserve"> glaucoma. </w:t>
      </w:r>
    </w:p>
    <w:p w14:paraId="453A8981" w14:textId="09563361" w:rsidR="006468F9" w:rsidRPr="009A0182" w:rsidRDefault="006468F9" w:rsidP="00390AC6">
      <w:pPr>
        <w:pStyle w:val="Prrafodelista"/>
        <w:numPr>
          <w:ilvl w:val="0"/>
          <w:numId w:val="3"/>
        </w:numPr>
        <w:spacing w:after="0" w:line="276" w:lineRule="auto"/>
        <w:rPr>
          <w:rFonts w:ascii="Arial" w:eastAsia="Times New Roman" w:hAnsi="Arial" w:cs="Arial"/>
          <w:sz w:val="24"/>
          <w:szCs w:val="24"/>
          <w:lang w:val="es-CO" w:eastAsia="es-CO"/>
        </w:rPr>
      </w:pPr>
      <w:r w:rsidRPr="009A0182">
        <w:rPr>
          <w:rFonts w:ascii="Arial" w:eastAsia="Times New Roman" w:hAnsi="Arial" w:cs="Arial"/>
          <w:sz w:val="24"/>
          <w:szCs w:val="24"/>
          <w:lang w:val="es-CO" w:eastAsia="es-CO"/>
        </w:rPr>
        <w:t>Estandarizar el manejo médico inicial</w:t>
      </w:r>
      <w:r w:rsidR="007B43CF" w:rsidRPr="009A0182">
        <w:rPr>
          <w:rFonts w:ascii="Arial" w:eastAsia="Times New Roman" w:hAnsi="Arial" w:cs="Arial"/>
          <w:sz w:val="24"/>
          <w:szCs w:val="24"/>
          <w:lang w:val="es-CO" w:eastAsia="es-CO"/>
        </w:rPr>
        <w:t xml:space="preserve"> </w:t>
      </w:r>
      <w:r w:rsidRPr="009A0182">
        <w:rPr>
          <w:rFonts w:ascii="Arial" w:eastAsia="Times New Roman" w:hAnsi="Arial" w:cs="Arial"/>
          <w:sz w:val="24"/>
          <w:szCs w:val="24"/>
          <w:lang w:val="es-CO" w:eastAsia="es-CO"/>
        </w:rPr>
        <w:t>y los criterios de remisión a especialidad</w:t>
      </w:r>
      <w:r w:rsidR="007B43CF" w:rsidRPr="009A0182">
        <w:rPr>
          <w:rFonts w:ascii="Arial" w:eastAsia="Times New Roman" w:hAnsi="Arial" w:cs="Arial"/>
          <w:sz w:val="24"/>
          <w:szCs w:val="24"/>
          <w:lang w:val="es-CO" w:eastAsia="es-CO"/>
        </w:rPr>
        <w:t>/subespecialidad</w:t>
      </w:r>
      <w:r w:rsidRPr="009A0182">
        <w:rPr>
          <w:rFonts w:ascii="Arial" w:eastAsia="Times New Roman" w:hAnsi="Arial" w:cs="Arial"/>
          <w:sz w:val="24"/>
          <w:szCs w:val="24"/>
          <w:lang w:val="es-CO" w:eastAsia="es-CO"/>
        </w:rPr>
        <w:t xml:space="preserve"> o manejo quirúrgico</w:t>
      </w:r>
      <w:r w:rsidR="007B43CF" w:rsidRPr="009A0182">
        <w:rPr>
          <w:rFonts w:ascii="Arial" w:eastAsia="Times New Roman" w:hAnsi="Arial" w:cs="Arial"/>
          <w:sz w:val="24"/>
          <w:szCs w:val="24"/>
          <w:lang w:val="es-CO" w:eastAsia="es-CO"/>
        </w:rPr>
        <w:t>.</w:t>
      </w:r>
    </w:p>
    <w:p w14:paraId="71B9E17E" w14:textId="532E4759" w:rsidR="006468F9" w:rsidRPr="009A0182" w:rsidRDefault="006468F9" w:rsidP="00390AC6">
      <w:pPr>
        <w:pStyle w:val="Prrafodelista"/>
        <w:numPr>
          <w:ilvl w:val="0"/>
          <w:numId w:val="3"/>
        </w:numPr>
        <w:spacing w:after="0" w:line="276" w:lineRule="auto"/>
        <w:rPr>
          <w:rFonts w:ascii="Arial" w:eastAsia="Times New Roman" w:hAnsi="Arial" w:cs="Arial"/>
          <w:sz w:val="24"/>
          <w:szCs w:val="24"/>
          <w:lang w:val="es-CO" w:eastAsia="es-CO"/>
        </w:rPr>
      </w:pPr>
      <w:r w:rsidRPr="009A0182">
        <w:rPr>
          <w:rFonts w:ascii="Arial" w:eastAsia="Times New Roman" w:hAnsi="Arial" w:cs="Arial"/>
          <w:sz w:val="24"/>
          <w:szCs w:val="24"/>
          <w:lang w:val="es-CO" w:eastAsia="es-CO"/>
        </w:rPr>
        <w:t xml:space="preserve">Orientar el seguimiento periódico y la evaluación de la progresión de la enfermedad, con el fin de prevenir el deterioro visual irreversible. </w:t>
      </w:r>
    </w:p>
    <w:p w14:paraId="291765E5" w14:textId="716493B2" w:rsidR="007B43CF" w:rsidRPr="009A0182" w:rsidRDefault="007B43CF" w:rsidP="00390AC6">
      <w:pPr>
        <w:pStyle w:val="Ttulo1"/>
        <w:numPr>
          <w:ilvl w:val="0"/>
          <w:numId w:val="1"/>
        </w:numPr>
        <w:spacing w:line="276" w:lineRule="auto"/>
        <w:rPr>
          <w:rFonts w:ascii="Arial" w:hAnsi="Arial" w:cs="Arial"/>
          <w:szCs w:val="24"/>
          <w:lang w:val="es-CO"/>
        </w:rPr>
      </w:pPr>
      <w:bookmarkStart w:id="4" w:name="_Toc228445691"/>
      <w:r w:rsidRPr="009A0182">
        <w:rPr>
          <w:rFonts w:ascii="Arial" w:hAnsi="Arial" w:cs="Arial"/>
          <w:szCs w:val="24"/>
          <w:lang w:val="es-CO"/>
        </w:rPr>
        <w:t>ALCANCE</w:t>
      </w:r>
    </w:p>
    <w:p w14:paraId="55FBC7A8" w14:textId="65442E92" w:rsidR="007B43CF" w:rsidRPr="009A0182" w:rsidRDefault="007B43CF" w:rsidP="009A0182">
      <w:pPr>
        <w:pStyle w:val="NormalWeb"/>
        <w:spacing w:line="276" w:lineRule="auto"/>
        <w:jc w:val="both"/>
        <w:rPr>
          <w:rFonts w:ascii="Arial" w:hAnsi="Arial" w:cs="Arial"/>
        </w:rPr>
      </w:pPr>
      <w:r w:rsidRPr="009A0182">
        <w:rPr>
          <w:rFonts w:ascii="Arial" w:hAnsi="Arial" w:cs="Arial"/>
        </w:rPr>
        <w:t>El presente aplica al personal asistencial</w:t>
      </w:r>
      <w:r w:rsidR="00BF5DD6" w:rsidRPr="009A0182">
        <w:rPr>
          <w:rFonts w:ascii="Arial" w:hAnsi="Arial" w:cs="Arial"/>
        </w:rPr>
        <w:t xml:space="preserve">, </w:t>
      </w:r>
      <w:r w:rsidRPr="009A0182">
        <w:rPr>
          <w:rFonts w:ascii="Arial" w:hAnsi="Arial" w:cs="Arial"/>
        </w:rPr>
        <w:t>médicos especialistas, médicos generales, personal de enfermería y demás profesionales involucrados en la atención integral del paciente con sospecha o diagnóstico de glaucoma.</w:t>
      </w:r>
      <w:r w:rsidR="00BF5DD6" w:rsidRPr="009A0182">
        <w:rPr>
          <w:rFonts w:ascii="Arial" w:hAnsi="Arial" w:cs="Arial"/>
        </w:rPr>
        <w:t xml:space="preserve"> </w:t>
      </w:r>
      <w:r w:rsidRPr="009A0182">
        <w:rPr>
          <w:rFonts w:ascii="Arial" w:hAnsi="Arial" w:cs="Arial"/>
        </w:rPr>
        <w:t>El protocolo orienta las actividades relacionadas con la identificación temprana de factores de riesgo y signos de alarma, la evaluación clínica inicial, el abordaje diagnóstico, el seguimiento clínico y paraclínico, el manejo médico inicial y los criterios de remisión a subespecialidad o manejo quirúrgico, según la condición clínica del paciente y la capacidad resolutiva institucional.</w:t>
      </w:r>
    </w:p>
    <w:p w14:paraId="37274FC6" w14:textId="77777777" w:rsidR="007B43CF" w:rsidRPr="009A0182" w:rsidRDefault="007B43CF" w:rsidP="009A0182">
      <w:pPr>
        <w:pStyle w:val="NormalWeb"/>
        <w:spacing w:line="276" w:lineRule="auto"/>
        <w:jc w:val="both"/>
        <w:rPr>
          <w:rFonts w:ascii="Arial" w:hAnsi="Arial" w:cs="Arial"/>
        </w:rPr>
      </w:pPr>
      <w:r w:rsidRPr="009A0182">
        <w:rPr>
          <w:rFonts w:ascii="Arial" w:hAnsi="Arial" w:cs="Arial"/>
        </w:rPr>
        <w:t>Está dirigido a la atención de pacientes adultos con sospecha o diagnóstico confirmado de glaucoma en los diferentes niveles de atención ofertados por la institución, promoviendo una atención segura, continua, basada en evidencia y enfocada en la prevención de la progresión de la enfermedad y del deterioro visual irreversible.</w:t>
      </w:r>
    </w:p>
    <w:p w14:paraId="69320190" w14:textId="034A738B" w:rsidR="00BF5DD6" w:rsidRPr="009A0182" w:rsidRDefault="00BF5DD6" w:rsidP="00390AC6">
      <w:pPr>
        <w:pStyle w:val="Ttulo1"/>
        <w:numPr>
          <w:ilvl w:val="0"/>
          <w:numId w:val="1"/>
        </w:numPr>
        <w:spacing w:line="276" w:lineRule="auto"/>
        <w:rPr>
          <w:rFonts w:ascii="Arial" w:hAnsi="Arial" w:cs="Arial"/>
          <w:szCs w:val="24"/>
          <w:lang w:val="es-CO"/>
        </w:rPr>
      </w:pPr>
      <w:r w:rsidRPr="009A0182">
        <w:rPr>
          <w:rFonts w:ascii="Arial" w:hAnsi="Arial" w:cs="Arial"/>
          <w:szCs w:val="24"/>
          <w:lang w:val="es-CO"/>
        </w:rPr>
        <w:lastRenderedPageBreak/>
        <w:t>METODOLOGÍA</w:t>
      </w:r>
    </w:p>
    <w:p w14:paraId="39328FBB" w14:textId="303D76ED" w:rsidR="00BF5DD6" w:rsidRPr="009A0182" w:rsidRDefault="00BF5DD6" w:rsidP="009A0182">
      <w:pPr>
        <w:pStyle w:val="Ttulo3"/>
        <w:spacing w:line="276" w:lineRule="auto"/>
        <w:rPr>
          <w:rFonts w:ascii="Arial" w:hAnsi="Arial" w:cs="Arial"/>
          <w:b/>
          <w:bCs/>
          <w:color w:val="auto"/>
          <w:lang w:val="es-CO"/>
        </w:rPr>
      </w:pPr>
      <w:r w:rsidRPr="009A0182">
        <w:rPr>
          <w:rFonts w:ascii="Arial" w:hAnsi="Arial" w:cs="Arial"/>
          <w:b/>
          <w:bCs/>
          <w:color w:val="auto"/>
        </w:rPr>
        <w:t>4.1 Preguntas PICO</w:t>
      </w:r>
    </w:p>
    <w:p w14:paraId="63C0C908" w14:textId="77777777" w:rsidR="00BF5DD6" w:rsidRPr="009A0182" w:rsidRDefault="00BF5DD6" w:rsidP="009A0182">
      <w:pPr>
        <w:pStyle w:val="NormalWeb"/>
        <w:spacing w:line="276" w:lineRule="auto"/>
        <w:jc w:val="both"/>
        <w:rPr>
          <w:rFonts w:ascii="Arial" w:hAnsi="Arial" w:cs="Arial"/>
        </w:rPr>
      </w:pPr>
      <w:r w:rsidRPr="009A0182">
        <w:rPr>
          <w:rFonts w:ascii="Arial" w:hAnsi="Arial" w:cs="Arial"/>
        </w:rPr>
        <w:t>Para la elaboración del presente protocolo se formularon preguntas orientadoras enfocadas en los principales aspectos relacionados con la sospecha, diagnóstico, seguimiento y tratamiento del glaucoma, teniendo en cuenta las necesidades identificadas en la práctica clínica institucional y las situaciones de mayor frecuencia en la atención oftalmológica. Entre las preguntas abordadas se incluyeron:</w:t>
      </w:r>
    </w:p>
    <w:p w14:paraId="75ED1869" w14:textId="77777777" w:rsidR="00BF5DD6" w:rsidRPr="009A0182" w:rsidRDefault="00BF5DD6" w:rsidP="00390AC6">
      <w:pPr>
        <w:numPr>
          <w:ilvl w:val="0"/>
          <w:numId w:val="4"/>
        </w:numPr>
        <w:spacing w:before="100" w:beforeAutospacing="1" w:after="100" w:afterAutospacing="1" w:line="276" w:lineRule="auto"/>
        <w:rPr>
          <w:rFonts w:ascii="Arial" w:hAnsi="Arial" w:cs="Arial"/>
          <w:sz w:val="24"/>
          <w:szCs w:val="24"/>
        </w:rPr>
      </w:pPr>
      <w:r w:rsidRPr="009A0182">
        <w:rPr>
          <w:rFonts w:ascii="Arial" w:hAnsi="Arial" w:cs="Arial"/>
          <w:sz w:val="24"/>
          <w:szCs w:val="24"/>
        </w:rPr>
        <w:t xml:space="preserve">¿Cuáles son los principales factores de riesgo, signos clínicos y hallazgos oftalmológicos que deben orientar la sospecha de glaucoma? </w:t>
      </w:r>
    </w:p>
    <w:p w14:paraId="23CE728D" w14:textId="77777777" w:rsidR="00BF5DD6" w:rsidRPr="009A0182" w:rsidRDefault="00BF5DD6" w:rsidP="00390AC6">
      <w:pPr>
        <w:numPr>
          <w:ilvl w:val="0"/>
          <w:numId w:val="4"/>
        </w:numPr>
        <w:spacing w:before="100" w:beforeAutospacing="1" w:after="100" w:afterAutospacing="1" w:line="276" w:lineRule="auto"/>
        <w:rPr>
          <w:rFonts w:ascii="Arial" w:hAnsi="Arial" w:cs="Arial"/>
          <w:sz w:val="24"/>
          <w:szCs w:val="24"/>
        </w:rPr>
      </w:pPr>
      <w:r w:rsidRPr="009A0182">
        <w:rPr>
          <w:rFonts w:ascii="Arial" w:hAnsi="Arial" w:cs="Arial"/>
          <w:sz w:val="24"/>
          <w:szCs w:val="24"/>
        </w:rPr>
        <w:t xml:space="preserve">¿Cuáles son las ayudas diagnósticas más útiles para confirmar el diagnóstico y evaluar la progresión del glaucoma, incluyendo tonometría, valoración del nervio óptico, campos visuales, paquimetría y tomografía de coherencia óptica? </w:t>
      </w:r>
    </w:p>
    <w:p w14:paraId="420D4F2F" w14:textId="77777777" w:rsidR="00BF5DD6" w:rsidRPr="009A0182" w:rsidRDefault="00BF5DD6" w:rsidP="00390AC6">
      <w:pPr>
        <w:numPr>
          <w:ilvl w:val="0"/>
          <w:numId w:val="4"/>
        </w:numPr>
        <w:spacing w:before="100" w:beforeAutospacing="1" w:after="100" w:afterAutospacing="1" w:line="276" w:lineRule="auto"/>
        <w:rPr>
          <w:rFonts w:ascii="Arial" w:hAnsi="Arial" w:cs="Arial"/>
          <w:sz w:val="24"/>
          <w:szCs w:val="24"/>
        </w:rPr>
      </w:pPr>
      <w:r w:rsidRPr="009A0182">
        <w:rPr>
          <w:rFonts w:ascii="Arial" w:hAnsi="Arial" w:cs="Arial"/>
          <w:sz w:val="24"/>
          <w:szCs w:val="24"/>
        </w:rPr>
        <w:t xml:space="preserve">¿Cuál es el manejo médico inicial más adecuado para el control de la presión intraocular según el tipo de glaucoma y las características clínicas del paciente? </w:t>
      </w:r>
    </w:p>
    <w:p w14:paraId="13A38E40" w14:textId="77777777" w:rsidR="00BF5DD6" w:rsidRPr="009A0182" w:rsidRDefault="00BF5DD6" w:rsidP="00390AC6">
      <w:pPr>
        <w:numPr>
          <w:ilvl w:val="0"/>
          <w:numId w:val="4"/>
        </w:numPr>
        <w:spacing w:before="100" w:beforeAutospacing="1" w:after="100" w:afterAutospacing="1" w:line="276" w:lineRule="auto"/>
        <w:rPr>
          <w:rFonts w:ascii="Arial" w:hAnsi="Arial" w:cs="Arial"/>
          <w:sz w:val="24"/>
          <w:szCs w:val="24"/>
        </w:rPr>
      </w:pPr>
      <w:r w:rsidRPr="009A0182">
        <w:rPr>
          <w:rFonts w:ascii="Arial" w:hAnsi="Arial" w:cs="Arial"/>
          <w:sz w:val="24"/>
          <w:szCs w:val="24"/>
        </w:rPr>
        <w:t xml:space="preserve">¿Cuáles son los criterios de seguimiento, progresión y remisión a subespecialidad o manejo quirúrgico en pacientes con glaucoma? </w:t>
      </w:r>
    </w:p>
    <w:p w14:paraId="608939B4" w14:textId="77777777" w:rsidR="00BF5DD6" w:rsidRPr="009A0182" w:rsidRDefault="00BF5DD6" w:rsidP="009A0182">
      <w:pPr>
        <w:pStyle w:val="Ttulo3"/>
        <w:spacing w:line="276" w:lineRule="auto"/>
        <w:rPr>
          <w:rFonts w:ascii="Arial" w:hAnsi="Arial" w:cs="Arial"/>
          <w:b/>
          <w:bCs/>
          <w:color w:val="auto"/>
        </w:rPr>
      </w:pPr>
      <w:r w:rsidRPr="009A0182">
        <w:rPr>
          <w:rFonts w:ascii="Arial" w:hAnsi="Arial" w:cs="Arial"/>
          <w:b/>
          <w:bCs/>
          <w:color w:val="auto"/>
        </w:rPr>
        <w:t>4.2 Búsqueda y selección de la literatura</w:t>
      </w:r>
    </w:p>
    <w:p w14:paraId="0B779904" w14:textId="68535B84" w:rsidR="00BF5DD6" w:rsidRPr="009A0182" w:rsidRDefault="00BF5DD6" w:rsidP="009A0182">
      <w:pPr>
        <w:pStyle w:val="NormalWeb"/>
        <w:spacing w:line="276" w:lineRule="auto"/>
        <w:jc w:val="both"/>
        <w:rPr>
          <w:rFonts w:ascii="Arial" w:hAnsi="Arial" w:cs="Arial"/>
        </w:rPr>
      </w:pPr>
      <w:r w:rsidRPr="009A0182">
        <w:rPr>
          <w:rFonts w:ascii="Arial" w:hAnsi="Arial" w:cs="Arial"/>
        </w:rPr>
        <w:t>Para la elaboración de este protocolo se realizó una búsqueda narrativa y revisión de literatura científica durante los meses de abril y mayo, enfocada en el abordaje diagnóstico y terapéutico del glaucoma y en las principales necesidades identificadas en la atención de pacientes del Hospital Regional de Moniquirá E.S.E.</w:t>
      </w:r>
    </w:p>
    <w:p w14:paraId="0635F424" w14:textId="77777777" w:rsidR="00BF5DD6" w:rsidRPr="009A0182" w:rsidRDefault="00BF5DD6" w:rsidP="009A0182">
      <w:pPr>
        <w:pStyle w:val="NormalWeb"/>
        <w:spacing w:line="276" w:lineRule="auto"/>
        <w:jc w:val="both"/>
        <w:rPr>
          <w:rFonts w:ascii="Arial" w:hAnsi="Arial" w:cs="Arial"/>
        </w:rPr>
      </w:pPr>
      <w:r w:rsidRPr="009A0182">
        <w:rPr>
          <w:rFonts w:ascii="Arial" w:hAnsi="Arial" w:cs="Arial"/>
        </w:rPr>
        <w:t xml:space="preserve">Inicialmente, se revisaron las recomendaciones disponibles de la </w:t>
      </w:r>
      <w:r w:rsidRPr="009A0182">
        <w:rPr>
          <w:rStyle w:val="whitespace-normal"/>
          <w:rFonts w:ascii="Arial" w:eastAsiaTheme="majorEastAsia" w:hAnsi="Arial" w:cs="Arial"/>
        </w:rPr>
        <w:t>Sociedad Colombiana de Oftalmología</w:t>
      </w:r>
      <w:r w:rsidRPr="009A0182">
        <w:rPr>
          <w:rFonts w:ascii="Arial" w:hAnsi="Arial" w:cs="Arial"/>
        </w:rPr>
        <w:t xml:space="preserve"> como referente nacional para el manejo del glaucoma. Sin embargo, durante el proceso de revisión se identificó que algunos lineamientos y recomendaciones disponibles no contaban con actualización reciente frente a la evidencia internacional actual. Adicionalmente, por limitaciones metodológicas y de disponibilidad documental, no fue posible realizar un proceso completo de evaluación y adopción formal de guías mediante la herramienta AGREE II.</w:t>
      </w:r>
    </w:p>
    <w:p w14:paraId="5EE3B9B4" w14:textId="77777777" w:rsidR="00BF5DD6" w:rsidRPr="009A0182" w:rsidRDefault="00BF5DD6" w:rsidP="009A0182">
      <w:pPr>
        <w:pStyle w:val="NormalWeb"/>
        <w:spacing w:line="276" w:lineRule="auto"/>
        <w:jc w:val="both"/>
        <w:rPr>
          <w:rFonts w:ascii="Arial" w:hAnsi="Arial" w:cs="Arial"/>
        </w:rPr>
      </w:pPr>
      <w:r w:rsidRPr="009A0182">
        <w:rPr>
          <w:rFonts w:ascii="Arial" w:hAnsi="Arial" w:cs="Arial"/>
        </w:rPr>
        <w:lastRenderedPageBreak/>
        <w:t>Por este motivo, se procedió a realizar una revisión complementaria de guías internacionales, consensos de expertos, revisiones sistemáticas y artículos científicos relacionados con glaucoma y sospecha de glaucoma, priorizando literatura reciente, aplicabilidad clínica y pertinencia para el contexto institucional. La búsqueda se realizó en sociedades científicas de oftalmología y en bases de datos biomédicas como PubMed, ScienceDirect y otras fuentes bibliográficas especializadas.</w:t>
      </w:r>
    </w:p>
    <w:p w14:paraId="61582A2C" w14:textId="77777777" w:rsidR="00BF5DD6" w:rsidRPr="009A0182" w:rsidRDefault="00BF5DD6" w:rsidP="009A0182">
      <w:pPr>
        <w:pStyle w:val="NormalWeb"/>
        <w:spacing w:line="276" w:lineRule="auto"/>
        <w:jc w:val="both"/>
        <w:rPr>
          <w:rFonts w:ascii="Arial" w:hAnsi="Arial" w:cs="Arial"/>
        </w:rPr>
      </w:pPr>
      <w:r w:rsidRPr="009A0182">
        <w:rPr>
          <w:rFonts w:ascii="Arial" w:hAnsi="Arial" w:cs="Arial"/>
        </w:rPr>
        <w:t>Entre los términos de búsqueda utilizados se incluyeron: “Glaucoma”, “Primary Open Angle Glaucoma”, “Glaucoma Suspect”, “Intraocular Pressure”, “Optic Nerve”, “Visual Field”, “Optical Coherence Tomography”, “Diagnosis”, “Treatment”, “Follow-up” y “Clinical Practice Guidelines”.</w:t>
      </w:r>
    </w:p>
    <w:p w14:paraId="2FA4F2AB" w14:textId="64743BC1" w:rsidR="00BF5DD6" w:rsidRPr="009A0182" w:rsidRDefault="00BF5DD6" w:rsidP="009A0182">
      <w:pPr>
        <w:pStyle w:val="NormalWeb"/>
        <w:spacing w:line="276" w:lineRule="auto"/>
        <w:jc w:val="both"/>
        <w:rPr>
          <w:rFonts w:ascii="Arial" w:hAnsi="Arial" w:cs="Arial"/>
        </w:rPr>
      </w:pPr>
      <w:r w:rsidRPr="009A0182">
        <w:rPr>
          <w:rFonts w:ascii="Arial" w:hAnsi="Arial" w:cs="Arial"/>
        </w:rPr>
        <w:t>Para la selección de la literatura se consideraron principalmente guías de práctica clínica, consensos, revisiones sistemáticas y artículos de revisión publicados en los últimos cinco años. Posteriormente, se realizó un proceso de depuración y análisis de la evidencia seleccionada, priorizando documentos con mayor relevancia clínica y aplicabilidad en la institución. Finalmente, se llevó a cabo un consenso informal entre los profesionales participantes del servicio, con el objetivo de contextualizar las recomendaciones al perfil epidemiológico, capacidad resolutiva y disponibilidad de recursos del Hospital Regional de Moniquirá E.S.E. A partir de este proceso se definieron las recomendaciones incluidas en el presente protocolo, buscando facilitar un abordaje práctico, estandarizado y aplicable para los diferentes profesionales involucrados en la atención del paciente con sospecha o diagnóstico de glaucoma.</w:t>
      </w:r>
    </w:p>
    <w:p w14:paraId="44195E77" w14:textId="4C6210F9" w:rsidR="00B47C09" w:rsidRPr="009A0182" w:rsidRDefault="007B43CF" w:rsidP="00390AC6">
      <w:pPr>
        <w:pStyle w:val="Ttulo1"/>
        <w:numPr>
          <w:ilvl w:val="0"/>
          <w:numId w:val="1"/>
        </w:numPr>
        <w:rPr>
          <w:rFonts w:ascii="Arial" w:hAnsi="Arial" w:cs="Arial"/>
          <w:szCs w:val="24"/>
          <w:lang w:val="es-CO"/>
        </w:rPr>
      </w:pPr>
      <w:r w:rsidRPr="009A0182">
        <w:rPr>
          <w:rFonts w:ascii="Arial" w:hAnsi="Arial" w:cs="Arial"/>
          <w:szCs w:val="24"/>
          <w:lang w:val="es-CO"/>
        </w:rPr>
        <w:t>MARCO TEÓRICO</w:t>
      </w:r>
      <w:r w:rsidR="00EB1112" w:rsidRPr="009A0182">
        <w:rPr>
          <w:rFonts w:ascii="Arial" w:hAnsi="Arial" w:cs="Arial"/>
          <w:szCs w:val="24"/>
          <w:lang w:val="es-CO"/>
        </w:rPr>
        <w:t xml:space="preserve"> </w:t>
      </w:r>
      <w:r w:rsidR="006C30FC" w:rsidRPr="009A0182">
        <w:rPr>
          <w:rFonts w:ascii="Arial" w:hAnsi="Arial" w:cs="Arial"/>
          <w:szCs w:val="24"/>
          <w:lang w:val="es-CO"/>
        </w:rPr>
        <w:t>Y</w:t>
      </w:r>
      <w:r w:rsidR="00EB1112" w:rsidRPr="009A0182">
        <w:rPr>
          <w:rFonts w:ascii="Arial" w:hAnsi="Arial" w:cs="Arial"/>
          <w:szCs w:val="24"/>
          <w:lang w:val="es-CO"/>
        </w:rPr>
        <w:t xml:space="preserve"> </w:t>
      </w:r>
      <w:r w:rsidR="006C30FC" w:rsidRPr="009A0182">
        <w:rPr>
          <w:rFonts w:ascii="Arial" w:hAnsi="Arial" w:cs="Arial"/>
          <w:szCs w:val="24"/>
          <w:lang w:val="es-CO"/>
        </w:rPr>
        <w:t>DEFINICIONES</w:t>
      </w:r>
      <w:bookmarkEnd w:id="4"/>
    </w:p>
    <w:tbl>
      <w:tblPr>
        <w:tblStyle w:val="Tablaconcuadrcula"/>
        <w:tblW w:w="9067" w:type="dxa"/>
        <w:tblLook w:val="04A0" w:firstRow="1" w:lastRow="0" w:firstColumn="1" w:lastColumn="0" w:noHBand="0" w:noVBand="1"/>
      </w:tblPr>
      <w:tblGrid>
        <w:gridCol w:w="439"/>
        <w:gridCol w:w="1439"/>
        <w:gridCol w:w="5739"/>
        <w:gridCol w:w="1450"/>
      </w:tblGrid>
      <w:tr w:rsidR="00BF5DD6" w:rsidRPr="009A0182" w14:paraId="3E8444AA" w14:textId="77777777" w:rsidTr="009A0182">
        <w:tc>
          <w:tcPr>
            <w:tcW w:w="440" w:type="dxa"/>
            <w:shd w:val="clear" w:color="auto" w:fill="A8D08D" w:themeFill="accent6" w:themeFillTint="99"/>
          </w:tcPr>
          <w:p w14:paraId="7FDBE7C2" w14:textId="006D2D0F" w:rsidR="00BF5DD6" w:rsidRPr="009A0182" w:rsidRDefault="00BF5DD6" w:rsidP="005B1AB8">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ID</w:t>
            </w:r>
          </w:p>
        </w:tc>
        <w:tc>
          <w:tcPr>
            <w:tcW w:w="0" w:type="auto"/>
            <w:shd w:val="clear" w:color="auto" w:fill="A8D08D" w:themeFill="accent6" w:themeFillTint="99"/>
            <w:hideMark/>
          </w:tcPr>
          <w:p w14:paraId="099FAEC2" w14:textId="296AC387" w:rsidR="00BF5DD6" w:rsidRPr="009A0182" w:rsidRDefault="00BF5DD6" w:rsidP="005B1AB8">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TÉRMINO</w:t>
            </w:r>
          </w:p>
        </w:tc>
        <w:tc>
          <w:tcPr>
            <w:tcW w:w="5553" w:type="dxa"/>
            <w:shd w:val="clear" w:color="auto" w:fill="A8D08D" w:themeFill="accent6" w:themeFillTint="99"/>
            <w:hideMark/>
          </w:tcPr>
          <w:p w14:paraId="4DFFED6A" w14:textId="77777777" w:rsidR="00BF5DD6" w:rsidRPr="009A0182" w:rsidRDefault="00BF5DD6" w:rsidP="005B1AB8">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DEFINICIÓN</w:t>
            </w:r>
          </w:p>
        </w:tc>
        <w:tc>
          <w:tcPr>
            <w:tcW w:w="1674" w:type="dxa"/>
            <w:shd w:val="clear" w:color="auto" w:fill="A8D08D" w:themeFill="accent6" w:themeFillTint="99"/>
            <w:hideMark/>
          </w:tcPr>
          <w:p w14:paraId="6E43EA66" w14:textId="77777777" w:rsidR="00BF5DD6" w:rsidRPr="009A0182" w:rsidRDefault="00BF5DD6" w:rsidP="005B1AB8">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FUENTE</w:t>
            </w:r>
          </w:p>
        </w:tc>
      </w:tr>
      <w:tr w:rsidR="00BF5DD6" w:rsidRPr="009A0182" w14:paraId="59E5550D" w14:textId="77777777" w:rsidTr="00A464CC">
        <w:tc>
          <w:tcPr>
            <w:tcW w:w="440" w:type="dxa"/>
            <w:vAlign w:val="center"/>
          </w:tcPr>
          <w:p w14:paraId="1DBFF4CE" w14:textId="1B63FF76"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1</w:t>
            </w:r>
          </w:p>
        </w:tc>
        <w:tc>
          <w:tcPr>
            <w:tcW w:w="0" w:type="auto"/>
            <w:vAlign w:val="center"/>
            <w:hideMark/>
          </w:tcPr>
          <w:p w14:paraId="734B001A" w14:textId="73A50BBB"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Glaucoma</w:t>
            </w:r>
          </w:p>
        </w:tc>
        <w:tc>
          <w:tcPr>
            <w:tcW w:w="0" w:type="auto"/>
            <w:hideMark/>
          </w:tcPr>
          <w:p w14:paraId="1F4FD730"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Grupo de neuropatías ópticas crónicas y progresivas caracterizadas por daño estructural del nervio óptico y de la capa de fibras nerviosas, con pérdida funcional del campo visual, en ausencia de otra causa identificable.</w:t>
            </w:r>
          </w:p>
        </w:tc>
        <w:tc>
          <w:tcPr>
            <w:tcW w:w="1674" w:type="dxa"/>
            <w:hideMark/>
          </w:tcPr>
          <w:p w14:paraId="54FF1C16" w14:textId="5FE9E75E" w:rsidR="00BF5DD6" w:rsidRPr="009A0182" w:rsidRDefault="00BF5DD6"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BF5DD6" w:rsidRPr="009A0182" w14:paraId="029CFD8A" w14:textId="77777777" w:rsidTr="00A464CC">
        <w:tc>
          <w:tcPr>
            <w:tcW w:w="440" w:type="dxa"/>
            <w:vAlign w:val="center"/>
          </w:tcPr>
          <w:p w14:paraId="085E7F0A" w14:textId="664C1A19" w:rsidR="00BF5DD6" w:rsidRPr="009A0182" w:rsidRDefault="00BF5DD6" w:rsidP="00A464CC">
            <w:pPr>
              <w:spacing w:line="276" w:lineRule="auto"/>
              <w:jc w:val="center"/>
              <w:rPr>
                <w:rFonts w:ascii="Arial" w:eastAsia="Times New Roman" w:hAnsi="Arial" w:cs="Arial"/>
                <w:b/>
                <w:bCs/>
                <w:sz w:val="20"/>
                <w:szCs w:val="20"/>
                <w:lang w:val="en-US" w:eastAsia="zh-CN"/>
              </w:rPr>
            </w:pPr>
            <w:r w:rsidRPr="009A0182">
              <w:rPr>
                <w:rFonts w:ascii="Arial" w:eastAsia="Times New Roman" w:hAnsi="Arial" w:cs="Arial"/>
                <w:b/>
                <w:bCs/>
                <w:sz w:val="20"/>
                <w:szCs w:val="20"/>
                <w:lang w:val="en-US" w:eastAsia="zh-CN"/>
              </w:rPr>
              <w:t>2</w:t>
            </w:r>
          </w:p>
        </w:tc>
        <w:tc>
          <w:tcPr>
            <w:tcW w:w="0" w:type="auto"/>
            <w:vAlign w:val="center"/>
            <w:hideMark/>
          </w:tcPr>
          <w:p w14:paraId="4DFCC47D" w14:textId="6E13CAF8"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Sospecha de glaucoma</w:t>
            </w:r>
          </w:p>
        </w:tc>
        <w:tc>
          <w:tcPr>
            <w:tcW w:w="0" w:type="auto"/>
            <w:hideMark/>
          </w:tcPr>
          <w:p w14:paraId="750AD768"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Paciente que presenta uno o más parámetros alterados (presión intraocular, aspecto del nervio óptico, capa de fibras nerviosas, campo visual o ángulo camerular) o antecedentes relevantes, sin criterios definitivos para confirmar o descartar glaucoma.</w:t>
            </w:r>
          </w:p>
        </w:tc>
        <w:tc>
          <w:tcPr>
            <w:tcW w:w="1674" w:type="dxa"/>
            <w:hideMark/>
          </w:tcPr>
          <w:p w14:paraId="3BF6B57B" w14:textId="77777777" w:rsidR="00BF5DD6" w:rsidRPr="009A0182" w:rsidRDefault="00BF5DD6"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BF5DD6" w:rsidRPr="009A0182" w14:paraId="5409DC5A" w14:textId="77777777" w:rsidTr="00A464CC">
        <w:tc>
          <w:tcPr>
            <w:tcW w:w="440" w:type="dxa"/>
            <w:vAlign w:val="center"/>
          </w:tcPr>
          <w:p w14:paraId="40DB24D7" w14:textId="10920ED2"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lastRenderedPageBreak/>
              <w:t>3</w:t>
            </w:r>
          </w:p>
        </w:tc>
        <w:tc>
          <w:tcPr>
            <w:tcW w:w="0" w:type="auto"/>
            <w:vAlign w:val="center"/>
            <w:hideMark/>
          </w:tcPr>
          <w:p w14:paraId="5BB7400B" w14:textId="250EB8FA"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Presión Intraocular (PIO)</w:t>
            </w:r>
          </w:p>
        </w:tc>
        <w:tc>
          <w:tcPr>
            <w:tcW w:w="0" w:type="auto"/>
            <w:hideMark/>
          </w:tcPr>
          <w:p w14:paraId="2020C695"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Presión ejercida por los líquidos intraoculares sobre las estructuras internas del ojo, medida en milímetros de mercurio (mmHg).</w:t>
            </w:r>
          </w:p>
        </w:tc>
        <w:tc>
          <w:tcPr>
            <w:tcW w:w="1674" w:type="dxa"/>
            <w:hideMark/>
          </w:tcPr>
          <w:p w14:paraId="246F11C8" w14:textId="35675A35"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BF5DD6" w:rsidRPr="009A0182" w14:paraId="34FF6E53" w14:textId="77777777" w:rsidTr="00A464CC">
        <w:tc>
          <w:tcPr>
            <w:tcW w:w="440" w:type="dxa"/>
            <w:vAlign w:val="center"/>
          </w:tcPr>
          <w:p w14:paraId="303197DA" w14:textId="4E4F4AAE"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4</w:t>
            </w:r>
          </w:p>
        </w:tc>
        <w:tc>
          <w:tcPr>
            <w:tcW w:w="0" w:type="auto"/>
            <w:vAlign w:val="center"/>
            <w:hideMark/>
          </w:tcPr>
          <w:p w14:paraId="19575977" w14:textId="19501490"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Hipertensión ocular</w:t>
            </w:r>
          </w:p>
        </w:tc>
        <w:tc>
          <w:tcPr>
            <w:tcW w:w="0" w:type="auto"/>
            <w:hideMark/>
          </w:tcPr>
          <w:p w14:paraId="470FEBDE"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Elevación de la presión intraocular por encima de los valores considerados normales, sin evidencia clínica de daño del nervio óptico ni alteraciones del campo visual.</w:t>
            </w:r>
          </w:p>
        </w:tc>
        <w:tc>
          <w:tcPr>
            <w:tcW w:w="1674" w:type="dxa"/>
            <w:hideMark/>
          </w:tcPr>
          <w:p w14:paraId="48D881FC" w14:textId="6655760C"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BF5DD6" w:rsidRPr="009A0182" w14:paraId="49DD9C30" w14:textId="77777777" w:rsidTr="00A464CC">
        <w:tc>
          <w:tcPr>
            <w:tcW w:w="440" w:type="dxa"/>
            <w:vAlign w:val="center"/>
          </w:tcPr>
          <w:p w14:paraId="6172E6C3" w14:textId="52F0DE7C" w:rsidR="00BF5DD6" w:rsidRPr="009A0182" w:rsidRDefault="00BF5DD6" w:rsidP="00A464CC">
            <w:pPr>
              <w:spacing w:line="276" w:lineRule="auto"/>
              <w:jc w:val="center"/>
              <w:rPr>
                <w:rFonts w:ascii="Arial" w:eastAsia="Times New Roman" w:hAnsi="Arial" w:cs="Arial"/>
                <w:b/>
                <w:bCs/>
                <w:sz w:val="20"/>
                <w:szCs w:val="20"/>
                <w:lang w:val="en-US" w:eastAsia="zh-CN"/>
              </w:rPr>
            </w:pPr>
            <w:r w:rsidRPr="009A0182">
              <w:rPr>
                <w:rFonts w:ascii="Arial" w:eastAsia="Times New Roman" w:hAnsi="Arial" w:cs="Arial"/>
                <w:b/>
                <w:bCs/>
                <w:sz w:val="20"/>
                <w:szCs w:val="20"/>
                <w:lang w:val="en-US" w:eastAsia="zh-CN"/>
              </w:rPr>
              <w:t>5</w:t>
            </w:r>
          </w:p>
        </w:tc>
        <w:tc>
          <w:tcPr>
            <w:tcW w:w="0" w:type="auto"/>
            <w:vAlign w:val="center"/>
            <w:hideMark/>
          </w:tcPr>
          <w:p w14:paraId="46382E75" w14:textId="3ED73757"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Nervio óptico</w:t>
            </w:r>
          </w:p>
        </w:tc>
        <w:tc>
          <w:tcPr>
            <w:tcW w:w="0" w:type="auto"/>
            <w:hideMark/>
          </w:tcPr>
          <w:p w14:paraId="745B2334"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Estructura que transmite la información visual desde la retina hasta el cerebro, cuya alteración estructural es característica del glaucoma.</w:t>
            </w:r>
          </w:p>
        </w:tc>
        <w:tc>
          <w:tcPr>
            <w:tcW w:w="1674" w:type="dxa"/>
            <w:hideMark/>
          </w:tcPr>
          <w:p w14:paraId="676286E3" w14:textId="77777777" w:rsidR="00BF5DD6" w:rsidRPr="009A0182" w:rsidRDefault="00BF5DD6"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Organización Mundial de la Salud (OMS).</w:t>
            </w:r>
          </w:p>
        </w:tc>
      </w:tr>
      <w:tr w:rsidR="00BF5DD6" w:rsidRPr="009A0182" w14:paraId="0F99969C" w14:textId="77777777" w:rsidTr="00A464CC">
        <w:tc>
          <w:tcPr>
            <w:tcW w:w="440" w:type="dxa"/>
            <w:vAlign w:val="center"/>
          </w:tcPr>
          <w:p w14:paraId="7D9929B9" w14:textId="7D941CC0"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6</w:t>
            </w:r>
          </w:p>
        </w:tc>
        <w:tc>
          <w:tcPr>
            <w:tcW w:w="0" w:type="auto"/>
            <w:vAlign w:val="center"/>
            <w:hideMark/>
          </w:tcPr>
          <w:p w14:paraId="55BDC297" w14:textId="19416A56"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Excavación del nervio óptico</w:t>
            </w:r>
          </w:p>
        </w:tc>
        <w:tc>
          <w:tcPr>
            <w:tcW w:w="0" w:type="auto"/>
            <w:hideMark/>
          </w:tcPr>
          <w:p w14:paraId="6BDEFCEF"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Relación entre la copa y el disco del nervio óptico, utilizada para evaluar daño glaucomatoso. Su aumento se asocia con progresión de la enfermedad.</w:t>
            </w:r>
          </w:p>
        </w:tc>
        <w:tc>
          <w:tcPr>
            <w:tcW w:w="1674" w:type="dxa"/>
            <w:hideMark/>
          </w:tcPr>
          <w:p w14:paraId="649A541C" w14:textId="1BBA76BB"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BF5DD6" w:rsidRPr="009A0182" w14:paraId="36CE1E9F" w14:textId="77777777" w:rsidTr="00A464CC">
        <w:tc>
          <w:tcPr>
            <w:tcW w:w="440" w:type="dxa"/>
            <w:vAlign w:val="center"/>
          </w:tcPr>
          <w:p w14:paraId="452BC771" w14:textId="361FEC8F"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7</w:t>
            </w:r>
          </w:p>
        </w:tc>
        <w:tc>
          <w:tcPr>
            <w:tcW w:w="0" w:type="auto"/>
            <w:vAlign w:val="center"/>
            <w:hideMark/>
          </w:tcPr>
          <w:p w14:paraId="12338962" w14:textId="51D0752B"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Campo visual</w:t>
            </w:r>
          </w:p>
        </w:tc>
        <w:tc>
          <w:tcPr>
            <w:tcW w:w="0" w:type="auto"/>
            <w:hideMark/>
          </w:tcPr>
          <w:p w14:paraId="5E2A3C9B"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Examen funcional que evalúa la sensibilidad visual periférica y central, utilizado para detectar y seguir la progresión del daño glaucomatoso.</w:t>
            </w:r>
          </w:p>
        </w:tc>
        <w:tc>
          <w:tcPr>
            <w:tcW w:w="1674" w:type="dxa"/>
            <w:hideMark/>
          </w:tcPr>
          <w:p w14:paraId="1563F581" w14:textId="7E3B594B"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BF5DD6" w:rsidRPr="009A0182" w14:paraId="1D1ADC86" w14:textId="77777777" w:rsidTr="00A464CC">
        <w:tc>
          <w:tcPr>
            <w:tcW w:w="440" w:type="dxa"/>
            <w:vAlign w:val="center"/>
          </w:tcPr>
          <w:p w14:paraId="56015763" w14:textId="01C2F8B4"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8</w:t>
            </w:r>
          </w:p>
        </w:tc>
        <w:tc>
          <w:tcPr>
            <w:tcW w:w="0" w:type="auto"/>
            <w:vAlign w:val="center"/>
            <w:hideMark/>
          </w:tcPr>
          <w:p w14:paraId="1C797B8D" w14:textId="180D6C52"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Paquimetría corneal</w:t>
            </w:r>
          </w:p>
        </w:tc>
        <w:tc>
          <w:tcPr>
            <w:tcW w:w="0" w:type="auto"/>
            <w:hideMark/>
          </w:tcPr>
          <w:p w14:paraId="7B859621"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Medición del espesor corneal central, utilizada para interpretar adecuadamente la presión intraocular y el riesgo de glaucoma.</w:t>
            </w:r>
          </w:p>
        </w:tc>
        <w:tc>
          <w:tcPr>
            <w:tcW w:w="1674" w:type="dxa"/>
            <w:hideMark/>
          </w:tcPr>
          <w:p w14:paraId="4EDD5BE2" w14:textId="684CCA4F"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BF5DD6" w:rsidRPr="009A0182" w14:paraId="0CCDFABA" w14:textId="77777777" w:rsidTr="00A464CC">
        <w:tc>
          <w:tcPr>
            <w:tcW w:w="440" w:type="dxa"/>
            <w:vAlign w:val="center"/>
          </w:tcPr>
          <w:p w14:paraId="68709DB3" w14:textId="2FCBC132"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9</w:t>
            </w:r>
          </w:p>
        </w:tc>
        <w:tc>
          <w:tcPr>
            <w:tcW w:w="0" w:type="auto"/>
            <w:vAlign w:val="center"/>
            <w:hideMark/>
          </w:tcPr>
          <w:p w14:paraId="2A8AB7FA" w14:textId="09D26B72"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Tomografía de Coherencia Óptica (OCT)</w:t>
            </w:r>
          </w:p>
        </w:tc>
        <w:tc>
          <w:tcPr>
            <w:tcW w:w="0" w:type="auto"/>
            <w:hideMark/>
          </w:tcPr>
          <w:p w14:paraId="26C0CD9C"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Técnica de imagen no invasiva que permite evaluar la capa de fibras nerviosas y la cabeza del nervio óptico para detectar y seguir daño glaucomatoso.</w:t>
            </w:r>
          </w:p>
        </w:tc>
        <w:tc>
          <w:tcPr>
            <w:tcW w:w="1674" w:type="dxa"/>
            <w:hideMark/>
          </w:tcPr>
          <w:p w14:paraId="4D9CA0B4" w14:textId="58F5678E"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BF5DD6" w:rsidRPr="009A0182" w14:paraId="1508BFC5" w14:textId="77777777" w:rsidTr="00A464CC">
        <w:tc>
          <w:tcPr>
            <w:tcW w:w="440" w:type="dxa"/>
            <w:vAlign w:val="center"/>
          </w:tcPr>
          <w:p w14:paraId="00E7B1A9" w14:textId="04C84762" w:rsidR="00BF5DD6" w:rsidRPr="009A0182" w:rsidRDefault="009A0182"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10</w:t>
            </w:r>
          </w:p>
        </w:tc>
        <w:tc>
          <w:tcPr>
            <w:tcW w:w="0" w:type="auto"/>
            <w:vAlign w:val="center"/>
            <w:hideMark/>
          </w:tcPr>
          <w:p w14:paraId="5518632C" w14:textId="33EC077A"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Gonioscopía</w:t>
            </w:r>
          </w:p>
        </w:tc>
        <w:tc>
          <w:tcPr>
            <w:tcW w:w="0" w:type="auto"/>
            <w:hideMark/>
          </w:tcPr>
          <w:p w14:paraId="23A17244"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Examen clínico que permite evaluar el ángulo camerular y clasificar el tipo de glaucoma (ángulo abierto o cierre angular).</w:t>
            </w:r>
          </w:p>
        </w:tc>
        <w:tc>
          <w:tcPr>
            <w:tcW w:w="1674" w:type="dxa"/>
            <w:hideMark/>
          </w:tcPr>
          <w:p w14:paraId="03A96808" w14:textId="632010F8"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BF5DD6" w:rsidRPr="009A0182" w14:paraId="7997484F" w14:textId="77777777" w:rsidTr="00A464CC">
        <w:tc>
          <w:tcPr>
            <w:tcW w:w="440" w:type="dxa"/>
            <w:vAlign w:val="center"/>
          </w:tcPr>
          <w:p w14:paraId="352E7299" w14:textId="1C49CC66" w:rsidR="00BF5DD6" w:rsidRPr="009A0182" w:rsidRDefault="009A0182"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11</w:t>
            </w:r>
          </w:p>
        </w:tc>
        <w:tc>
          <w:tcPr>
            <w:tcW w:w="0" w:type="auto"/>
            <w:vAlign w:val="center"/>
            <w:hideMark/>
          </w:tcPr>
          <w:p w14:paraId="0BB19946" w14:textId="44A97D08"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Glaucoma primario de ángulo abierto (GPAA)</w:t>
            </w:r>
          </w:p>
        </w:tc>
        <w:tc>
          <w:tcPr>
            <w:tcW w:w="0" w:type="auto"/>
            <w:hideMark/>
          </w:tcPr>
          <w:p w14:paraId="3751C874"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Tipo de glaucoma caracterizado por ángulo camerular abierto y daño progresivo del nervio óptico, generalmente asociado a elevación de la PIO.</w:t>
            </w:r>
          </w:p>
        </w:tc>
        <w:tc>
          <w:tcPr>
            <w:tcW w:w="1674" w:type="dxa"/>
            <w:hideMark/>
          </w:tcPr>
          <w:p w14:paraId="5783E28E" w14:textId="6A1E98DC" w:rsidR="00BF5DD6" w:rsidRPr="009A0182" w:rsidRDefault="009A0182"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BF5DD6" w:rsidRPr="009A0182" w14:paraId="6A7234EF" w14:textId="77777777" w:rsidTr="00A464CC">
        <w:tc>
          <w:tcPr>
            <w:tcW w:w="440" w:type="dxa"/>
            <w:vAlign w:val="center"/>
          </w:tcPr>
          <w:p w14:paraId="259EF323" w14:textId="05784A85" w:rsidR="00BF5DD6" w:rsidRPr="009A0182" w:rsidRDefault="009A0182"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12</w:t>
            </w:r>
          </w:p>
        </w:tc>
        <w:tc>
          <w:tcPr>
            <w:tcW w:w="0" w:type="auto"/>
            <w:hideMark/>
          </w:tcPr>
          <w:p w14:paraId="3BBE0007" w14:textId="0920B513" w:rsidR="00BF5DD6" w:rsidRPr="009A0182" w:rsidRDefault="00BF5DD6" w:rsidP="00A464CC">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 xml:space="preserve">Glaucoma primario </w:t>
            </w:r>
            <w:r w:rsidR="009A0182" w:rsidRPr="009A0182">
              <w:rPr>
                <w:rFonts w:ascii="Arial" w:eastAsia="Times New Roman" w:hAnsi="Arial" w:cs="Arial"/>
                <w:b/>
                <w:bCs/>
                <w:sz w:val="20"/>
                <w:szCs w:val="20"/>
                <w:lang w:val="es-CO" w:eastAsia="zh-CN"/>
              </w:rPr>
              <w:t>de ángulo cerrado</w:t>
            </w:r>
          </w:p>
        </w:tc>
        <w:tc>
          <w:tcPr>
            <w:tcW w:w="0" w:type="auto"/>
            <w:hideMark/>
          </w:tcPr>
          <w:p w14:paraId="0313D3CE" w14:textId="77777777" w:rsidR="00BF5DD6" w:rsidRPr="009A0182" w:rsidRDefault="00BF5DD6" w:rsidP="00A464CC">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Glaucoma causado por obstrucción del ángulo camerular, con dificultad para el drenaje del humor acuoso y elevación de la PIO.</w:t>
            </w:r>
          </w:p>
        </w:tc>
        <w:tc>
          <w:tcPr>
            <w:tcW w:w="1674" w:type="dxa"/>
            <w:hideMark/>
          </w:tcPr>
          <w:p w14:paraId="2AB12F59" w14:textId="11AC4FED" w:rsidR="00BF5DD6" w:rsidRPr="009A0182" w:rsidRDefault="00BF5DD6" w:rsidP="00A464CC">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bl>
    <w:p w14:paraId="0046109D" w14:textId="72DE34FA" w:rsidR="00682DBE" w:rsidRDefault="00682DBE" w:rsidP="00E52CB2">
      <w:pPr>
        <w:rPr>
          <w:rFonts w:ascii="Arial" w:hAnsi="Arial" w:cs="Arial"/>
          <w:sz w:val="24"/>
          <w:szCs w:val="24"/>
          <w:lang w:val="es-CO"/>
        </w:rPr>
      </w:pPr>
    </w:p>
    <w:p w14:paraId="0F665965" w14:textId="3AD49369" w:rsidR="00F43480" w:rsidRDefault="00F43480" w:rsidP="00E52CB2">
      <w:pPr>
        <w:rPr>
          <w:rFonts w:ascii="Arial" w:hAnsi="Arial" w:cs="Arial"/>
          <w:sz w:val="24"/>
          <w:szCs w:val="24"/>
          <w:lang w:val="es-CO"/>
        </w:rPr>
      </w:pPr>
    </w:p>
    <w:p w14:paraId="0827F498" w14:textId="7FDF2FB3" w:rsidR="00F43480" w:rsidRDefault="00F43480" w:rsidP="00E52CB2">
      <w:pPr>
        <w:rPr>
          <w:rFonts w:ascii="Arial" w:hAnsi="Arial" w:cs="Arial"/>
          <w:sz w:val="24"/>
          <w:szCs w:val="24"/>
          <w:lang w:val="es-CO"/>
        </w:rPr>
      </w:pPr>
    </w:p>
    <w:p w14:paraId="3035E6FB" w14:textId="57A27E91" w:rsidR="00F43480" w:rsidRDefault="00F43480" w:rsidP="00E52CB2">
      <w:pPr>
        <w:rPr>
          <w:rFonts w:ascii="Arial" w:hAnsi="Arial" w:cs="Arial"/>
          <w:sz w:val="24"/>
          <w:szCs w:val="24"/>
          <w:lang w:val="es-CO"/>
        </w:rPr>
      </w:pPr>
      <w:r>
        <w:rPr>
          <w:rFonts w:ascii="Arial" w:hAnsi="Arial" w:cs="Arial"/>
          <w:noProof/>
          <w:sz w:val="24"/>
          <w:szCs w:val="24"/>
          <w:lang w:val="es-CO"/>
        </w:rPr>
        <w:lastRenderedPageBreak/>
        <w:drawing>
          <wp:anchor distT="0" distB="0" distL="114300" distR="114300" simplePos="0" relativeHeight="251664384" behindDoc="0" locked="0" layoutInCell="1" allowOverlap="1" wp14:anchorId="0FDE5ECA" wp14:editId="7CA62FE4">
            <wp:simplePos x="0" y="0"/>
            <wp:positionH relativeFrom="column">
              <wp:posOffset>-1080135</wp:posOffset>
            </wp:positionH>
            <wp:positionV relativeFrom="paragraph">
              <wp:posOffset>0</wp:posOffset>
            </wp:positionV>
            <wp:extent cx="7924800" cy="52832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7924800" cy="5283200"/>
                    </a:xfrm>
                    <a:prstGeom prst="rect">
                      <a:avLst/>
                    </a:prstGeom>
                  </pic:spPr>
                </pic:pic>
              </a:graphicData>
            </a:graphic>
            <wp14:sizeRelH relativeFrom="margin">
              <wp14:pctWidth>0</wp14:pctWidth>
            </wp14:sizeRelH>
            <wp14:sizeRelV relativeFrom="margin">
              <wp14:pctHeight>0</wp14:pctHeight>
            </wp14:sizeRelV>
          </wp:anchor>
        </w:drawing>
      </w:r>
    </w:p>
    <w:p w14:paraId="7E7738AC" w14:textId="4D804019" w:rsidR="00BD3CA9" w:rsidRPr="00F43480" w:rsidRDefault="00F43480" w:rsidP="00F43480">
      <w:pPr>
        <w:spacing w:line="276" w:lineRule="auto"/>
        <w:rPr>
          <w:rFonts w:ascii="Arial" w:hAnsi="Arial" w:cs="Arial"/>
          <w:b/>
          <w:bCs/>
          <w:sz w:val="24"/>
          <w:szCs w:val="24"/>
          <w:u w:val="single"/>
          <w:lang w:val="es-CO"/>
        </w:rPr>
      </w:pPr>
      <w:r w:rsidRPr="00F43480">
        <w:rPr>
          <w:rFonts w:ascii="Arial" w:hAnsi="Arial" w:cs="Arial"/>
        </w:rPr>
        <w:t>El glaucoma se clasifica en glaucoma primario de ángulo abierto, glaucoma primario por cierre angular, glaucomas secundarios y glaucomas congénitos.</w:t>
      </w:r>
      <w:r w:rsidRPr="00F43480">
        <w:rPr>
          <w:rFonts w:ascii="Arial" w:hAnsi="Arial" w:cs="Arial"/>
          <w:b/>
          <w:bCs/>
        </w:rPr>
        <w:t xml:space="preserve"> </w:t>
      </w:r>
      <w:r w:rsidRPr="00F43480">
        <w:rPr>
          <w:rFonts w:ascii="Arial" w:hAnsi="Arial" w:cs="Arial"/>
          <w:b/>
          <w:bCs/>
          <w:u w:val="single"/>
        </w:rPr>
        <w:t>Sin embargo, este protocolo prioriza el abordaje de la sospecha de glaucoma y del glaucoma primario de ángulo abierto, considerando que este último constituye la forma más prevalente y la principal causa de pérdida visual irreversible asociada a glaucoma, por lo que su detección y manejo oportunos generan mayor impacto en salud.</w:t>
      </w:r>
    </w:p>
    <w:p w14:paraId="1650F74B" w14:textId="65343CD3" w:rsidR="00F43480" w:rsidRDefault="00F43480" w:rsidP="00E52CB2">
      <w:pPr>
        <w:rPr>
          <w:rFonts w:ascii="Arial" w:hAnsi="Arial" w:cs="Arial"/>
          <w:sz w:val="24"/>
          <w:szCs w:val="24"/>
          <w:lang w:val="es-CO"/>
        </w:rPr>
      </w:pPr>
    </w:p>
    <w:p w14:paraId="200E59B3" w14:textId="77777777" w:rsidR="00F43480" w:rsidRDefault="00F43480" w:rsidP="00E52CB2">
      <w:pPr>
        <w:rPr>
          <w:rFonts w:ascii="Arial" w:hAnsi="Arial" w:cs="Arial"/>
          <w:sz w:val="24"/>
          <w:szCs w:val="24"/>
          <w:lang w:val="es-CO"/>
        </w:rPr>
      </w:pPr>
    </w:p>
    <w:p w14:paraId="50C24133" w14:textId="578574D9" w:rsidR="00BD3CA9" w:rsidRPr="00BD3CA9" w:rsidRDefault="00BD3CA9" w:rsidP="00E52CB2">
      <w:pPr>
        <w:rPr>
          <w:rFonts w:ascii="Arial" w:hAnsi="Arial" w:cs="Arial"/>
          <w:b/>
          <w:bCs/>
          <w:sz w:val="24"/>
          <w:szCs w:val="24"/>
          <w:u w:val="single"/>
          <w:lang w:val="es-CO"/>
        </w:rPr>
      </w:pPr>
      <w:r>
        <w:rPr>
          <w:rFonts w:ascii="Arial" w:hAnsi="Arial" w:cs="Arial"/>
          <w:b/>
          <w:bCs/>
          <w:sz w:val="24"/>
          <w:szCs w:val="24"/>
          <w:u w:val="single"/>
          <w:lang w:val="es-CO"/>
        </w:rPr>
        <w:lastRenderedPageBreak/>
        <w:t xml:space="preserve">5.1 </w:t>
      </w:r>
      <w:r w:rsidRPr="00BD3CA9">
        <w:rPr>
          <w:rFonts w:ascii="Arial" w:hAnsi="Arial" w:cs="Arial"/>
          <w:b/>
          <w:bCs/>
          <w:sz w:val="24"/>
          <w:szCs w:val="24"/>
          <w:u w:val="single"/>
          <w:lang w:val="es-CO"/>
        </w:rPr>
        <w:t>FACTORES DE RIESGO EN EL DESARROLLO DE GLAUCOMA</w:t>
      </w:r>
    </w:p>
    <w:p w14:paraId="660AB1AB" w14:textId="5A283F9F" w:rsidR="00BD3CA9" w:rsidRDefault="00BD3CA9" w:rsidP="00BD3CA9">
      <w:pPr>
        <w:pStyle w:val="Sinespaciado"/>
        <w:rPr>
          <w:rFonts w:ascii="Arial" w:hAnsi="Arial" w:cs="Arial"/>
          <w:sz w:val="24"/>
          <w:szCs w:val="24"/>
        </w:rPr>
      </w:pPr>
      <w:r w:rsidRPr="00BD3CA9">
        <w:rPr>
          <w:rFonts w:ascii="Arial" w:hAnsi="Arial" w:cs="Arial"/>
          <w:sz w:val="24"/>
          <w:szCs w:val="24"/>
        </w:rPr>
        <w:t>Los factores de riesgo para desarrollar glaucoma se pueden categorizar en hallazgos clínicos, antecedentes personales y condiciones sistémicas:</w:t>
      </w:r>
    </w:p>
    <w:p w14:paraId="551DAF78" w14:textId="77777777" w:rsidR="00BD3CA9" w:rsidRPr="00BD3CA9" w:rsidRDefault="00BD3CA9" w:rsidP="00BD3CA9">
      <w:pPr>
        <w:pStyle w:val="Sinespaciado"/>
        <w:rPr>
          <w:rFonts w:ascii="Arial" w:hAnsi="Arial" w:cs="Arial"/>
          <w:sz w:val="24"/>
          <w:szCs w:val="24"/>
        </w:rPr>
      </w:pPr>
    </w:p>
    <w:p w14:paraId="434EDA5E" w14:textId="5315E00D" w:rsidR="00BD3CA9" w:rsidRDefault="00BD3CA9" w:rsidP="00390AC6">
      <w:pPr>
        <w:pStyle w:val="Sinespaciado"/>
        <w:numPr>
          <w:ilvl w:val="0"/>
          <w:numId w:val="6"/>
        </w:numPr>
        <w:rPr>
          <w:rFonts w:ascii="Arial" w:hAnsi="Arial" w:cs="Arial"/>
          <w:sz w:val="24"/>
          <w:szCs w:val="24"/>
        </w:rPr>
      </w:pPr>
      <w:r w:rsidRPr="00BD3CA9">
        <w:rPr>
          <w:rFonts w:ascii="Arial" w:hAnsi="Arial" w:cs="Arial"/>
          <w:sz w:val="24"/>
          <w:szCs w:val="24"/>
          <w:u w:val="single"/>
        </w:rPr>
        <w:t>Factores principales</w:t>
      </w:r>
      <w:r w:rsidRPr="00BD3CA9">
        <w:rPr>
          <w:rFonts w:ascii="Arial" w:hAnsi="Arial" w:cs="Arial"/>
          <w:sz w:val="24"/>
          <w:szCs w:val="24"/>
        </w:rPr>
        <w:t>: Las fuentes identifican cinco factores de riesgo críticos: la elevación de la presión intraocular (PIO), la edad avanzada (especialmente en mayores de 40 años), la historia familiar de glaucoma, la descendencia africana, hispana o latina, y un grosor corneal central delgado detectado por Paquimetría.</w:t>
      </w:r>
    </w:p>
    <w:p w14:paraId="5C0532BD" w14:textId="77777777" w:rsidR="00BD3CA9" w:rsidRPr="00BD3CA9" w:rsidRDefault="00BD3CA9" w:rsidP="00BD3CA9">
      <w:pPr>
        <w:pStyle w:val="Sinespaciado"/>
        <w:rPr>
          <w:rFonts w:ascii="Arial" w:hAnsi="Arial" w:cs="Arial"/>
          <w:sz w:val="24"/>
          <w:szCs w:val="24"/>
        </w:rPr>
      </w:pPr>
    </w:p>
    <w:p w14:paraId="431C1B8B" w14:textId="4E787239" w:rsidR="00BD3CA9" w:rsidRDefault="00BD3CA9" w:rsidP="00390AC6">
      <w:pPr>
        <w:pStyle w:val="Sinespaciado"/>
        <w:numPr>
          <w:ilvl w:val="0"/>
          <w:numId w:val="6"/>
        </w:numPr>
        <w:rPr>
          <w:rFonts w:ascii="Arial" w:hAnsi="Arial" w:cs="Arial"/>
          <w:sz w:val="24"/>
          <w:szCs w:val="24"/>
        </w:rPr>
      </w:pPr>
      <w:r w:rsidRPr="00BD3CA9">
        <w:rPr>
          <w:rFonts w:ascii="Arial" w:hAnsi="Arial" w:cs="Arial"/>
          <w:sz w:val="24"/>
          <w:szCs w:val="24"/>
          <w:u w:val="single"/>
        </w:rPr>
        <w:t>Condiciones médicas y comorbilidades</w:t>
      </w:r>
      <w:r w:rsidRPr="00BD3CA9">
        <w:rPr>
          <w:rFonts w:ascii="Arial" w:hAnsi="Arial" w:cs="Arial"/>
          <w:sz w:val="24"/>
          <w:szCs w:val="24"/>
        </w:rPr>
        <w:t>: La presencia de enfermedades crónicas como la diabetes mellitus, la hipertensión arterial, enfermedades cardiovasculares y la enfermedad renal crónica influyen en el riesgo de progresión y desarrollo de la enfermedad. También se incluyen las presiones de perfusión diastólica bajas y la miopía como factores posibles.</w:t>
      </w:r>
    </w:p>
    <w:p w14:paraId="7DC2CE51" w14:textId="77777777" w:rsidR="00BD3CA9" w:rsidRPr="00BD3CA9" w:rsidRDefault="00BD3CA9" w:rsidP="00BD3CA9">
      <w:pPr>
        <w:pStyle w:val="Sinespaciado"/>
        <w:rPr>
          <w:rFonts w:ascii="Arial" w:hAnsi="Arial" w:cs="Arial"/>
          <w:sz w:val="24"/>
          <w:szCs w:val="24"/>
        </w:rPr>
      </w:pPr>
    </w:p>
    <w:p w14:paraId="285983B5" w14:textId="357202EC" w:rsidR="00BD3CA9" w:rsidRDefault="00BD3CA9" w:rsidP="00390AC6">
      <w:pPr>
        <w:pStyle w:val="Sinespaciado"/>
        <w:numPr>
          <w:ilvl w:val="0"/>
          <w:numId w:val="6"/>
        </w:numPr>
        <w:rPr>
          <w:rFonts w:ascii="Arial" w:hAnsi="Arial" w:cs="Arial"/>
          <w:sz w:val="24"/>
          <w:szCs w:val="24"/>
        </w:rPr>
      </w:pPr>
      <w:r w:rsidRPr="00BD3CA9">
        <w:rPr>
          <w:rFonts w:ascii="Arial" w:hAnsi="Arial" w:cs="Arial"/>
          <w:sz w:val="24"/>
          <w:szCs w:val="24"/>
          <w:u w:val="single"/>
        </w:rPr>
        <w:t>Hallazgos oculares específicos</w:t>
      </w:r>
      <w:r w:rsidRPr="00BD3CA9">
        <w:rPr>
          <w:rFonts w:ascii="Arial" w:hAnsi="Arial" w:cs="Arial"/>
          <w:sz w:val="24"/>
          <w:szCs w:val="24"/>
        </w:rPr>
        <w:t>: Otros factores de riesgo locales comprenden el síndrome de pseudoexfoliación, la dispersión pigmentaria, la recesión angular traumática y una relación excavación-disco del nervio óptico aumentada.</w:t>
      </w:r>
    </w:p>
    <w:p w14:paraId="71E6D732" w14:textId="77777777" w:rsidR="00BD3CA9" w:rsidRPr="00BD3CA9" w:rsidRDefault="00BD3CA9" w:rsidP="00BD3CA9">
      <w:pPr>
        <w:pStyle w:val="Sinespaciado"/>
        <w:rPr>
          <w:rFonts w:ascii="Arial" w:hAnsi="Arial" w:cs="Arial"/>
          <w:sz w:val="24"/>
          <w:szCs w:val="24"/>
        </w:rPr>
      </w:pPr>
    </w:p>
    <w:p w14:paraId="0D1E72ED" w14:textId="3FDA9399" w:rsidR="00BD3CA9" w:rsidRDefault="00BD3CA9" w:rsidP="00390AC6">
      <w:pPr>
        <w:pStyle w:val="Sinespaciado"/>
        <w:numPr>
          <w:ilvl w:val="0"/>
          <w:numId w:val="6"/>
        </w:numPr>
        <w:rPr>
          <w:rFonts w:ascii="Arial" w:hAnsi="Arial" w:cs="Arial"/>
          <w:sz w:val="24"/>
          <w:szCs w:val="24"/>
        </w:rPr>
      </w:pPr>
      <w:r w:rsidRPr="00BD3CA9">
        <w:rPr>
          <w:rFonts w:ascii="Arial" w:hAnsi="Arial" w:cs="Arial"/>
          <w:sz w:val="24"/>
          <w:szCs w:val="24"/>
          <w:u w:val="single"/>
        </w:rPr>
        <w:t>Otros factores vasculares y neurológicos</w:t>
      </w:r>
      <w:r w:rsidRPr="00BD3CA9">
        <w:rPr>
          <w:rFonts w:ascii="Arial" w:hAnsi="Arial" w:cs="Arial"/>
          <w:sz w:val="24"/>
          <w:szCs w:val="24"/>
        </w:rPr>
        <w:t>: Se han reportado asociaciones con la migraña, el vasoespasmo periférico y el incremento en la desviación media (DM) en las pruebas de campimetría.</w:t>
      </w:r>
    </w:p>
    <w:p w14:paraId="3F5D26EE" w14:textId="77777777" w:rsidR="00BD3CA9" w:rsidRPr="00BD3CA9" w:rsidRDefault="00BD3CA9" w:rsidP="00BD3CA9">
      <w:pPr>
        <w:pStyle w:val="Sinespaciado"/>
        <w:rPr>
          <w:rFonts w:ascii="Arial" w:hAnsi="Arial" w:cs="Arial"/>
          <w:sz w:val="24"/>
          <w:szCs w:val="24"/>
        </w:rPr>
      </w:pPr>
    </w:p>
    <w:p w14:paraId="642B9C1A" w14:textId="28AA59B9" w:rsidR="00BD3CA9" w:rsidRDefault="00BD3CA9" w:rsidP="00BD3CA9">
      <w:pPr>
        <w:pStyle w:val="Sinespaciado"/>
        <w:rPr>
          <w:rFonts w:ascii="Arial" w:hAnsi="Arial" w:cs="Arial"/>
          <w:sz w:val="24"/>
          <w:szCs w:val="24"/>
        </w:rPr>
      </w:pPr>
      <w:r w:rsidRPr="00BD3CA9">
        <w:rPr>
          <w:rFonts w:ascii="Arial" w:hAnsi="Arial" w:cs="Arial"/>
          <w:sz w:val="24"/>
          <w:szCs w:val="24"/>
        </w:rPr>
        <w:t>La identificación de estos factores es fundamental, ya que en muchos casos el glaucoma es asintomático en sus fases iniciales y el diagnóstico oportuno permite prevenir una pérdida visual irreversible</w:t>
      </w:r>
      <w:r>
        <w:rPr>
          <w:rFonts w:ascii="Arial" w:hAnsi="Arial" w:cs="Arial"/>
          <w:sz w:val="24"/>
          <w:szCs w:val="24"/>
        </w:rPr>
        <w:t>.</w:t>
      </w:r>
    </w:p>
    <w:p w14:paraId="2A40D5C4" w14:textId="14558597" w:rsidR="00BD3CA9" w:rsidRDefault="00BD3CA9" w:rsidP="00BD3CA9">
      <w:pPr>
        <w:pStyle w:val="Sinespaciado"/>
        <w:rPr>
          <w:rFonts w:ascii="Arial" w:hAnsi="Arial" w:cs="Arial"/>
          <w:sz w:val="24"/>
          <w:szCs w:val="24"/>
        </w:rPr>
      </w:pPr>
    </w:p>
    <w:p w14:paraId="2FF2ACFA" w14:textId="17FC0BE4" w:rsidR="00BD3CA9" w:rsidRPr="00BD3CA9" w:rsidRDefault="00BD3CA9" w:rsidP="00BD3CA9">
      <w:pPr>
        <w:pStyle w:val="Sinespaciado"/>
        <w:rPr>
          <w:rFonts w:ascii="Arial" w:hAnsi="Arial" w:cs="Arial"/>
          <w:b/>
          <w:bCs/>
          <w:sz w:val="24"/>
          <w:szCs w:val="24"/>
          <w:u w:val="single"/>
        </w:rPr>
      </w:pPr>
      <w:r w:rsidRPr="00BD3CA9">
        <w:rPr>
          <w:rFonts w:ascii="Arial" w:hAnsi="Arial" w:cs="Arial"/>
          <w:b/>
          <w:bCs/>
          <w:sz w:val="24"/>
          <w:szCs w:val="24"/>
          <w:u w:val="single"/>
        </w:rPr>
        <w:t>5.2 DETECCIÓN DE GLAUCOMA</w:t>
      </w:r>
    </w:p>
    <w:p w14:paraId="0B8D2569" w14:textId="28C6FBD8" w:rsidR="00BD3CA9" w:rsidRPr="00BD3CA9" w:rsidRDefault="00BD3CA9" w:rsidP="00BD3CA9">
      <w:pPr>
        <w:spacing w:after="0" w:line="240" w:lineRule="auto"/>
        <w:rPr>
          <w:rFonts w:ascii="Arial" w:hAnsi="Arial" w:cs="Arial"/>
          <w:sz w:val="24"/>
          <w:szCs w:val="24"/>
          <w:shd w:val="clear" w:color="auto" w:fill="FFFFFF"/>
          <w:lang w:val="es-CO"/>
        </w:rPr>
      </w:pPr>
    </w:p>
    <w:p w14:paraId="7376D4F2" w14:textId="77777777" w:rsidR="00BD3CA9" w:rsidRPr="006465F4" w:rsidRDefault="00BD3CA9" w:rsidP="00BD3CA9">
      <w:pPr>
        <w:spacing w:after="0" w:line="276" w:lineRule="auto"/>
        <w:rPr>
          <w:rFonts w:ascii="Arial" w:hAnsi="Arial" w:cs="Arial"/>
          <w:sz w:val="24"/>
          <w:szCs w:val="24"/>
        </w:rPr>
      </w:pPr>
      <w:r w:rsidRPr="006465F4">
        <w:rPr>
          <w:rFonts w:ascii="Arial" w:hAnsi="Arial" w:cs="Arial"/>
          <w:sz w:val="24"/>
          <w:szCs w:val="24"/>
        </w:rPr>
        <w:t xml:space="preserve">Los pacientes con hallazgos compatibles con sospecha de glaucoma primario de ángulo abierto o sospecha de glaucoma por cierre angular pueden identificarse durante una evaluación oftalmológica integral del adulto, incluso en ausencia de síntomas. </w:t>
      </w:r>
    </w:p>
    <w:p w14:paraId="5B5B1328" w14:textId="77777777" w:rsidR="00BD3CA9" w:rsidRPr="006465F4" w:rsidRDefault="00BD3CA9" w:rsidP="00BD3CA9">
      <w:pPr>
        <w:spacing w:after="0" w:line="276" w:lineRule="auto"/>
        <w:rPr>
          <w:rFonts w:ascii="Arial" w:hAnsi="Arial" w:cs="Arial"/>
          <w:sz w:val="24"/>
          <w:szCs w:val="24"/>
        </w:rPr>
      </w:pPr>
    </w:p>
    <w:p w14:paraId="350B192E" w14:textId="77777777" w:rsidR="00DF4B91" w:rsidRDefault="00BD3CA9" w:rsidP="00BD3CA9">
      <w:pPr>
        <w:spacing w:after="0" w:line="276" w:lineRule="auto"/>
        <w:rPr>
          <w:rFonts w:ascii="Arial" w:hAnsi="Arial" w:cs="Arial"/>
          <w:sz w:val="24"/>
          <w:szCs w:val="24"/>
        </w:rPr>
      </w:pPr>
      <w:r w:rsidRPr="006465F4">
        <w:rPr>
          <w:rFonts w:ascii="Arial" w:hAnsi="Arial" w:cs="Arial"/>
          <w:sz w:val="24"/>
          <w:szCs w:val="24"/>
        </w:rPr>
        <w:t xml:space="preserve">La sospecha de glaucoma de ángulo abierto suele establecerse a partir de alteraciones en la presión intraocular, cabeza del nervio óptico, capa de fibras nerviosas o campos visuales; mientras que la sospecha de cierre angular se </w:t>
      </w:r>
      <w:r w:rsidRPr="006465F4">
        <w:rPr>
          <w:rFonts w:ascii="Arial" w:hAnsi="Arial" w:cs="Arial"/>
          <w:sz w:val="24"/>
          <w:szCs w:val="24"/>
        </w:rPr>
        <w:lastRenderedPageBreak/>
        <w:t xml:space="preserve">relaciona principalmente con hallazgos anatómicos del segmento anterior y del ángulo camerular, evaluados mediante gonioscopía. </w:t>
      </w:r>
    </w:p>
    <w:p w14:paraId="5A3561DB" w14:textId="77777777" w:rsidR="00DF4B91" w:rsidRDefault="00DF4B91" w:rsidP="00BD3CA9">
      <w:pPr>
        <w:spacing w:after="0" w:line="276" w:lineRule="auto"/>
        <w:rPr>
          <w:rFonts w:ascii="Arial" w:hAnsi="Arial" w:cs="Arial"/>
          <w:sz w:val="24"/>
          <w:szCs w:val="24"/>
        </w:rPr>
      </w:pPr>
    </w:p>
    <w:p w14:paraId="6EC116C2" w14:textId="110CCB0A" w:rsidR="00BD3CA9" w:rsidRPr="00DF4B91" w:rsidRDefault="006465F4" w:rsidP="00BD3CA9">
      <w:pPr>
        <w:spacing w:after="0" w:line="276" w:lineRule="auto"/>
        <w:rPr>
          <w:rFonts w:ascii="Arial" w:hAnsi="Arial" w:cs="Arial"/>
          <w:sz w:val="32"/>
          <w:szCs w:val="32"/>
          <w:lang w:val="es-CO"/>
        </w:rPr>
      </w:pPr>
      <w:r w:rsidRPr="00DF4B91">
        <w:rPr>
          <w:rFonts w:ascii="Arial" w:hAnsi="Arial" w:cs="Arial"/>
          <w:noProof/>
          <w:sz w:val="28"/>
          <w:szCs w:val="28"/>
          <w:highlight w:val="cyan"/>
        </w:rPr>
        <w:drawing>
          <wp:anchor distT="0" distB="0" distL="0" distR="0" simplePos="0" relativeHeight="251659264" behindDoc="1" locked="0" layoutInCell="1" allowOverlap="1" wp14:anchorId="306FF573" wp14:editId="102B31FB">
            <wp:simplePos x="0" y="0"/>
            <wp:positionH relativeFrom="page">
              <wp:posOffset>1127760</wp:posOffset>
            </wp:positionH>
            <wp:positionV relativeFrom="paragraph">
              <wp:posOffset>759460</wp:posOffset>
            </wp:positionV>
            <wp:extent cx="5791200" cy="1767840"/>
            <wp:effectExtent l="0" t="0" r="0" b="381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91200" cy="1767840"/>
                    </a:xfrm>
                    <a:prstGeom prst="rect">
                      <a:avLst/>
                    </a:prstGeom>
                  </pic:spPr>
                </pic:pic>
              </a:graphicData>
            </a:graphic>
            <wp14:sizeRelH relativeFrom="margin">
              <wp14:pctWidth>0</wp14:pctWidth>
            </wp14:sizeRelH>
            <wp14:sizeRelV relativeFrom="margin">
              <wp14:pctHeight>0</wp14:pctHeight>
            </wp14:sizeRelV>
          </wp:anchor>
        </w:drawing>
      </w:r>
      <w:r w:rsidR="00DF4B91" w:rsidRPr="00DF4B91">
        <w:rPr>
          <w:rFonts w:ascii="Arial" w:hAnsi="Arial" w:cs="Arial"/>
          <w:sz w:val="24"/>
          <w:szCs w:val="24"/>
        </w:rPr>
        <w:t>La periodicidad de la valoración oftalmológica en pacientes sin diagnóstico confirmado de glaucoma debe individualizarse según la edad y la presencia de factores de riesgo</w:t>
      </w:r>
      <w:r w:rsidR="00DF4B91">
        <w:rPr>
          <w:rFonts w:ascii="Arial" w:hAnsi="Arial" w:cs="Arial"/>
          <w:sz w:val="24"/>
          <w:szCs w:val="24"/>
        </w:rPr>
        <w:t xml:space="preserve">, como se muestra a continuación: </w:t>
      </w:r>
    </w:p>
    <w:p w14:paraId="00930BF6" w14:textId="2FEA7644" w:rsidR="00BD3CA9" w:rsidRPr="00BD3CA9" w:rsidRDefault="00BD3CA9" w:rsidP="00BD3CA9">
      <w:pPr>
        <w:spacing w:after="0" w:line="240" w:lineRule="auto"/>
        <w:rPr>
          <w:rFonts w:ascii="Arial" w:hAnsi="Arial" w:cs="Arial"/>
          <w:sz w:val="24"/>
          <w:szCs w:val="24"/>
          <w:lang w:val="es-CO"/>
        </w:rPr>
      </w:pPr>
    </w:p>
    <w:p w14:paraId="0B5F9874" w14:textId="77777777" w:rsidR="00DF4B91" w:rsidRPr="00BD3CA9" w:rsidRDefault="00DF4B91" w:rsidP="00BD3CA9">
      <w:pPr>
        <w:spacing w:after="0" w:line="240" w:lineRule="auto"/>
        <w:rPr>
          <w:rFonts w:ascii="Arial" w:hAnsi="Arial" w:cs="Arial"/>
          <w:sz w:val="24"/>
          <w:szCs w:val="24"/>
          <w:lang w:val="es-CO"/>
        </w:rPr>
      </w:pPr>
    </w:p>
    <w:p w14:paraId="111B0C62" w14:textId="41A21046" w:rsidR="00BD3CA9" w:rsidRDefault="00FF2BE9" w:rsidP="00390AC6">
      <w:pPr>
        <w:pStyle w:val="Ttulo1"/>
        <w:numPr>
          <w:ilvl w:val="1"/>
          <w:numId w:val="7"/>
        </w:numPr>
        <w:spacing w:before="0" w:line="240" w:lineRule="auto"/>
        <w:jc w:val="both"/>
        <w:rPr>
          <w:rFonts w:ascii="Arial" w:hAnsi="Arial" w:cs="Arial"/>
          <w:bCs/>
          <w:szCs w:val="24"/>
          <w:u w:val="single"/>
          <w:lang w:val="es-CO"/>
        </w:rPr>
      </w:pPr>
      <w:bookmarkStart w:id="5" w:name="_Toc228519997"/>
      <w:r>
        <w:rPr>
          <w:rFonts w:ascii="Arial" w:hAnsi="Arial" w:cs="Arial"/>
          <w:bCs/>
          <w:szCs w:val="24"/>
          <w:u w:val="single"/>
          <w:lang w:val="es-CO"/>
        </w:rPr>
        <w:t xml:space="preserve"> </w:t>
      </w:r>
      <w:r w:rsidR="00BD3CA9" w:rsidRPr="006465F4">
        <w:rPr>
          <w:rFonts w:ascii="Arial" w:hAnsi="Arial" w:cs="Arial"/>
          <w:bCs/>
          <w:szCs w:val="24"/>
          <w:u w:val="single"/>
          <w:lang w:val="es-CO"/>
        </w:rPr>
        <w:t>DIAGNÓSTICO</w:t>
      </w:r>
      <w:bookmarkEnd w:id="5"/>
    </w:p>
    <w:p w14:paraId="01571F7B" w14:textId="065F6131" w:rsidR="00FF2BE9" w:rsidRPr="00FF2BE9" w:rsidRDefault="00FF2BE9" w:rsidP="00FF2BE9">
      <w:pPr>
        <w:rPr>
          <w:rFonts w:ascii="Arial" w:hAnsi="Arial" w:cs="Arial"/>
          <w:b/>
          <w:bCs/>
          <w:sz w:val="24"/>
          <w:szCs w:val="24"/>
          <w:lang w:val="es-CO"/>
        </w:rPr>
      </w:pPr>
    </w:p>
    <w:p w14:paraId="14204E6D" w14:textId="58393321" w:rsidR="00FF2BE9" w:rsidRPr="00FF2BE9" w:rsidRDefault="00FF2BE9" w:rsidP="00FF2BE9">
      <w:pPr>
        <w:rPr>
          <w:rFonts w:ascii="Arial" w:hAnsi="Arial" w:cs="Arial"/>
          <w:b/>
          <w:bCs/>
          <w:sz w:val="24"/>
          <w:szCs w:val="24"/>
          <w:lang w:val="es-CO"/>
        </w:rPr>
      </w:pPr>
      <w:r w:rsidRPr="00FF2BE9">
        <w:rPr>
          <w:rFonts w:ascii="Arial" w:hAnsi="Arial" w:cs="Arial"/>
          <w:b/>
          <w:bCs/>
          <w:sz w:val="24"/>
          <w:szCs w:val="24"/>
          <w:lang w:val="es-CO"/>
        </w:rPr>
        <w:t xml:space="preserve">5.3.1 </w:t>
      </w:r>
      <w:r>
        <w:rPr>
          <w:rFonts w:ascii="Arial" w:hAnsi="Arial" w:cs="Arial"/>
          <w:b/>
          <w:bCs/>
          <w:sz w:val="24"/>
          <w:szCs w:val="24"/>
          <w:lang w:val="es-CO"/>
        </w:rPr>
        <w:t>Evaluación</w:t>
      </w:r>
      <w:r w:rsidRPr="00FF2BE9">
        <w:rPr>
          <w:rFonts w:ascii="Arial" w:hAnsi="Arial" w:cs="Arial"/>
          <w:b/>
          <w:bCs/>
          <w:sz w:val="24"/>
          <w:szCs w:val="24"/>
          <w:lang w:val="es-CO"/>
        </w:rPr>
        <w:t xml:space="preserve"> en sospecha de Glaucoma</w:t>
      </w:r>
    </w:p>
    <w:p w14:paraId="3B8BBC2A" w14:textId="2919AD38" w:rsidR="006465F4" w:rsidRPr="006465F4" w:rsidRDefault="006465F4" w:rsidP="006465F4">
      <w:p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La evaluación inicial del paciente con sospecha de Glaucoma debe incluir una valoración oftalmológica integral, con énfasis en los hallazgos clínicos y factores de riesgo que puedan influir en el diagnóstico, progresión y tratamiento de la enfermedad. Esta valoración permite identificar tempranamente daño estructural o funcional y definir la necesidad de seguimiento o remisión a subespecialidad.</w:t>
      </w:r>
    </w:p>
    <w:p w14:paraId="5E751336" w14:textId="72EC1B55" w:rsidR="00D85761" w:rsidRDefault="006465F4" w:rsidP="006465F4">
      <w:p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La historia clínica debe incluir </w:t>
      </w:r>
      <w:r w:rsidR="00D85761">
        <w:rPr>
          <w:rFonts w:ascii="Arial" w:eastAsia="Times New Roman" w:hAnsi="Arial" w:cs="Arial"/>
          <w:sz w:val="24"/>
          <w:szCs w:val="24"/>
          <w:lang w:val="es-CO" w:eastAsia="es-CO"/>
        </w:rPr>
        <w:t xml:space="preserve">la búsqueda de factores de riesgo mencionados en el ítem 5.1 </w:t>
      </w:r>
      <w:r w:rsidRPr="006465F4">
        <w:rPr>
          <w:rFonts w:ascii="Arial" w:eastAsia="Times New Roman" w:hAnsi="Arial" w:cs="Arial"/>
          <w:sz w:val="24"/>
          <w:szCs w:val="24"/>
          <w:lang w:val="es-CO" w:eastAsia="es-CO"/>
        </w:rPr>
        <w:t>y síntomas sugestivos de hipertensión ocular o cierre angular.</w:t>
      </w:r>
      <w:r w:rsidR="00653997">
        <w:rPr>
          <w:rFonts w:ascii="Arial" w:eastAsia="Times New Roman" w:hAnsi="Arial" w:cs="Arial"/>
          <w:sz w:val="24"/>
          <w:szCs w:val="24"/>
          <w:lang w:val="es-CO" w:eastAsia="es-CO"/>
        </w:rPr>
        <w:t xml:space="preserve"> </w:t>
      </w:r>
    </w:p>
    <w:p w14:paraId="7EC33662" w14:textId="77777777" w:rsidR="00D85761" w:rsidRDefault="00D85761" w:rsidP="00D85761">
      <w:pPr>
        <w:spacing w:before="100" w:beforeAutospacing="1" w:after="100" w:afterAutospacing="1" w:line="276" w:lineRule="auto"/>
        <w:rPr>
          <w:rFonts w:ascii="Arial" w:hAnsi="Arial" w:cs="Arial"/>
          <w:sz w:val="24"/>
          <w:szCs w:val="24"/>
        </w:rPr>
      </w:pPr>
      <w:r w:rsidRPr="00D85761">
        <w:rPr>
          <w:rFonts w:ascii="Arial" w:hAnsi="Arial" w:cs="Arial"/>
          <w:sz w:val="24"/>
          <w:szCs w:val="24"/>
        </w:rPr>
        <w:t xml:space="preserve">La hipertensión ocular suele cursar de forma asintomática; sin embargo, algunos pacientes pueden referir sensación de presión ocular, astenopia, cefalea leve o episodios transitorios de visión borrosa. </w:t>
      </w:r>
    </w:p>
    <w:p w14:paraId="66E1833D" w14:textId="220A3D3F" w:rsidR="00D85761" w:rsidRPr="00D85761" w:rsidRDefault="00D85761" w:rsidP="00D85761">
      <w:pPr>
        <w:spacing w:before="100" w:beforeAutospacing="1" w:after="100" w:afterAutospacing="1" w:line="276" w:lineRule="auto"/>
        <w:rPr>
          <w:rFonts w:ascii="Arial" w:eastAsia="Times New Roman" w:hAnsi="Arial" w:cs="Arial"/>
          <w:sz w:val="28"/>
          <w:szCs w:val="28"/>
          <w:lang w:val="es-CO" w:eastAsia="es-CO"/>
        </w:rPr>
      </w:pPr>
      <w:r w:rsidRPr="00D85761">
        <w:rPr>
          <w:rFonts w:ascii="Arial" w:hAnsi="Arial" w:cs="Arial"/>
          <w:sz w:val="24"/>
          <w:szCs w:val="24"/>
        </w:rPr>
        <w:t xml:space="preserve">En contraste, el cierre angular puede manifestarse con síntomas intermitentes o agudos caracterizados por disminución de la agudeza visual, visión de halos coloreados, dolor ocular, cefalea hemicraneal o frontal, hiperemia conjuntival, </w:t>
      </w:r>
      <w:r w:rsidRPr="00D85761">
        <w:rPr>
          <w:rFonts w:ascii="Arial" w:hAnsi="Arial" w:cs="Arial"/>
          <w:sz w:val="24"/>
          <w:szCs w:val="24"/>
        </w:rPr>
        <w:lastRenderedPageBreak/>
        <w:t>fotofobia, náuseas y vómito. La presencia de estos hallazgos clínicos debe aumentar la sospecha diagnóstica y orientar una valoración oftalmológica integral para descartar compromiso glaucomatoso y definir la conducta diagnóstica y terapéutica correspondiente.</w:t>
      </w:r>
    </w:p>
    <w:p w14:paraId="751CF3BD" w14:textId="5736700A" w:rsidR="006465F4" w:rsidRPr="006465F4" w:rsidRDefault="006465F4" w:rsidP="006465F4">
      <w:p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El examen físico oftalmológico debe enfocarse en:</w:t>
      </w:r>
    </w:p>
    <w:p w14:paraId="72BF7D16"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Evaluación pupilar. </w:t>
      </w:r>
    </w:p>
    <w:p w14:paraId="372EB6B2"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Valoración del segmento anterior. </w:t>
      </w:r>
    </w:p>
    <w:p w14:paraId="16238E54"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Medición de la presión intraocular (PIO). </w:t>
      </w:r>
    </w:p>
    <w:p w14:paraId="6D17E0D0"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Medición del grosor corneal central mediante paquimetría. </w:t>
      </w:r>
    </w:p>
    <w:p w14:paraId="48188386"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Gonioscopía para evaluación del ángulo camerular. </w:t>
      </w:r>
    </w:p>
    <w:p w14:paraId="6F7A7E2C"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Evaluación de la cabeza del nervio óptico y la capa de fibras nerviosas. </w:t>
      </w:r>
    </w:p>
    <w:p w14:paraId="49475DA9" w14:textId="77777777" w:rsidR="006465F4" w:rsidRP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Fundoscopia. </w:t>
      </w:r>
    </w:p>
    <w:p w14:paraId="51E10A04" w14:textId="4ACA633F" w:rsidR="006465F4" w:rsidRDefault="006465F4" w:rsidP="00390AC6">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6465F4">
        <w:rPr>
          <w:rFonts w:ascii="Arial" w:eastAsia="Times New Roman" w:hAnsi="Arial" w:cs="Arial"/>
          <w:sz w:val="24"/>
          <w:szCs w:val="24"/>
          <w:lang w:val="es-CO" w:eastAsia="es-CO"/>
        </w:rPr>
        <w:t xml:space="preserve">Evaluación funcional mediante campo visual. </w:t>
      </w:r>
    </w:p>
    <w:p w14:paraId="514E325D" w14:textId="47BD15A1" w:rsidR="00DF4B91" w:rsidRPr="00DF4B91" w:rsidRDefault="00DF4B91" w:rsidP="001336C8">
      <w:pPr>
        <w:spacing w:before="100" w:beforeAutospacing="1" w:after="100" w:afterAutospacing="1" w:line="276" w:lineRule="auto"/>
        <w:rPr>
          <w:rFonts w:ascii="Arial" w:eastAsia="Times New Roman" w:hAnsi="Arial" w:cs="Arial"/>
          <w:sz w:val="28"/>
          <w:szCs w:val="28"/>
          <w:lang w:val="es-CO" w:eastAsia="es-CO"/>
        </w:rPr>
      </w:pPr>
      <w:r w:rsidRPr="00DF4B91">
        <w:rPr>
          <w:rFonts w:ascii="Arial" w:hAnsi="Arial" w:cs="Arial"/>
          <w:sz w:val="24"/>
          <w:szCs w:val="24"/>
        </w:rPr>
        <w:t xml:space="preserve">Como apoyo diagnóstico y seguimiento del paciente con sospecha o diagnóstico de </w:t>
      </w:r>
      <w:r>
        <w:rPr>
          <w:rStyle w:val="whitespace-normal"/>
          <w:rFonts w:ascii="Arial" w:hAnsi="Arial" w:cs="Arial"/>
          <w:sz w:val="24"/>
          <w:szCs w:val="24"/>
        </w:rPr>
        <w:t>g</w:t>
      </w:r>
      <w:r w:rsidRPr="00DF4B91">
        <w:rPr>
          <w:rStyle w:val="whitespace-normal"/>
          <w:rFonts w:ascii="Arial" w:hAnsi="Arial" w:cs="Arial"/>
          <w:sz w:val="24"/>
          <w:szCs w:val="24"/>
        </w:rPr>
        <w:t>laucoma</w:t>
      </w:r>
      <w:r w:rsidRPr="00DF4B91">
        <w:rPr>
          <w:rFonts w:ascii="Arial" w:hAnsi="Arial" w:cs="Arial"/>
          <w:sz w:val="24"/>
          <w:szCs w:val="24"/>
        </w:rPr>
        <w:t>, pueden solicitarse estudios complementarios según los hallazgos clínicos, factores de riesgo y criterio del especialista. Ningún examen por sí solo confirma el diagnóstico, por lo que su interpretación debe integrarse con la evaluación clínica y oftalmológica completa</w:t>
      </w:r>
    </w:p>
    <w:tbl>
      <w:tblPr>
        <w:tblStyle w:val="Tablaconcuadrcula"/>
        <w:tblW w:w="9640" w:type="dxa"/>
        <w:tblInd w:w="-431" w:type="dxa"/>
        <w:tblLook w:val="04A0" w:firstRow="1" w:lastRow="0" w:firstColumn="1" w:lastColumn="0" w:noHBand="0" w:noVBand="1"/>
      </w:tblPr>
      <w:tblGrid>
        <w:gridCol w:w="2553"/>
        <w:gridCol w:w="3504"/>
        <w:gridCol w:w="3583"/>
      </w:tblGrid>
      <w:tr w:rsidR="001336C8" w:rsidRPr="00DF4B91" w14:paraId="3255DEC3" w14:textId="77777777" w:rsidTr="00653997">
        <w:tc>
          <w:tcPr>
            <w:tcW w:w="2553" w:type="dxa"/>
            <w:shd w:val="clear" w:color="auto" w:fill="C5E0B3" w:themeFill="accent6" w:themeFillTint="66"/>
            <w:hideMark/>
          </w:tcPr>
          <w:p w14:paraId="2ABE9C5E" w14:textId="278F4787" w:rsidR="00DF4B91" w:rsidRPr="00DF4B91" w:rsidRDefault="00DF4B91" w:rsidP="001336C8">
            <w:pPr>
              <w:jc w:val="center"/>
              <w:rPr>
                <w:rFonts w:ascii="Arial" w:hAnsi="Arial" w:cs="Arial"/>
                <w:b/>
                <w:bCs/>
                <w:sz w:val="20"/>
                <w:szCs w:val="20"/>
                <w:lang w:val="es-CO"/>
              </w:rPr>
            </w:pPr>
            <w:r w:rsidRPr="00DF4B91">
              <w:rPr>
                <w:rFonts w:ascii="Arial" w:hAnsi="Arial" w:cs="Arial"/>
                <w:b/>
                <w:bCs/>
                <w:sz w:val="20"/>
                <w:szCs w:val="20"/>
              </w:rPr>
              <w:t>EXAMEN</w:t>
            </w:r>
            <w:r w:rsidR="00653997">
              <w:rPr>
                <w:rFonts w:ascii="Arial" w:hAnsi="Arial" w:cs="Arial"/>
                <w:b/>
                <w:bCs/>
                <w:sz w:val="20"/>
                <w:szCs w:val="20"/>
              </w:rPr>
              <w:t xml:space="preserve"> COMPLEMENTARIO</w:t>
            </w:r>
          </w:p>
        </w:tc>
        <w:tc>
          <w:tcPr>
            <w:tcW w:w="3504" w:type="dxa"/>
            <w:shd w:val="clear" w:color="auto" w:fill="C5E0B3" w:themeFill="accent6" w:themeFillTint="66"/>
            <w:hideMark/>
          </w:tcPr>
          <w:p w14:paraId="6D819039" w14:textId="77777777" w:rsidR="00DF4B91" w:rsidRPr="00DF4B91" w:rsidRDefault="00DF4B91">
            <w:pPr>
              <w:jc w:val="center"/>
              <w:rPr>
                <w:rFonts w:ascii="Arial" w:hAnsi="Arial" w:cs="Arial"/>
                <w:b/>
                <w:bCs/>
                <w:sz w:val="20"/>
                <w:szCs w:val="20"/>
              </w:rPr>
            </w:pPr>
            <w:r w:rsidRPr="00DF4B91">
              <w:rPr>
                <w:rFonts w:ascii="Arial" w:hAnsi="Arial" w:cs="Arial"/>
                <w:b/>
                <w:bCs/>
                <w:sz w:val="20"/>
                <w:szCs w:val="20"/>
              </w:rPr>
              <w:t>¿QUÉ EVALÚA?</w:t>
            </w:r>
          </w:p>
        </w:tc>
        <w:tc>
          <w:tcPr>
            <w:tcW w:w="3583" w:type="dxa"/>
            <w:shd w:val="clear" w:color="auto" w:fill="C5E0B3" w:themeFill="accent6" w:themeFillTint="66"/>
            <w:hideMark/>
          </w:tcPr>
          <w:p w14:paraId="1E86BEE3" w14:textId="77777777" w:rsidR="00DF4B91" w:rsidRPr="00DF4B91" w:rsidRDefault="00DF4B91">
            <w:pPr>
              <w:jc w:val="center"/>
              <w:rPr>
                <w:rFonts w:ascii="Arial" w:hAnsi="Arial" w:cs="Arial"/>
                <w:b/>
                <w:bCs/>
                <w:sz w:val="20"/>
                <w:szCs w:val="20"/>
              </w:rPr>
            </w:pPr>
            <w:r w:rsidRPr="00DF4B91">
              <w:rPr>
                <w:rFonts w:ascii="Arial" w:hAnsi="Arial" w:cs="Arial"/>
                <w:b/>
                <w:bCs/>
                <w:sz w:val="20"/>
                <w:szCs w:val="20"/>
              </w:rPr>
              <w:t>PRINCIPALES INDICACIONES</w:t>
            </w:r>
          </w:p>
        </w:tc>
      </w:tr>
      <w:tr w:rsidR="001336C8" w:rsidRPr="00DF4B91" w14:paraId="5D90D312" w14:textId="77777777" w:rsidTr="00653997">
        <w:tc>
          <w:tcPr>
            <w:tcW w:w="2553" w:type="dxa"/>
            <w:hideMark/>
          </w:tcPr>
          <w:p w14:paraId="234F9F94" w14:textId="77777777" w:rsidR="00DF4B91" w:rsidRPr="00DF4B91" w:rsidRDefault="00DF4B91" w:rsidP="001336C8">
            <w:pPr>
              <w:jc w:val="center"/>
              <w:rPr>
                <w:rFonts w:ascii="Arial" w:hAnsi="Arial" w:cs="Arial"/>
                <w:sz w:val="20"/>
                <w:szCs w:val="20"/>
              </w:rPr>
            </w:pPr>
            <w:r w:rsidRPr="00DF4B91">
              <w:rPr>
                <w:rStyle w:val="Textoennegrita"/>
                <w:rFonts w:ascii="Arial" w:hAnsi="Arial" w:cs="Arial"/>
                <w:sz w:val="20"/>
                <w:szCs w:val="20"/>
              </w:rPr>
              <w:t>Campimetría o campo visual computarizado</w:t>
            </w:r>
          </w:p>
        </w:tc>
        <w:tc>
          <w:tcPr>
            <w:tcW w:w="3504" w:type="dxa"/>
            <w:hideMark/>
          </w:tcPr>
          <w:p w14:paraId="40A9C835" w14:textId="77777777" w:rsidR="00DF4B91" w:rsidRPr="00DF4B91" w:rsidRDefault="00DF4B91">
            <w:pPr>
              <w:rPr>
                <w:rFonts w:ascii="Arial" w:hAnsi="Arial" w:cs="Arial"/>
                <w:sz w:val="20"/>
                <w:szCs w:val="20"/>
              </w:rPr>
            </w:pPr>
            <w:r w:rsidRPr="00DF4B91">
              <w:rPr>
                <w:rFonts w:ascii="Arial" w:hAnsi="Arial" w:cs="Arial"/>
                <w:sz w:val="20"/>
                <w:szCs w:val="20"/>
              </w:rPr>
              <w:t>Evalúa la función visual y detecta defectos del campo visual compatibles con daño glaucomatoso. Permite identificar progresión funcional de la enfermedad.</w:t>
            </w:r>
          </w:p>
        </w:tc>
        <w:tc>
          <w:tcPr>
            <w:tcW w:w="3583" w:type="dxa"/>
            <w:hideMark/>
          </w:tcPr>
          <w:p w14:paraId="30B89A17" w14:textId="77777777" w:rsidR="001336C8" w:rsidRDefault="00DF4B91">
            <w:pPr>
              <w:rPr>
                <w:rFonts w:ascii="Arial" w:hAnsi="Arial" w:cs="Arial"/>
                <w:sz w:val="20"/>
                <w:szCs w:val="20"/>
              </w:rPr>
            </w:pPr>
            <w:r w:rsidRPr="00DF4B91">
              <w:rPr>
                <w:rFonts w:ascii="Arial" w:hAnsi="Arial" w:cs="Arial"/>
                <w:sz w:val="20"/>
                <w:szCs w:val="20"/>
              </w:rPr>
              <w:t xml:space="preserve">Sospecha de glaucoma, hipertensión ocular, alteraciones del nervio óptico, seguimiento de glaucoma confirmado y evaluación de progresión. </w:t>
            </w:r>
          </w:p>
          <w:p w14:paraId="481C61AD" w14:textId="77777777" w:rsidR="001336C8" w:rsidRDefault="001336C8">
            <w:pPr>
              <w:rPr>
                <w:rFonts w:ascii="Arial" w:hAnsi="Arial" w:cs="Arial"/>
                <w:sz w:val="20"/>
                <w:szCs w:val="20"/>
              </w:rPr>
            </w:pPr>
          </w:p>
          <w:p w14:paraId="27E519B0" w14:textId="77777777" w:rsidR="001336C8" w:rsidRDefault="00DF4B91" w:rsidP="00653997">
            <w:pPr>
              <w:rPr>
                <w:rFonts w:ascii="Arial" w:hAnsi="Arial" w:cs="Arial"/>
                <w:sz w:val="20"/>
                <w:szCs w:val="20"/>
              </w:rPr>
            </w:pPr>
            <w:r w:rsidRPr="00DF4B91">
              <w:rPr>
                <w:rFonts w:ascii="Arial" w:hAnsi="Arial" w:cs="Arial"/>
                <w:sz w:val="20"/>
                <w:szCs w:val="20"/>
              </w:rPr>
              <w:t xml:space="preserve">Los </w:t>
            </w:r>
            <w:r w:rsidR="001336C8">
              <w:rPr>
                <w:rFonts w:ascii="Arial" w:hAnsi="Arial" w:cs="Arial"/>
                <w:sz w:val="20"/>
                <w:szCs w:val="20"/>
              </w:rPr>
              <w:t>hallazgos</w:t>
            </w:r>
            <w:r w:rsidRPr="00DF4B91">
              <w:rPr>
                <w:rFonts w:ascii="Arial" w:hAnsi="Arial" w:cs="Arial"/>
                <w:sz w:val="20"/>
                <w:szCs w:val="20"/>
              </w:rPr>
              <w:t xml:space="preserve"> típicos incluyen escalón nasal, escotomas paracentrales y defectos arqueados.</w:t>
            </w:r>
            <w:r w:rsidR="001336C8" w:rsidRPr="001336C8">
              <w:rPr>
                <w:rFonts w:ascii="Arial" w:hAnsi="Arial" w:cs="Arial"/>
                <w:sz w:val="20"/>
                <w:szCs w:val="20"/>
              </w:rPr>
              <w:t xml:space="preserve"> (</w:t>
            </w:r>
            <w:hyperlink r:id="rId12" w:tooltip="Diagnosis and Treatment of Normal-Tension Glaucoma" w:history="1">
              <w:r w:rsidR="001336C8" w:rsidRPr="001336C8">
                <w:rPr>
                  <w:rStyle w:val="Hipervnculo"/>
                  <w:rFonts w:ascii="Arial" w:hAnsi="Arial" w:cs="Arial"/>
                  <w:color w:val="auto"/>
                  <w:sz w:val="20"/>
                  <w:szCs w:val="20"/>
                </w:rPr>
                <w:t>AAO</w:t>
              </w:r>
            </w:hyperlink>
            <w:r w:rsidR="001336C8" w:rsidRPr="001336C8">
              <w:rPr>
                <w:rFonts w:ascii="Arial" w:hAnsi="Arial" w:cs="Arial"/>
                <w:sz w:val="20"/>
                <w:szCs w:val="20"/>
              </w:rPr>
              <w:t>) (</w:t>
            </w:r>
            <w:hyperlink r:id="rId13" w:tooltip="Glaucoma: Diagnosis and Management" w:history="1">
              <w:r w:rsidR="001336C8" w:rsidRPr="001336C8">
                <w:rPr>
                  <w:rStyle w:val="Hipervnculo"/>
                  <w:rFonts w:ascii="Arial" w:hAnsi="Arial" w:cs="Arial"/>
                  <w:color w:val="auto"/>
                  <w:sz w:val="20"/>
                  <w:szCs w:val="20"/>
                </w:rPr>
                <w:t>AAFP</w:t>
              </w:r>
            </w:hyperlink>
            <w:r w:rsidR="001336C8" w:rsidRPr="001336C8">
              <w:rPr>
                <w:rFonts w:ascii="Arial" w:hAnsi="Arial" w:cs="Arial"/>
                <w:sz w:val="20"/>
                <w:szCs w:val="20"/>
              </w:rPr>
              <w:t>)</w:t>
            </w:r>
            <w:r w:rsidR="001336C8">
              <w:rPr>
                <w:rFonts w:ascii="Arial" w:hAnsi="Arial" w:cs="Arial"/>
                <w:sz w:val="20"/>
                <w:szCs w:val="20"/>
              </w:rPr>
              <w:t>*</w:t>
            </w:r>
          </w:p>
          <w:p w14:paraId="4C72721E" w14:textId="56F59F17" w:rsidR="00653997" w:rsidRPr="00DF4B91" w:rsidRDefault="00653997" w:rsidP="00653997">
            <w:pPr>
              <w:rPr>
                <w:rFonts w:ascii="Arial" w:hAnsi="Arial" w:cs="Arial"/>
                <w:sz w:val="20"/>
                <w:szCs w:val="20"/>
              </w:rPr>
            </w:pPr>
          </w:p>
        </w:tc>
      </w:tr>
      <w:tr w:rsidR="001336C8" w:rsidRPr="00DF4B91" w14:paraId="54F4BC70" w14:textId="77777777" w:rsidTr="00653997">
        <w:tc>
          <w:tcPr>
            <w:tcW w:w="2553" w:type="dxa"/>
            <w:hideMark/>
          </w:tcPr>
          <w:p w14:paraId="17FE4224" w14:textId="77777777" w:rsidR="00DF4B91" w:rsidRPr="00DF4B91" w:rsidRDefault="00DF4B91" w:rsidP="001336C8">
            <w:pPr>
              <w:jc w:val="center"/>
              <w:rPr>
                <w:rFonts w:ascii="Arial" w:hAnsi="Arial" w:cs="Arial"/>
                <w:sz w:val="20"/>
                <w:szCs w:val="20"/>
              </w:rPr>
            </w:pPr>
            <w:r w:rsidRPr="00DF4B91">
              <w:rPr>
                <w:rStyle w:val="Textoennegrita"/>
                <w:rFonts w:ascii="Arial" w:hAnsi="Arial" w:cs="Arial"/>
                <w:sz w:val="20"/>
                <w:szCs w:val="20"/>
              </w:rPr>
              <w:t>Tomografía de coherencia óptica (OCT) para glaucoma</w:t>
            </w:r>
          </w:p>
        </w:tc>
        <w:tc>
          <w:tcPr>
            <w:tcW w:w="3504" w:type="dxa"/>
            <w:hideMark/>
          </w:tcPr>
          <w:p w14:paraId="4EE3B7E2" w14:textId="77777777" w:rsidR="00DF4B91" w:rsidRDefault="00DF4B91">
            <w:pPr>
              <w:rPr>
                <w:rFonts w:ascii="Arial" w:hAnsi="Arial" w:cs="Arial"/>
                <w:sz w:val="20"/>
                <w:szCs w:val="20"/>
              </w:rPr>
            </w:pPr>
            <w:r w:rsidRPr="00DF4B91">
              <w:rPr>
                <w:rFonts w:ascii="Arial" w:hAnsi="Arial" w:cs="Arial"/>
                <w:sz w:val="20"/>
                <w:szCs w:val="20"/>
              </w:rPr>
              <w:t>Evalúa estructuralmente el nervio óptico y la capa de fibras nerviosas de la retina (RNFL), permitiendo detectar adelgazamiento glaucomatoso incluso antes de alteraciones</w:t>
            </w:r>
            <w:r w:rsidR="001336C8">
              <w:rPr>
                <w:rFonts w:ascii="Arial" w:hAnsi="Arial" w:cs="Arial"/>
                <w:sz w:val="20"/>
                <w:szCs w:val="20"/>
              </w:rPr>
              <w:t xml:space="preserve"> en</w:t>
            </w:r>
            <w:r w:rsidRPr="00DF4B91">
              <w:rPr>
                <w:rFonts w:ascii="Arial" w:hAnsi="Arial" w:cs="Arial"/>
                <w:sz w:val="20"/>
                <w:szCs w:val="20"/>
              </w:rPr>
              <w:t xml:space="preserve"> </w:t>
            </w:r>
            <w:r w:rsidR="001336C8" w:rsidRPr="00DF4B91">
              <w:rPr>
                <w:rFonts w:ascii="Arial" w:hAnsi="Arial" w:cs="Arial"/>
                <w:sz w:val="20"/>
                <w:szCs w:val="20"/>
              </w:rPr>
              <w:t>campimetría</w:t>
            </w:r>
            <w:r w:rsidRPr="00DF4B91">
              <w:rPr>
                <w:rFonts w:ascii="Arial" w:hAnsi="Arial" w:cs="Arial"/>
                <w:sz w:val="20"/>
                <w:szCs w:val="20"/>
              </w:rPr>
              <w:t>.</w:t>
            </w:r>
          </w:p>
          <w:p w14:paraId="04F679AC" w14:textId="77777777" w:rsidR="00190550" w:rsidRDefault="00190550">
            <w:pPr>
              <w:rPr>
                <w:rFonts w:ascii="Arial" w:hAnsi="Arial" w:cs="Arial"/>
                <w:sz w:val="20"/>
                <w:szCs w:val="20"/>
              </w:rPr>
            </w:pPr>
          </w:p>
          <w:p w14:paraId="103C2870" w14:textId="22CC2CAA" w:rsidR="00190550" w:rsidRPr="00190550" w:rsidRDefault="00190550">
            <w:pPr>
              <w:rPr>
                <w:rFonts w:ascii="Arial" w:hAnsi="Arial" w:cs="Arial"/>
                <w:b/>
                <w:bCs/>
                <w:sz w:val="20"/>
                <w:szCs w:val="20"/>
                <w:u w:val="single"/>
              </w:rPr>
            </w:pPr>
            <w:r w:rsidRPr="00190550">
              <w:rPr>
                <w:rFonts w:ascii="Arial" w:hAnsi="Arial" w:cs="Arial"/>
                <w:b/>
                <w:bCs/>
                <w:color w:val="303030"/>
                <w:sz w:val="20"/>
                <w:szCs w:val="20"/>
                <w:u w:val="single"/>
                <w:shd w:val="clear" w:color="auto" w:fill="FFFFFF"/>
              </w:rPr>
              <w:t>El OCT no debe pedirse si el daño ya es evidente y el resultado no cambiará la conducta médica</w:t>
            </w:r>
          </w:p>
        </w:tc>
        <w:tc>
          <w:tcPr>
            <w:tcW w:w="3583" w:type="dxa"/>
            <w:hideMark/>
          </w:tcPr>
          <w:p w14:paraId="008C8F9F" w14:textId="6BBA4D25" w:rsidR="001336C8" w:rsidRDefault="00DF4B91">
            <w:pPr>
              <w:rPr>
                <w:rFonts w:ascii="Arial" w:hAnsi="Arial" w:cs="Arial"/>
                <w:sz w:val="20"/>
                <w:szCs w:val="20"/>
              </w:rPr>
            </w:pPr>
            <w:r w:rsidRPr="00DF4B91">
              <w:rPr>
                <w:rFonts w:ascii="Arial" w:hAnsi="Arial" w:cs="Arial"/>
                <w:sz w:val="20"/>
                <w:szCs w:val="20"/>
              </w:rPr>
              <w:t>Sospecha de glaucoma, excavaciones sospechosas, asimetría papilar, adelgazamiento del anillo neuro</w:t>
            </w:r>
            <w:r w:rsidR="001336C8">
              <w:rPr>
                <w:rFonts w:ascii="Arial" w:hAnsi="Arial" w:cs="Arial"/>
                <w:sz w:val="20"/>
                <w:szCs w:val="20"/>
              </w:rPr>
              <w:t>-</w:t>
            </w:r>
            <w:r w:rsidRPr="00DF4B91">
              <w:rPr>
                <w:rFonts w:ascii="Arial" w:hAnsi="Arial" w:cs="Arial"/>
                <w:sz w:val="20"/>
                <w:szCs w:val="20"/>
              </w:rPr>
              <w:t xml:space="preserve">retiniano, factores de riesgo o seguimiento de progresión estructural. </w:t>
            </w:r>
          </w:p>
          <w:p w14:paraId="4706D6D6" w14:textId="77777777" w:rsidR="001336C8" w:rsidRDefault="001336C8">
            <w:pPr>
              <w:rPr>
                <w:rFonts w:ascii="Arial" w:hAnsi="Arial" w:cs="Arial"/>
                <w:sz w:val="20"/>
                <w:szCs w:val="20"/>
              </w:rPr>
            </w:pPr>
          </w:p>
          <w:p w14:paraId="04111F79" w14:textId="6580E360" w:rsidR="001336C8" w:rsidRDefault="00DF4B91">
            <w:pPr>
              <w:rPr>
                <w:rFonts w:ascii="Arial" w:hAnsi="Arial" w:cs="Arial"/>
                <w:sz w:val="20"/>
                <w:szCs w:val="20"/>
              </w:rPr>
            </w:pPr>
            <w:r w:rsidRPr="00DF4B91">
              <w:rPr>
                <w:rFonts w:ascii="Arial" w:hAnsi="Arial" w:cs="Arial"/>
                <w:sz w:val="20"/>
                <w:szCs w:val="20"/>
              </w:rPr>
              <w:t>Tiene mayor utilidad en glaucoma temprano o preperimétric</w:t>
            </w:r>
            <w:r w:rsidR="001336C8">
              <w:rPr>
                <w:rFonts w:ascii="Arial" w:hAnsi="Arial" w:cs="Arial"/>
                <w:sz w:val="20"/>
                <w:szCs w:val="20"/>
              </w:rPr>
              <w:t>o (es decir, sin alteraciones detectable en campimetría)</w:t>
            </w:r>
          </w:p>
          <w:p w14:paraId="0EC4A215" w14:textId="3629F93E" w:rsidR="00FF2BE9" w:rsidRDefault="001336C8" w:rsidP="00653997">
            <w:pPr>
              <w:rPr>
                <w:rFonts w:ascii="Arial" w:hAnsi="Arial" w:cs="Arial"/>
                <w:sz w:val="20"/>
                <w:szCs w:val="20"/>
              </w:rPr>
            </w:pPr>
            <w:r w:rsidRPr="001336C8">
              <w:rPr>
                <w:rFonts w:ascii="Arial" w:hAnsi="Arial" w:cs="Arial"/>
                <w:sz w:val="20"/>
                <w:szCs w:val="20"/>
              </w:rPr>
              <w:t>(</w:t>
            </w:r>
            <w:hyperlink r:id="rId14" w:tooltip="Diagnosis and Treatment of Normal-Tension Glaucoma" w:history="1">
              <w:r w:rsidRPr="001336C8">
                <w:rPr>
                  <w:rStyle w:val="Hipervnculo"/>
                  <w:rFonts w:ascii="Arial" w:hAnsi="Arial" w:cs="Arial"/>
                  <w:color w:val="auto"/>
                  <w:sz w:val="20"/>
                  <w:szCs w:val="20"/>
                </w:rPr>
                <w:t>AAO</w:t>
              </w:r>
            </w:hyperlink>
            <w:r w:rsidRPr="001336C8">
              <w:rPr>
                <w:rFonts w:ascii="Arial" w:hAnsi="Arial" w:cs="Arial"/>
                <w:sz w:val="20"/>
                <w:szCs w:val="20"/>
              </w:rPr>
              <w:t>)</w:t>
            </w:r>
            <w:r w:rsidR="00DF4B91" w:rsidRPr="001336C8">
              <w:rPr>
                <w:rFonts w:ascii="Arial" w:hAnsi="Arial" w:cs="Arial"/>
                <w:sz w:val="20"/>
                <w:szCs w:val="20"/>
              </w:rPr>
              <w:t xml:space="preserve"> (</w:t>
            </w:r>
            <w:hyperlink r:id="rId15" w:tooltip="Glaucoma: Diagnosis and Management" w:history="1">
              <w:r w:rsidR="00DF4B91" w:rsidRPr="001336C8">
                <w:rPr>
                  <w:rStyle w:val="Hipervnculo"/>
                  <w:rFonts w:ascii="Arial" w:hAnsi="Arial" w:cs="Arial"/>
                  <w:color w:val="auto"/>
                  <w:sz w:val="20"/>
                  <w:szCs w:val="20"/>
                </w:rPr>
                <w:t>AAFP</w:t>
              </w:r>
            </w:hyperlink>
            <w:r w:rsidR="00DF4B91" w:rsidRPr="001336C8">
              <w:rPr>
                <w:rFonts w:ascii="Arial" w:hAnsi="Arial" w:cs="Arial"/>
                <w:sz w:val="20"/>
                <w:szCs w:val="20"/>
              </w:rPr>
              <w:t>)</w:t>
            </w:r>
            <w:r>
              <w:rPr>
                <w:rFonts w:ascii="Arial" w:hAnsi="Arial" w:cs="Arial"/>
                <w:sz w:val="20"/>
                <w:szCs w:val="20"/>
              </w:rPr>
              <w:t>*</w:t>
            </w:r>
          </w:p>
          <w:p w14:paraId="6EE7FD7E" w14:textId="1B1730BC" w:rsidR="00653997" w:rsidRPr="00DF4B91" w:rsidRDefault="00653997" w:rsidP="00653997">
            <w:pPr>
              <w:rPr>
                <w:rFonts w:ascii="Arial" w:hAnsi="Arial" w:cs="Arial"/>
                <w:sz w:val="20"/>
                <w:szCs w:val="20"/>
              </w:rPr>
            </w:pPr>
          </w:p>
        </w:tc>
      </w:tr>
      <w:tr w:rsidR="001336C8" w:rsidRPr="00DF4B91" w14:paraId="4381B56B" w14:textId="77777777" w:rsidTr="00653997">
        <w:tc>
          <w:tcPr>
            <w:tcW w:w="2553" w:type="dxa"/>
            <w:hideMark/>
          </w:tcPr>
          <w:p w14:paraId="4BEE03A8" w14:textId="77777777" w:rsidR="00DF4B91" w:rsidRPr="00DF4B91" w:rsidRDefault="00DF4B91" w:rsidP="001336C8">
            <w:pPr>
              <w:jc w:val="center"/>
              <w:rPr>
                <w:rFonts w:ascii="Arial" w:hAnsi="Arial" w:cs="Arial"/>
                <w:sz w:val="20"/>
                <w:szCs w:val="20"/>
              </w:rPr>
            </w:pPr>
            <w:r w:rsidRPr="00DF4B91">
              <w:rPr>
                <w:rStyle w:val="Textoennegrita"/>
                <w:rFonts w:ascii="Arial" w:hAnsi="Arial" w:cs="Arial"/>
                <w:sz w:val="20"/>
                <w:szCs w:val="20"/>
              </w:rPr>
              <w:lastRenderedPageBreak/>
              <w:t>Paquimetría corneal</w:t>
            </w:r>
          </w:p>
        </w:tc>
        <w:tc>
          <w:tcPr>
            <w:tcW w:w="3504" w:type="dxa"/>
            <w:hideMark/>
          </w:tcPr>
          <w:p w14:paraId="7CB3D695" w14:textId="77777777" w:rsidR="00DF4B91" w:rsidRDefault="00DF4B91">
            <w:pPr>
              <w:rPr>
                <w:rFonts w:ascii="Arial" w:hAnsi="Arial" w:cs="Arial"/>
                <w:sz w:val="20"/>
                <w:szCs w:val="20"/>
              </w:rPr>
            </w:pPr>
            <w:r w:rsidRPr="00DF4B91">
              <w:rPr>
                <w:rFonts w:ascii="Arial" w:hAnsi="Arial" w:cs="Arial"/>
                <w:sz w:val="20"/>
                <w:szCs w:val="20"/>
              </w:rPr>
              <w:t>Mide el grosor corneal central. El espesor corneal puede modificar la interpretación de la presión intraocular y constituye un factor de riesgo independiente para glaucoma.</w:t>
            </w:r>
          </w:p>
          <w:p w14:paraId="0EA08CBB" w14:textId="77777777" w:rsidR="003364C6" w:rsidRDefault="003364C6">
            <w:pPr>
              <w:rPr>
                <w:rFonts w:ascii="Arial" w:hAnsi="Arial" w:cs="Arial"/>
                <w:sz w:val="20"/>
                <w:szCs w:val="20"/>
              </w:rPr>
            </w:pPr>
          </w:p>
          <w:p w14:paraId="050F1E40" w14:textId="630703EA" w:rsidR="003364C6" w:rsidRPr="00DF4B91" w:rsidRDefault="003364C6">
            <w:pPr>
              <w:rPr>
                <w:rFonts w:ascii="Arial" w:hAnsi="Arial" w:cs="Arial"/>
                <w:sz w:val="20"/>
                <w:szCs w:val="20"/>
              </w:rPr>
            </w:pPr>
            <w:r w:rsidRPr="003364C6">
              <w:rPr>
                <w:rFonts w:ascii="Arial" w:hAnsi="Arial" w:cs="Arial"/>
                <w:color w:val="303030"/>
                <w:sz w:val="20"/>
                <w:szCs w:val="20"/>
                <w:shd w:val="clear" w:color="auto" w:fill="FFFFFF"/>
              </w:rPr>
              <w:t xml:space="preserve">La paquimetría </w:t>
            </w:r>
            <w:r w:rsidRPr="003364C6">
              <w:rPr>
                <w:rFonts w:ascii="Arial" w:hAnsi="Arial" w:cs="Arial"/>
                <w:b/>
                <w:bCs/>
                <w:color w:val="303030"/>
                <w:sz w:val="20"/>
                <w:szCs w:val="20"/>
                <w:u w:val="single"/>
                <w:shd w:val="clear" w:color="auto" w:fill="FFFFFF"/>
              </w:rPr>
              <w:t>solo se requiere realizarla una vez</w:t>
            </w:r>
          </w:p>
        </w:tc>
        <w:tc>
          <w:tcPr>
            <w:tcW w:w="3583" w:type="dxa"/>
            <w:hideMark/>
          </w:tcPr>
          <w:p w14:paraId="7F6038D8" w14:textId="77777777" w:rsidR="001336C8" w:rsidRDefault="00DF4B91">
            <w:pPr>
              <w:rPr>
                <w:rFonts w:ascii="Arial" w:hAnsi="Arial" w:cs="Arial"/>
                <w:sz w:val="20"/>
                <w:szCs w:val="20"/>
              </w:rPr>
            </w:pPr>
            <w:r w:rsidRPr="00DF4B91">
              <w:rPr>
                <w:rFonts w:ascii="Arial" w:hAnsi="Arial" w:cs="Arial"/>
                <w:sz w:val="20"/>
                <w:szCs w:val="20"/>
              </w:rPr>
              <w:t xml:space="preserve">Hipertensión ocular, presión intraocular limítrofe, sospecha de glaucoma o evaluación inicial integral del paciente glaucomatoso. </w:t>
            </w:r>
          </w:p>
          <w:p w14:paraId="098B20E5" w14:textId="77777777" w:rsidR="001336C8" w:rsidRDefault="001336C8">
            <w:pPr>
              <w:rPr>
                <w:rFonts w:ascii="Arial" w:hAnsi="Arial" w:cs="Arial"/>
                <w:sz w:val="20"/>
                <w:szCs w:val="20"/>
              </w:rPr>
            </w:pPr>
          </w:p>
          <w:p w14:paraId="6DFD7C2E" w14:textId="77777777" w:rsidR="00653997" w:rsidRDefault="00DF4B91" w:rsidP="00653997">
            <w:pPr>
              <w:rPr>
                <w:rFonts w:ascii="Arial" w:hAnsi="Arial" w:cs="Arial"/>
                <w:sz w:val="20"/>
                <w:szCs w:val="20"/>
              </w:rPr>
            </w:pPr>
            <w:r w:rsidRPr="00DF4B91">
              <w:rPr>
                <w:rFonts w:ascii="Arial" w:hAnsi="Arial" w:cs="Arial"/>
                <w:sz w:val="20"/>
                <w:szCs w:val="20"/>
              </w:rPr>
              <w:t>Córneas delgadas se asocian con mayor riesgo de progresión.</w:t>
            </w:r>
            <w:r w:rsidR="001336C8" w:rsidRPr="001336C8">
              <w:rPr>
                <w:rFonts w:ascii="Arial" w:hAnsi="Arial" w:cs="Arial"/>
                <w:sz w:val="20"/>
                <w:szCs w:val="20"/>
              </w:rPr>
              <w:t xml:space="preserve"> </w:t>
            </w:r>
          </w:p>
          <w:p w14:paraId="2AA89C2E" w14:textId="3091DA83" w:rsidR="001336C8" w:rsidRDefault="001336C8" w:rsidP="00653997">
            <w:pPr>
              <w:rPr>
                <w:rFonts w:ascii="Arial" w:hAnsi="Arial" w:cs="Arial"/>
                <w:sz w:val="20"/>
                <w:szCs w:val="20"/>
              </w:rPr>
            </w:pPr>
            <w:r w:rsidRPr="001336C8">
              <w:rPr>
                <w:rFonts w:ascii="Arial" w:hAnsi="Arial" w:cs="Arial"/>
                <w:sz w:val="20"/>
                <w:szCs w:val="20"/>
              </w:rPr>
              <w:t>(</w:t>
            </w:r>
            <w:hyperlink r:id="rId16" w:tooltip="Diagnosis and Treatment of Normal-Tension Glaucoma" w:history="1">
              <w:r w:rsidRPr="001336C8">
                <w:rPr>
                  <w:rStyle w:val="Hipervnculo"/>
                  <w:rFonts w:ascii="Arial" w:hAnsi="Arial" w:cs="Arial"/>
                  <w:color w:val="auto"/>
                  <w:sz w:val="20"/>
                  <w:szCs w:val="20"/>
                </w:rPr>
                <w:t>AAO</w:t>
              </w:r>
            </w:hyperlink>
            <w:r w:rsidRPr="001336C8">
              <w:rPr>
                <w:rFonts w:ascii="Arial" w:hAnsi="Arial" w:cs="Arial"/>
                <w:sz w:val="20"/>
                <w:szCs w:val="20"/>
              </w:rPr>
              <w:t>) (</w:t>
            </w:r>
            <w:hyperlink r:id="rId17" w:tooltip="Glaucoma: Diagnosis and Management" w:history="1">
              <w:r w:rsidRPr="001336C8">
                <w:rPr>
                  <w:rStyle w:val="Hipervnculo"/>
                  <w:rFonts w:ascii="Arial" w:hAnsi="Arial" w:cs="Arial"/>
                  <w:color w:val="auto"/>
                  <w:sz w:val="20"/>
                  <w:szCs w:val="20"/>
                </w:rPr>
                <w:t>AAFP</w:t>
              </w:r>
            </w:hyperlink>
            <w:r w:rsidRPr="001336C8">
              <w:rPr>
                <w:rFonts w:ascii="Arial" w:hAnsi="Arial" w:cs="Arial"/>
                <w:sz w:val="20"/>
                <w:szCs w:val="20"/>
              </w:rPr>
              <w:t>)</w:t>
            </w:r>
            <w:r>
              <w:rPr>
                <w:rFonts w:ascii="Arial" w:hAnsi="Arial" w:cs="Arial"/>
                <w:sz w:val="20"/>
                <w:szCs w:val="20"/>
              </w:rPr>
              <w:t>*</w:t>
            </w:r>
          </w:p>
          <w:p w14:paraId="66789959" w14:textId="77777777" w:rsidR="00653997" w:rsidRDefault="00653997" w:rsidP="00653997">
            <w:pPr>
              <w:rPr>
                <w:rFonts w:ascii="Arial" w:hAnsi="Arial" w:cs="Arial"/>
                <w:sz w:val="20"/>
                <w:szCs w:val="20"/>
              </w:rPr>
            </w:pPr>
          </w:p>
          <w:p w14:paraId="3008250A" w14:textId="3D7773F7" w:rsidR="00653997" w:rsidRPr="00DF4B91" w:rsidRDefault="00653997" w:rsidP="00653997">
            <w:pPr>
              <w:rPr>
                <w:rFonts w:ascii="Arial" w:hAnsi="Arial" w:cs="Arial"/>
                <w:sz w:val="20"/>
                <w:szCs w:val="20"/>
              </w:rPr>
            </w:pPr>
          </w:p>
        </w:tc>
      </w:tr>
      <w:tr w:rsidR="001336C8" w:rsidRPr="00DF4B91" w14:paraId="12D4E3CC" w14:textId="77777777" w:rsidTr="00653997">
        <w:tc>
          <w:tcPr>
            <w:tcW w:w="2553" w:type="dxa"/>
            <w:hideMark/>
          </w:tcPr>
          <w:p w14:paraId="621999F8" w14:textId="77777777" w:rsidR="00DF4B91" w:rsidRPr="00DF4B91" w:rsidRDefault="00DF4B91" w:rsidP="001336C8">
            <w:pPr>
              <w:jc w:val="center"/>
              <w:rPr>
                <w:rFonts w:ascii="Arial" w:hAnsi="Arial" w:cs="Arial"/>
                <w:sz w:val="20"/>
                <w:szCs w:val="20"/>
              </w:rPr>
            </w:pPr>
            <w:r w:rsidRPr="00DF4B91">
              <w:rPr>
                <w:rStyle w:val="Textoennegrita"/>
                <w:rFonts w:ascii="Arial" w:hAnsi="Arial" w:cs="Arial"/>
                <w:sz w:val="20"/>
                <w:szCs w:val="20"/>
              </w:rPr>
              <w:t>Fotografía de segmento posterior y nervio óptico</w:t>
            </w:r>
          </w:p>
        </w:tc>
        <w:tc>
          <w:tcPr>
            <w:tcW w:w="3504" w:type="dxa"/>
            <w:hideMark/>
          </w:tcPr>
          <w:p w14:paraId="0B349F9B" w14:textId="77777777" w:rsidR="00DF4B91" w:rsidRPr="00DF4B91" w:rsidRDefault="00DF4B91">
            <w:pPr>
              <w:rPr>
                <w:rFonts w:ascii="Arial" w:hAnsi="Arial" w:cs="Arial"/>
                <w:sz w:val="20"/>
                <w:szCs w:val="20"/>
              </w:rPr>
            </w:pPr>
            <w:r w:rsidRPr="00DF4B91">
              <w:rPr>
                <w:rFonts w:ascii="Arial" w:hAnsi="Arial" w:cs="Arial"/>
                <w:sz w:val="20"/>
                <w:szCs w:val="20"/>
              </w:rPr>
              <w:t>Permite documentar el aspecto basal del nervio óptico y comparar cambios estructurales a lo largo del tiempo.</w:t>
            </w:r>
          </w:p>
        </w:tc>
        <w:tc>
          <w:tcPr>
            <w:tcW w:w="3583" w:type="dxa"/>
            <w:hideMark/>
          </w:tcPr>
          <w:p w14:paraId="7CDBAEFC" w14:textId="73BB7FBF" w:rsidR="00DF4B91" w:rsidRPr="00DF4B91" w:rsidRDefault="00DF4B91">
            <w:pPr>
              <w:rPr>
                <w:rFonts w:ascii="Arial" w:hAnsi="Arial" w:cs="Arial"/>
                <w:sz w:val="20"/>
                <w:szCs w:val="20"/>
              </w:rPr>
            </w:pPr>
            <w:r w:rsidRPr="00DF4B91">
              <w:rPr>
                <w:rFonts w:ascii="Arial" w:hAnsi="Arial" w:cs="Arial"/>
                <w:sz w:val="20"/>
                <w:szCs w:val="20"/>
              </w:rPr>
              <w:t xml:space="preserve">Sospecha de glaucoma, hemorragias del disco óptico o seguimiento de progresión estructural. Facilita la comparación seriada en controles posteriores. </w:t>
            </w:r>
            <w:r w:rsidR="001336C8" w:rsidRPr="001336C8">
              <w:rPr>
                <w:rFonts w:ascii="Arial" w:hAnsi="Arial" w:cs="Arial"/>
                <w:sz w:val="20"/>
                <w:szCs w:val="20"/>
              </w:rPr>
              <w:t>(</w:t>
            </w:r>
            <w:hyperlink r:id="rId18" w:tooltip="Diagnosis and Treatment of Normal-Tension Glaucoma" w:history="1">
              <w:r w:rsidR="001336C8" w:rsidRPr="001336C8">
                <w:rPr>
                  <w:rStyle w:val="Hipervnculo"/>
                  <w:rFonts w:ascii="Arial" w:hAnsi="Arial" w:cs="Arial"/>
                  <w:color w:val="auto"/>
                  <w:sz w:val="20"/>
                  <w:szCs w:val="20"/>
                </w:rPr>
                <w:t>AAO</w:t>
              </w:r>
            </w:hyperlink>
            <w:r w:rsidR="001336C8" w:rsidRPr="001336C8">
              <w:rPr>
                <w:rFonts w:ascii="Arial" w:hAnsi="Arial" w:cs="Arial"/>
                <w:sz w:val="20"/>
                <w:szCs w:val="20"/>
              </w:rPr>
              <w:t>) (</w:t>
            </w:r>
            <w:hyperlink r:id="rId19" w:tooltip="Glaucoma: Diagnosis and Management" w:history="1">
              <w:r w:rsidR="001336C8" w:rsidRPr="001336C8">
                <w:rPr>
                  <w:rStyle w:val="Hipervnculo"/>
                  <w:rFonts w:ascii="Arial" w:hAnsi="Arial" w:cs="Arial"/>
                  <w:color w:val="auto"/>
                  <w:sz w:val="20"/>
                  <w:szCs w:val="20"/>
                </w:rPr>
                <w:t>AAFP</w:t>
              </w:r>
            </w:hyperlink>
            <w:r w:rsidR="001336C8" w:rsidRPr="001336C8">
              <w:rPr>
                <w:rFonts w:ascii="Arial" w:hAnsi="Arial" w:cs="Arial"/>
                <w:sz w:val="20"/>
                <w:szCs w:val="20"/>
              </w:rPr>
              <w:t>)</w:t>
            </w:r>
            <w:r w:rsidR="001336C8">
              <w:rPr>
                <w:rFonts w:ascii="Arial" w:hAnsi="Arial" w:cs="Arial"/>
                <w:sz w:val="20"/>
                <w:szCs w:val="20"/>
              </w:rPr>
              <w:t>*</w:t>
            </w:r>
          </w:p>
        </w:tc>
      </w:tr>
    </w:tbl>
    <w:p w14:paraId="534AC172" w14:textId="39DD39C1" w:rsidR="001336C8" w:rsidRDefault="001336C8" w:rsidP="006465F4">
      <w:pPr>
        <w:spacing w:before="100" w:beforeAutospacing="1" w:after="100" w:afterAutospacing="1" w:line="276" w:lineRule="auto"/>
        <w:rPr>
          <w:rFonts w:ascii="Arial" w:eastAsia="Times New Roman" w:hAnsi="Arial" w:cs="Arial"/>
          <w:color w:val="C00000"/>
          <w:sz w:val="24"/>
          <w:szCs w:val="24"/>
          <w:lang w:val="es-CO" w:eastAsia="es-CO"/>
        </w:rPr>
      </w:pPr>
      <w:r>
        <w:rPr>
          <w:rFonts w:ascii="Arial" w:eastAsia="Times New Roman" w:hAnsi="Arial" w:cs="Arial"/>
          <w:noProof/>
          <w:color w:val="C00000"/>
          <w:sz w:val="24"/>
          <w:szCs w:val="24"/>
          <w:lang w:val="es-CO" w:eastAsia="es-CO"/>
        </w:rPr>
        <mc:AlternateContent>
          <mc:Choice Requires="wps">
            <w:drawing>
              <wp:anchor distT="0" distB="0" distL="114300" distR="114300" simplePos="0" relativeHeight="251661312" behindDoc="0" locked="0" layoutInCell="1" allowOverlap="1" wp14:anchorId="0BE92674" wp14:editId="0C1701FA">
                <wp:simplePos x="0" y="0"/>
                <wp:positionH relativeFrom="column">
                  <wp:posOffset>-211455</wp:posOffset>
                </wp:positionH>
                <wp:positionV relativeFrom="paragraph">
                  <wp:posOffset>227965</wp:posOffset>
                </wp:positionV>
                <wp:extent cx="6103620" cy="2480310"/>
                <wp:effectExtent l="0" t="0" r="11430" b="15240"/>
                <wp:wrapNone/>
                <wp:docPr id="2" name="Cuadro de texto 2"/>
                <wp:cNvGraphicFramePr/>
                <a:graphic xmlns:a="http://schemas.openxmlformats.org/drawingml/2006/main">
                  <a:graphicData uri="http://schemas.microsoft.com/office/word/2010/wordprocessingShape">
                    <wps:wsp>
                      <wps:cNvSpPr txBox="1"/>
                      <wps:spPr>
                        <a:xfrm>
                          <a:off x="0" y="0"/>
                          <a:ext cx="6103620" cy="2480310"/>
                        </a:xfrm>
                        <a:prstGeom prst="rect">
                          <a:avLst/>
                        </a:prstGeom>
                        <a:solidFill>
                          <a:schemeClr val="accent6">
                            <a:lumMod val="40000"/>
                            <a:lumOff val="60000"/>
                          </a:schemeClr>
                        </a:solidFill>
                        <a:ln w="19050">
                          <a:solidFill>
                            <a:schemeClr val="accent6">
                              <a:lumMod val="50000"/>
                            </a:schemeClr>
                          </a:solidFill>
                        </a:ln>
                        <a:effectLst/>
                      </wps:spPr>
                      <wps:style>
                        <a:lnRef idx="2">
                          <a:schemeClr val="accent6"/>
                        </a:lnRef>
                        <a:fillRef idx="1">
                          <a:schemeClr val="lt1"/>
                        </a:fillRef>
                        <a:effectRef idx="0">
                          <a:schemeClr val="accent6"/>
                        </a:effectRef>
                        <a:fontRef idx="minor">
                          <a:schemeClr val="dk1"/>
                        </a:fontRef>
                      </wps:style>
                      <wps:txbx>
                        <w:txbxContent>
                          <w:p w14:paraId="0B78677A" w14:textId="41CBB63D" w:rsidR="001336C8" w:rsidRPr="00653997" w:rsidRDefault="001336C8">
                            <w:pPr>
                              <w:rPr>
                                <w:rFonts w:ascii="Arial" w:hAnsi="Arial" w:cs="Arial"/>
                                <w:b/>
                                <w:bCs/>
                                <w:color w:val="000000" w:themeColor="text1"/>
                                <w:sz w:val="20"/>
                                <w:szCs w:val="20"/>
                              </w:rPr>
                            </w:pPr>
                            <w:r w:rsidRPr="00653997">
                              <w:rPr>
                                <w:rFonts w:ascii="Arial" w:hAnsi="Arial" w:cs="Arial"/>
                                <w:b/>
                                <w:bCs/>
                                <w:color w:val="000000" w:themeColor="text1"/>
                                <w:sz w:val="20"/>
                                <w:szCs w:val="20"/>
                              </w:rPr>
                              <w:t>Se recomienda considerar la solicitud inicial de estudios complementarios para glaucoma cuando se evidencien hallazgos clínicos sugestivos de daño glaucomatoso o factores de riesgo asociados, los cuales deben quedar claramente registrados en la historia clínica como justificación de la pertinencia diagnóstica y del seguimiento requerido:</w:t>
                            </w:r>
                          </w:p>
                          <w:p w14:paraId="3F1B0F69" w14:textId="512ADA16" w:rsidR="001336C8" w:rsidRPr="00653997" w:rsidRDefault="001336C8">
                            <w:pPr>
                              <w:rPr>
                                <w:rFonts w:ascii="Arial" w:hAnsi="Arial" w:cs="Arial"/>
                                <w:color w:val="000000" w:themeColor="text1"/>
                                <w:sz w:val="20"/>
                                <w:szCs w:val="20"/>
                              </w:rPr>
                            </w:pPr>
                            <w:r w:rsidRPr="00653997">
                              <w:rPr>
                                <w:rFonts w:ascii="Arial" w:hAnsi="Arial" w:cs="Arial"/>
                                <w:color w:val="000000" w:themeColor="text1"/>
                                <w:sz w:val="20"/>
                                <w:szCs w:val="20"/>
                              </w:rPr>
                              <w:t xml:space="preserve">* </w:t>
                            </w:r>
                            <w:r w:rsidRPr="00653997">
                              <w:rPr>
                                <w:rFonts w:ascii="Arial" w:hAnsi="Arial" w:cs="Arial"/>
                                <w:color w:val="000000" w:themeColor="text1"/>
                                <w:sz w:val="20"/>
                                <w:szCs w:val="20"/>
                                <w:u w:val="single"/>
                              </w:rPr>
                              <w:t>Hallazgos clínicos sugestivos de daño por glaucoma</w:t>
                            </w:r>
                          </w:p>
                          <w:p w14:paraId="31F37344"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Excavaciones del nervio óptico iguales o mayores a 0,5. </w:t>
                            </w:r>
                          </w:p>
                          <w:p w14:paraId="6399CE18" w14:textId="54C83372"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Adelgazamiento del anillo neuro-retiniano. </w:t>
                            </w:r>
                          </w:p>
                          <w:p w14:paraId="1E84591F"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Asimetría de excavaciones. </w:t>
                            </w:r>
                          </w:p>
                          <w:p w14:paraId="565BAB0A"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Presión intraocular elevada o limítrofe. </w:t>
                            </w:r>
                          </w:p>
                          <w:p w14:paraId="568401C2"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Antecedentes familiares positivos para glaucoma.</w:t>
                            </w:r>
                          </w:p>
                          <w:p w14:paraId="15BD81FE" w14:textId="4D5ED30B" w:rsidR="001336C8" w:rsidRPr="00653997" w:rsidRDefault="001336C8" w:rsidP="001336C8">
                            <w:pPr>
                              <w:spacing w:before="100" w:beforeAutospacing="1" w:after="100" w:afterAutospacing="1" w:line="276" w:lineRule="auto"/>
                              <w:rPr>
                                <w:rFonts w:ascii="Arial" w:eastAsia="Times New Roman" w:hAnsi="Arial" w:cs="Arial"/>
                                <w:color w:val="000000" w:themeColor="text1"/>
                                <w:sz w:val="20"/>
                                <w:szCs w:val="20"/>
                                <w:u w:val="single"/>
                                <w:lang w:val="es-CO" w:eastAsia="es-CO"/>
                              </w:rPr>
                            </w:pPr>
                            <w:r w:rsidRPr="00653997">
                              <w:rPr>
                                <w:rFonts w:ascii="Arial" w:eastAsia="Times New Roman" w:hAnsi="Arial" w:cs="Arial"/>
                                <w:color w:val="000000" w:themeColor="text1"/>
                                <w:sz w:val="20"/>
                                <w:szCs w:val="20"/>
                                <w:u w:val="single"/>
                                <w:lang w:val="es-CO" w:eastAsia="es-CO"/>
                              </w:rPr>
                              <w:t xml:space="preserve">*Factores de riesgo ya descritos en ítem 5.1 </w:t>
                            </w:r>
                          </w:p>
                          <w:p w14:paraId="1F0FBF4E" w14:textId="77777777" w:rsidR="001336C8" w:rsidRPr="00653997" w:rsidRDefault="001336C8">
                            <w:pPr>
                              <w:rPr>
                                <w:color w:val="385623" w:themeColor="accent6" w:themeShade="80"/>
                                <w:sz w:val="20"/>
                                <w:szCs w:val="20"/>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92674" id="_x0000_t202" coordsize="21600,21600" o:spt="202" path="m,l,21600r21600,l21600,xe">
                <v:stroke joinstyle="miter"/>
                <v:path gradientshapeok="t" o:connecttype="rect"/>
              </v:shapetype>
              <v:shape id="Cuadro de texto 2" o:spid="_x0000_s1026" type="#_x0000_t202" style="position:absolute;left:0;text-align:left;margin-left:-16.65pt;margin-top:17.95pt;width:480.6pt;height:19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" fillcolor="#c5e0b3 [1305]" strokecolor="#375623 [1609]" strokeweight="1.5pt">
                <v:textbox>
                  <w:txbxContent>
                    <w:p w14:paraId="0B78677A" w14:textId="41CBB63D" w:rsidR="001336C8" w:rsidRPr="00653997" w:rsidRDefault="001336C8">
                      <w:pPr>
                        <w:rPr>
                          <w:rFonts w:ascii="Arial" w:hAnsi="Arial" w:cs="Arial"/>
                          <w:b/>
                          <w:bCs/>
                          <w:color w:val="000000" w:themeColor="text1"/>
                          <w:sz w:val="20"/>
                          <w:szCs w:val="20"/>
                        </w:rPr>
                      </w:pPr>
                      <w:r w:rsidRPr="00653997">
                        <w:rPr>
                          <w:rFonts w:ascii="Arial" w:hAnsi="Arial" w:cs="Arial"/>
                          <w:b/>
                          <w:bCs/>
                          <w:color w:val="000000" w:themeColor="text1"/>
                          <w:sz w:val="20"/>
                          <w:szCs w:val="20"/>
                        </w:rPr>
                        <w:t>Se recomienda considerar la solicitud inicial de estudios complementarios para glaucoma cuando se evidencien hallazgos clínicos sugestivos de daño glaucomatoso o factores de riesgo asociados, los cuales deben quedar claramente registrados en la historia clínica como justificación de la pertinencia diagnóstica y del seguimiento requerido</w:t>
                      </w:r>
                      <w:r w:rsidRPr="00653997">
                        <w:rPr>
                          <w:rFonts w:ascii="Arial" w:hAnsi="Arial" w:cs="Arial"/>
                          <w:b/>
                          <w:bCs/>
                          <w:color w:val="000000" w:themeColor="text1"/>
                          <w:sz w:val="20"/>
                          <w:szCs w:val="20"/>
                        </w:rPr>
                        <w:t>:</w:t>
                      </w:r>
                    </w:p>
                    <w:p w14:paraId="3F1B0F69" w14:textId="512ADA16" w:rsidR="001336C8" w:rsidRPr="00653997" w:rsidRDefault="001336C8">
                      <w:pPr>
                        <w:rPr>
                          <w:rFonts w:ascii="Arial" w:hAnsi="Arial" w:cs="Arial"/>
                          <w:color w:val="000000" w:themeColor="text1"/>
                          <w:sz w:val="20"/>
                          <w:szCs w:val="20"/>
                        </w:rPr>
                      </w:pPr>
                      <w:r w:rsidRPr="00653997">
                        <w:rPr>
                          <w:rFonts w:ascii="Arial" w:hAnsi="Arial" w:cs="Arial"/>
                          <w:color w:val="000000" w:themeColor="text1"/>
                          <w:sz w:val="20"/>
                          <w:szCs w:val="20"/>
                        </w:rPr>
                        <w:t xml:space="preserve">* </w:t>
                      </w:r>
                      <w:r w:rsidRPr="00653997">
                        <w:rPr>
                          <w:rFonts w:ascii="Arial" w:hAnsi="Arial" w:cs="Arial"/>
                          <w:color w:val="000000" w:themeColor="text1"/>
                          <w:sz w:val="20"/>
                          <w:szCs w:val="20"/>
                          <w:u w:val="single"/>
                        </w:rPr>
                        <w:t>Hallazgos clínicos sugestivos de daño por glaucoma</w:t>
                      </w:r>
                    </w:p>
                    <w:p w14:paraId="31F37344"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Excavaciones del nervio óptico iguales o mayores a 0,5. </w:t>
                      </w:r>
                    </w:p>
                    <w:p w14:paraId="6399CE18" w14:textId="54C83372"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Adelgazamiento del anillo neuro</w:t>
                      </w:r>
                      <w:r w:rsidRPr="00653997">
                        <w:rPr>
                          <w:rFonts w:ascii="Arial" w:eastAsia="Times New Roman" w:hAnsi="Arial" w:cs="Arial"/>
                          <w:color w:val="000000" w:themeColor="text1"/>
                          <w:sz w:val="20"/>
                          <w:szCs w:val="20"/>
                          <w:lang w:val="es-CO" w:eastAsia="es-CO"/>
                        </w:rPr>
                        <w:t>-</w:t>
                      </w:r>
                      <w:r w:rsidRPr="00653997">
                        <w:rPr>
                          <w:rFonts w:ascii="Arial" w:eastAsia="Times New Roman" w:hAnsi="Arial" w:cs="Arial"/>
                          <w:color w:val="000000" w:themeColor="text1"/>
                          <w:sz w:val="20"/>
                          <w:szCs w:val="20"/>
                          <w:lang w:val="es-CO" w:eastAsia="es-CO"/>
                        </w:rPr>
                        <w:t xml:space="preserve">retiniano. </w:t>
                      </w:r>
                    </w:p>
                    <w:p w14:paraId="1E84591F"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Asimetría de excavaciones. </w:t>
                      </w:r>
                    </w:p>
                    <w:p w14:paraId="565BAB0A"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 xml:space="preserve">Presión intraocular elevada o limítrofe. </w:t>
                      </w:r>
                    </w:p>
                    <w:p w14:paraId="568401C2" w14:textId="77777777" w:rsidR="001336C8" w:rsidRPr="00653997" w:rsidRDefault="001336C8" w:rsidP="00390AC6">
                      <w:pPr>
                        <w:numPr>
                          <w:ilvl w:val="0"/>
                          <w:numId w:val="9"/>
                        </w:numPr>
                        <w:spacing w:before="100" w:beforeAutospacing="1" w:after="100" w:afterAutospacing="1" w:line="276" w:lineRule="auto"/>
                        <w:rPr>
                          <w:rFonts w:ascii="Arial" w:eastAsia="Times New Roman" w:hAnsi="Arial" w:cs="Arial"/>
                          <w:color w:val="000000" w:themeColor="text1"/>
                          <w:sz w:val="20"/>
                          <w:szCs w:val="20"/>
                          <w:lang w:val="es-CO" w:eastAsia="es-CO"/>
                        </w:rPr>
                      </w:pPr>
                      <w:r w:rsidRPr="00653997">
                        <w:rPr>
                          <w:rFonts w:ascii="Arial" w:eastAsia="Times New Roman" w:hAnsi="Arial" w:cs="Arial"/>
                          <w:color w:val="000000" w:themeColor="text1"/>
                          <w:sz w:val="20"/>
                          <w:szCs w:val="20"/>
                          <w:lang w:val="es-CO" w:eastAsia="es-CO"/>
                        </w:rPr>
                        <w:t>Antecedentes familiares positivos para glaucoma.</w:t>
                      </w:r>
                    </w:p>
                    <w:p w14:paraId="15BD81FE" w14:textId="4D5ED30B" w:rsidR="001336C8" w:rsidRPr="00653997" w:rsidRDefault="001336C8" w:rsidP="001336C8">
                      <w:pPr>
                        <w:spacing w:before="100" w:beforeAutospacing="1" w:after="100" w:afterAutospacing="1" w:line="276" w:lineRule="auto"/>
                        <w:rPr>
                          <w:rFonts w:ascii="Arial" w:eastAsia="Times New Roman" w:hAnsi="Arial" w:cs="Arial"/>
                          <w:color w:val="000000" w:themeColor="text1"/>
                          <w:sz w:val="20"/>
                          <w:szCs w:val="20"/>
                          <w:u w:val="single"/>
                          <w:lang w:val="es-CO" w:eastAsia="es-CO"/>
                        </w:rPr>
                      </w:pPr>
                      <w:r w:rsidRPr="00653997">
                        <w:rPr>
                          <w:rFonts w:ascii="Arial" w:eastAsia="Times New Roman" w:hAnsi="Arial" w:cs="Arial"/>
                          <w:color w:val="000000" w:themeColor="text1"/>
                          <w:sz w:val="20"/>
                          <w:szCs w:val="20"/>
                          <w:u w:val="single"/>
                          <w:lang w:val="es-CO" w:eastAsia="es-CO"/>
                        </w:rPr>
                        <w:t>*Factores de riesgo ya descritos en ítem 5.1</w:t>
                      </w:r>
                      <w:r w:rsidRPr="00653997">
                        <w:rPr>
                          <w:rFonts w:ascii="Arial" w:eastAsia="Times New Roman" w:hAnsi="Arial" w:cs="Arial"/>
                          <w:color w:val="000000" w:themeColor="text1"/>
                          <w:sz w:val="20"/>
                          <w:szCs w:val="20"/>
                          <w:u w:val="single"/>
                          <w:lang w:val="es-CO" w:eastAsia="es-CO"/>
                        </w:rPr>
                        <w:t xml:space="preserve"> </w:t>
                      </w:r>
                    </w:p>
                    <w:p w14:paraId="1F0FBF4E" w14:textId="77777777" w:rsidR="001336C8" w:rsidRPr="00653997" w:rsidRDefault="001336C8">
                      <w:pPr>
                        <w:rPr>
                          <w:color w:val="385623" w:themeColor="accent6" w:themeShade="80"/>
                          <w:sz w:val="20"/>
                          <w:szCs w:val="20"/>
                          <w:lang w:val="es-CO"/>
                        </w:rPr>
                      </w:pPr>
                    </w:p>
                  </w:txbxContent>
                </v:textbox>
              </v:shape>
            </w:pict>
          </mc:Fallback>
        </mc:AlternateContent>
      </w:r>
    </w:p>
    <w:p w14:paraId="7CCF9D93" w14:textId="43DD0152" w:rsidR="001336C8" w:rsidRDefault="001336C8" w:rsidP="006465F4">
      <w:pPr>
        <w:spacing w:before="100" w:beforeAutospacing="1" w:after="100" w:afterAutospacing="1" w:line="276" w:lineRule="auto"/>
        <w:rPr>
          <w:rFonts w:ascii="Arial" w:eastAsia="Times New Roman" w:hAnsi="Arial" w:cs="Arial"/>
          <w:color w:val="C00000"/>
          <w:sz w:val="24"/>
          <w:szCs w:val="24"/>
          <w:lang w:val="es-CO" w:eastAsia="es-CO"/>
        </w:rPr>
      </w:pPr>
    </w:p>
    <w:p w14:paraId="10887671" w14:textId="5E3483BF" w:rsidR="001336C8" w:rsidRDefault="001336C8" w:rsidP="006465F4">
      <w:pPr>
        <w:spacing w:before="100" w:beforeAutospacing="1" w:after="100" w:afterAutospacing="1" w:line="276" w:lineRule="auto"/>
        <w:rPr>
          <w:rFonts w:ascii="Arial" w:eastAsia="Times New Roman" w:hAnsi="Arial" w:cs="Arial"/>
          <w:color w:val="C00000"/>
          <w:sz w:val="24"/>
          <w:szCs w:val="24"/>
          <w:lang w:val="es-CO" w:eastAsia="es-CO"/>
        </w:rPr>
      </w:pPr>
    </w:p>
    <w:p w14:paraId="1FAF2728" w14:textId="1D7DEB2C" w:rsidR="001336C8" w:rsidRDefault="001336C8" w:rsidP="006465F4">
      <w:pPr>
        <w:spacing w:before="100" w:beforeAutospacing="1" w:after="100" w:afterAutospacing="1" w:line="276" w:lineRule="auto"/>
        <w:rPr>
          <w:rFonts w:ascii="Arial" w:eastAsia="Times New Roman" w:hAnsi="Arial" w:cs="Arial"/>
          <w:color w:val="C00000"/>
          <w:sz w:val="24"/>
          <w:szCs w:val="24"/>
          <w:lang w:val="es-CO" w:eastAsia="es-CO"/>
        </w:rPr>
      </w:pPr>
    </w:p>
    <w:p w14:paraId="02B3AEF6" w14:textId="424BBAC8" w:rsidR="001336C8" w:rsidRDefault="001336C8" w:rsidP="006465F4">
      <w:pPr>
        <w:spacing w:before="100" w:beforeAutospacing="1" w:after="100" w:afterAutospacing="1" w:line="276" w:lineRule="auto"/>
        <w:rPr>
          <w:rFonts w:ascii="Arial" w:eastAsia="Times New Roman" w:hAnsi="Arial" w:cs="Arial"/>
          <w:color w:val="C00000"/>
          <w:sz w:val="24"/>
          <w:szCs w:val="24"/>
          <w:lang w:val="es-CO" w:eastAsia="es-CO"/>
        </w:rPr>
      </w:pPr>
    </w:p>
    <w:p w14:paraId="6E4952F6" w14:textId="0E00A314" w:rsidR="001336C8" w:rsidRDefault="001336C8" w:rsidP="006465F4">
      <w:pPr>
        <w:spacing w:before="100" w:beforeAutospacing="1" w:after="100" w:afterAutospacing="1" w:line="276" w:lineRule="auto"/>
        <w:rPr>
          <w:rFonts w:ascii="Arial" w:eastAsia="Times New Roman" w:hAnsi="Arial" w:cs="Arial"/>
          <w:color w:val="C00000"/>
          <w:sz w:val="24"/>
          <w:szCs w:val="24"/>
          <w:lang w:val="es-CO" w:eastAsia="es-CO"/>
        </w:rPr>
      </w:pPr>
    </w:p>
    <w:p w14:paraId="42C2A1D1" w14:textId="77777777" w:rsidR="00FF2BE9" w:rsidRDefault="00FF2BE9" w:rsidP="00FF2BE9">
      <w:pPr>
        <w:pStyle w:val="Ttulo1"/>
        <w:spacing w:before="0" w:line="240" w:lineRule="auto"/>
        <w:jc w:val="both"/>
        <w:rPr>
          <w:rFonts w:ascii="Arial" w:hAnsi="Arial" w:cs="Arial"/>
          <w:szCs w:val="24"/>
          <w:lang w:val="es-CO"/>
        </w:rPr>
      </w:pPr>
    </w:p>
    <w:p w14:paraId="4395B541" w14:textId="77777777" w:rsidR="00FF2BE9" w:rsidRDefault="00FF2BE9" w:rsidP="00FF2BE9">
      <w:pPr>
        <w:pStyle w:val="Ttulo1"/>
        <w:spacing w:before="0" w:line="240" w:lineRule="auto"/>
        <w:jc w:val="both"/>
        <w:rPr>
          <w:rFonts w:ascii="Arial" w:hAnsi="Arial" w:cs="Arial"/>
          <w:szCs w:val="24"/>
          <w:lang w:val="es-CO"/>
        </w:rPr>
      </w:pPr>
    </w:p>
    <w:p w14:paraId="6ECC6D1A" w14:textId="77777777" w:rsidR="00FF2BE9" w:rsidRDefault="00FF2BE9" w:rsidP="00FF2BE9">
      <w:pPr>
        <w:pStyle w:val="Ttulo1"/>
        <w:spacing w:before="0" w:line="240" w:lineRule="auto"/>
        <w:jc w:val="both"/>
        <w:rPr>
          <w:rFonts w:ascii="Arial" w:hAnsi="Arial" w:cs="Arial"/>
          <w:szCs w:val="24"/>
          <w:lang w:val="es-CO"/>
        </w:rPr>
      </w:pPr>
    </w:p>
    <w:p w14:paraId="7D041FA4" w14:textId="42742783" w:rsidR="00FF2BE9" w:rsidRPr="00FF2BE9" w:rsidRDefault="003725C6" w:rsidP="003725C6">
      <w:pPr>
        <w:pStyle w:val="Prrafodelista"/>
        <w:ind w:left="0"/>
        <w:rPr>
          <w:rFonts w:ascii="Arial" w:hAnsi="Arial" w:cs="Arial"/>
          <w:b/>
          <w:bCs/>
          <w:sz w:val="24"/>
          <w:szCs w:val="24"/>
          <w:lang w:val="es-CO"/>
        </w:rPr>
      </w:pPr>
      <w:r>
        <w:rPr>
          <w:rFonts w:ascii="Arial" w:hAnsi="Arial" w:cs="Arial"/>
          <w:b/>
          <w:bCs/>
          <w:sz w:val="24"/>
          <w:szCs w:val="24"/>
          <w:lang w:val="es-CO"/>
        </w:rPr>
        <w:t xml:space="preserve">5.3.2 </w:t>
      </w:r>
      <w:r w:rsidR="00FF2BE9" w:rsidRPr="00FF2BE9">
        <w:rPr>
          <w:rFonts w:ascii="Arial" w:hAnsi="Arial" w:cs="Arial"/>
          <w:b/>
          <w:bCs/>
          <w:sz w:val="24"/>
          <w:szCs w:val="24"/>
          <w:lang w:val="es-CO"/>
        </w:rPr>
        <w:t>Diagnóstico de GLAUCOMA PRIMARIO DE ÁNGULO ABIERTO</w:t>
      </w:r>
    </w:p>
    <w:p w14:paraId="223EC95F" w14:textId="77777777" w:rsidR="00FF2BE9" w:rsidRPr="00FF2BE9" w:rsidRDefault="00FF2BE9" w:rsidP="00FF2BE9">
      <w:pPr>
        <w:spacing w:after="0" w:line="240" w:lineRule="auto"/>
        <w:rPr>
          <w:rFonts w:ascii="Arial" w:hAnsi="Arial" w:cs="Arial"/>
          <w:sz w:val="24"/>
          <w:szCs w:val="24"/>
          <w:lang w:val="es-CO"/>
        </w:rPr>
      </w:pPr>
    </w:p>
    <w:p w14:paraId="5DBFFF7A" w14:textId="07115F8B" w:rsidR="00FF2BE9" w:rsidRPr="00FF2BE9" w:rsidRDefault="00FF2BE9" w:rsidP="00FF2BE9">
      <w:pPr>
        <w:spacing w:after="0" w:line="240" w:lineRule="auto"/>
        <w:rPr>
          <w:rFonts w:ascii="Arial" w:hAnsi="Arial" w:cs="Arial"/>
          <w:sz w:val="24"/>
          <w:szCs w:val="24"/>
          <w:lang w:val="es-CO"/>
        </w:rPr>
      </w:pPr>
      <w:r>
        <w:rPr>
          <w:rFonts w:ascii="Arial" w:hAnsi="Arial" w:cs="Arial"/>
          <w:sz w:val="24"/>
          <w:szCs w:val="24"/>
          <w:lang w:val="es-CO"/>
        </w:rPr>
        <w:t>Tras evaluación oftalmológica se e</w:t>
      </w:r>
      <w:r w:rsidRPr="00FF2BE9">
        <w:rPr>
          <w:rFonts w:ascii="Arial" w:hAnsi="Arial" w:cs="Arial"/>
          <w:sz w:val="24"/>
          <w:szCs w:val="24"/>
          <w:lang w:val="es-CO"/>
        </w:rPr>
        <w:t>videncia de alguno o varios de los siguientes daños en el nervio óptico</w:t>
      </w:r>
      <w:r>
        <w:rPr>
          <w:rFonts w:ascii="Arial" w:hAnsi="Arial" w:cs="Arial"/>
          <w:sz w:val="24"/>
          <w:szCs w:val="24"/>
          <w:lang w:val="es-CO"/>
        </w:rPr>
        <w:t>:</w:t>
      </w:r>
    </w:p>
    <w:p w14:paraId="29B8CD7A" w14:textId="77777777" w:rsidR="00FF2BE9" w:rsidRPr="00FF2BE9" w:rsidRDefault="00FF2BE9" w:rsidP="00FF2BE9">
      <w:pPr>
        <w:spacing w:after="0" w:line="240" w:lineRule="auto"/>
        <w:rPr>
          <w:rFonts w:ascii="Arial" w:hAnsi="Arial" w:cs="Arial"/>
          <w:sz w:val="24"/>
          <w:szCs w:val="24"/>
          <w:lang w:val="es-CO"/>
        </w:rPr>
      </w:pPr>
    </w:p>
    <w:p w14:paraId="31AF9936" w14:textId="77777777" w:rsidR="00FF2BE9" w:rsidRPr="00FF2BE9" w:rsidRDefault="00FF2BE9" w:rsidP="00390AC6">
      <w:pPr>
        <w:pStyle w:val="Prrafodelista"/>
        <w:numPr>
          <w:ilvl w:val="0"/>
          <w:numId w:val="13"/>
        </w:numPr>
        <w:spacing w:after="0" w:line="240" w:lineRule="auto"/>
        <w:rPr>
          <w:rFonts w:ascii="Arial" w:hAnsi="Arial" w:cs="Arial"/>
          <w:sz w:val="24"/>
          <w:szCs w:val="24"/>
          <w:lang w:val="es-CO"/>
        </w:rPr>
      </w:pPr>
      <w:r w:rsidRPr="00FF2BE9">
        <w:rPr>
          <w:rFonts w:ascii="Arial" w:hAnsi="Arial" w:cs="Arial"/>
          <w:sz w:val="24"/>
          <w:szCs w:val="24"/>
          <w:lang w:val="es-CO"/>
        </w:rPr>
        <w:t>Anormalidades estructurales del disco óptico o capa de fibras nerviosas retinales:</w:t>
      </w:r>
    </w:p>
    <w:p w14:paraId="389588EE" w14:textId="77777777" w:rsidR="00FF2BE9" w:rsidRPr="00FF2BE9" w:rsidRDefault="00FF2BE9" w:rsidP="00FF2BE9">
      <w:pPr>
        <w:pStyle w:val="Prrafodelista"/>
        <w:spacing w:after="0" w:line="240" w:lineRule="auto"/>
        <w:rPr>
          <w:rFonts w:ascii="Arial" w:hAnsi="Arial" w:cs="Arial"/>
          <w:sz w:val="24"/>
          <w:szCs w:val="24"/>
          <w:lang w:val="es-CO"/>
        </w:rPr>
      </w:pPr>
    </w:p>
    <w:p w14:paraId="5BB2E3E8" w14:textId="77777777" w:rsidR="00FF2BE9" w:rsidRPr="00FF2BE9" w:rsidRDefault="00FF2BE9" w:rsidP="00390AC6">
      <w:pPr>
        <w:pStyle w:val="Prrafodelista"/>
        <w:numPr>
          <w:ilvl w:val="0"/>
          <w:numId w:val="14"/>
        </w:numPr>
        <w:spacing w:after="0" w:line="276" w:lineRule="auto"/>
        <w:rPr>
          <w:rFonts w:ascii="Arial" w:hAnsi="Arial" w:cs="Arial"/>
          <w:sz w:val="24"/>
          <w:szCs w:val="24"/>
          <w:lang w:val="es-CO"/>
        </w:rPr>
      </w:pPr>
      <w:r w:rsidRPr="00FF2BE9">
        <w:rPr>
          <w:rFonts w:ascii="Arial" w:hAnsi="Arial" w:cs="Arial"/>
          <w:sz w:val="24"/>
          <w:szCs w:val="24"/>
          <w:lang w:val="es-CO"/>
        </w:rPr>
        <w:t>Adelgazamiento difuso, estrechez focalizada o escotadura del anillo neuroretinal del disco óptico, especialmente en los polos inferior o superior.</w:t>
      </w:r>
    </w:p>
    <w:p w14:paraId="78DE2620" w14:textId="77777777" w:rsidR="00FF2BE9" w:rsidRPr="00FF2BE9" w:rsidRDefault="00FF2BE9" w:rsidP="00390AC6">
      <w:pPr>
        <w:pStyle w:val="Prrafodelista"/>
        <w:numPr>
          <w:ilvl w:val="0"/>
          <w:numId w:val="14"/>
        </w:numPr>
        <w:spacing w:after="0" w:line="276" w:lineRule="auto"/>
        <w:rPr>
          <w:rFonts w:ascii="Arial" w:hAnsi="Arial" w:cs="Arial"/>
          <w:sz w:val="24"/>
          <w:szCs w:val="24"/>
          <w:lang w:val="es-CO"/>
        </w:rPr>
      </w:pPr>
      <w:r w:rsidRPr="00FF2BE9">
        <w:rPr>
          <w:rFonts w:ascii="Arial" w:hAnsi="Arial" w:cs="Arial"/>
          <w:sz w:val="24"/>
          <w:szCs w:val="24"/>
          <w:lang w:val="es-CO"/>
        </w:rPr>
        <w:t>Progresión documentada de la excavación del disco óptico</w:t>
      </w:r>
    </w:p>
    <w:p w14:paraId="7D699A93" w14:textId="77777777" w:rsidR="00FF2BE9" w:rsidRPr="00FF2BE9" w:rsidRDefault="00FF2BE9" w:rsidP="00390AC6">
      <w:pPr>
        <w:pStyle w:val="Prrafodelista"/>
        <w:numPr>
          <w:ilvl w:val="0"/>
          <w:numId w:val="14"/>
        </w:numPr>
        <w:spacing w:after="0" w:line="276" w:lineRule="auto"/>
        <w:rPr>
          <w:rFonts w:ascii="Arial" w:hAnsi="Arial" w:cs="Arial"/>
          <w:sz w:val="24"/>
          <w:szCs w:val="24"/>
          <w:lang w:val="es-CO"/>
        </w:rPr>
      </w:pPr>
      <w:r w:rsidRPr="00FF2BE9">
        <w:rPr>
          <w:rFonts w:ascii="Arial" w:hAnsi="Arial" w:cs="Arial"/>
          <w:sz w:val="24"/>
          <w:szCs w:val="24"/>
          <w:lang w:val="es-CO"/>
        </w:rPr>
        <w:lastRenderedPageBreak/>
        <w:t>Anormalidades difusas o localizadas de la capa de fibras nerviosas retinales peripapilares, especialmente en los polos inferior y superior.</w:t>
      </w:r>
    </w:p>
    <w:p w14:paraId="575BEA78" w14:textId="77777777" w:rsidR="00FF2BE9" w:rsidRPr="00FF2BE9" w:rsidRDefault="00FF2BE9" w:rsidP="00390AC6">
      <w:pPr>
        <w:pStyle w:val="Prrafodelista"/>
        <w:numPr>
          <w:ilvl w:val="0"/>
          <w:numId w:val="14"/>
        </w:numPr>
        <w:spacing w:after="0" w:line="276" w:lineRule="auto"/>
        <w:rPr>
          <w:rFonts w:ascii="Arial" w:hAnsi="Arial" w:cs="Arial"/>
          <w:sz w:val="24"/>
          <w:szCs w:val="24"/>
          <w:lang w:val="es-CO"/>
        </w:rPr>
      </w:pPr>
      <w:r w:rsidRPr="00FF2BE9">
        <w:rPr>
          <w:rFonts w:ascii="Arial" w:hAnsi="Arial" w:cs="Arial"/>
          <w:sz w:val="24"/>
          <w:szCs w:val="24"/>
          <w:lang w:val="es-CO"/>
        </w:rPr>
        <w:t>Hemorragias en el anillo neuroretinal o capa de fibras nerviosas retinales peripapilares</w:t>
      </w:r>
    </w:p>
    <w:p w14:paraId="7C3EDB2D" w14:textId="5C77FA93" w:rsidR="00FF2BE9" w:rsidRDefault="00FF2BE9" w:rsidP="00390AC6">
      <w:pPr>
        <w:pStyle w:val="Prrafodelista"/>
        <w:numPr>
          <w:ilvl w:val="0"/>
          <w:numId w:val="14"/>
        </w:numPr>
        <w:spacing w:after="0" w:line="276" w:lineRule="auto"/>
        <w:rPr>
          <w:rFonts w:ascii="Arial" w:hAnsi="Arial" w:cs="Arial"/>
          <w:sz w:val="24"/>
          <w:szCs w:val="24"/>
          <w:lang w:val="es-CO"/>
        </w:rPr>
      </w:pPr>
      <w:r w:rsidRPr="00FF2BE9">
        <w:rPr>
          <w:rFonts w:ascii="Arial" w:hAnsi="Arial" w:cs="Arial"/>
          <w:sz w:val="24"/>
          <w:szCs w:val="24"/>
          <w:lang w:val="es-CO"/>
        </w:rPr>
        <w:t>Asimetría del anillo neuroretinal del disco óptico en los dos ojos consistente con pérdida de tejido neuronal.</w:t>
      </w:r>
    </w:p>
    <w:p w14:paraId="01D4CC32" w14:textId="77777777" w:rsidR="00FF2BE9" w:rsidRPr="00FF2BE9" w:rsidRDefault="00FF2BE9" w:rsidP="00FF2BE9">
      <w:pPr>
        <w:pStyle w:val="Prrafodelista"/>
        <w:spacing w:after="0" w:line="276" w:lineRule="auto"/>
        <w:ind w:left="1440"/>
        <w:rPr>
          <w:rFonts w:ascii="Arial" w:hAnsi="Arial" w:cs="Arial"/>
          <w:sz w:val="24"/>
          <w:szCs w:val="24"/>
          <w:lang w:val="es-CO"/>
        </w:rPr>
      </w:pPr>
    </w:p>
    <w:p w14:paraId="126B4888" w14:textId="77777777" w:rsidR="00FF2BE9" w:rsidRPr="00FF2BE9" w:rsidRDefault="00FF2BE9" w:rsidP="00390AC6">
      <w:pPr>
        <w:pStyle w:val="Prrafodelista"/>
        <w:numPr>
          <w:ilvl w:val="0"/>
          <w:numId w:val="13"/>
        </w:numPr>
        <w:spacing w:after="0" w:line="276" w:lineRule="auto"/>
        <w:rPr>
          <w:rFonts w:ascii="Arial" w:hAnsi="Arial" w:cs="Arial"/>
          <w:sz w:val="24"/>
          <w:szCs w:val="24"/>
          <w:lang w:val="es-CO"/>
        </w:rPr>
      </w:pPr>
      <w:r w:rsidRPr="00FF2BE9">
        <w:rPr>
          <w:rFonts w:ascii="Arial" w:hAnsi="Arial" w:cs="Arial"/>
          <w:sz w:val="24"/>
          <w:szCs w:val="24"/>
          <w:lang w:val="es-CO"/>
        </w:rPr>
        <w:t>Anormalidades funcionales representadas en la campimetría:</w:t>
      </w:r>
    </w:p>
    <w:p w14:paraId="38CA548F" w14:textId="77777777" w:rsidR="00FF2BE9" w:rsidRPr="00FF2BE9" w:rsidRDefault="00FF2BE9" w:rsidP="00FF2BE9">
      <w:pPr>
        <w:pStyle w:val="Prrafodelista"/>
        <w:spacing w:after="0" w:line="276" w:lineRule="auto"/>
        <w:rPr>
          <w:rFonts w:ascii="Arial" w:hAnsi="Arial" w:cs="Arial"/>
          <w:sz w:val="24"/>
          <w:szCs w:val="24"/>
          <w:lang w:val="es-CO"/>
        </w:rPr>
      </w:pPr>
    </w:p>
    <w:p w14:paraId="451AD2E8" w14:textId="79BB9655" w:rsidR="00FF2BE9" w:rsidRPr="00FF2BE9" w:rsidRDefault="00FF2BE9" w:rsidP="00390AC6">
      <w:pPr>
        <w:pStyle w:val="Prrafodelista"/>
        <w:numPr>
          <w:ilvl w:val="0"/>
          <w:numId w:val="15"/>
        </w:numPr>
        <w:spacing w:after="0" w:line="276" w:lineRule="auto"/>
        <w:rPr>
          <w:rFonts w:ascii="Arial" w:hAnsi="Arial" w:cs="Arial"/>
          <w:sz w:val="24"/>
          <w:szCs w:val="24"/>
          <w:lang w:val="es-CO"/>
        </w:rPr>
      </w:pPr>
      <w:r w:rsidRPr="00FF2BE9">
        <w:rPr>
          <w:rFonts w:ascii="Arial" w:hAnsi="Arial" w:cs="Arial"/>
          <w:sz w:val="24"/>
          <w:szCs w:val="24"/>
          <w:lang w:val="es-CO"/>
        </w:rPr>
        <w:t>Daño del campo visual consistente con daño de la capa de fibras nerviosas escalón nasal, defectos visuales arqueados o depresión paracentral en grupos de puntos probados)</w:t>
      </w:r>
    </w:p>
    <w:p w14:paraId="3119E9C5" w14:textId="77777777" w:rsidR="00FF2BE9" w:rsidRPr="00FF2BE9" w:rsidRDefault="00FF2BE9" w:rsidP="00390AC6">
      <w:pPr>
        <w:pStyle w:val="Prrafodelista"/>
        <w:numPr>
          <w:ilvl w:val="0"/>
          <w:numId w:val="15"/>
        </w:numPr>
        <w:spacing w:after="0" w:line="276" w:lineRule="auto"/>
        <w:rPr>
          <w:rFonts w:ascii="Arial" w:hAnsi="Arial" w:cs="Arial"/>
          <w:sz w:val="24"/>
          <w:szCs w:val="24"/>
          <w:lang w:val="es-CO"/>
        </w:rPr>
      </w:pPr>
      <w:r w:rsidRPr="00FF2BE9">
        <w:rPr>
          <w:rFonts w:ascii="Arial" w:hAnsi="Arial" w:cs="Arial"/>
          <w:sz w:val="24"/>
          <w:szCs w:val="24"/>
          <w:lang w:val="es-CO"/>
        </w:rPr>
        <w:t>Pérdidas en el campo visual en el hemicampo superior que sea diferente comparado con el hemicampo inferior, a través de la línea media horizontal (casos leves a moderados)</w:t>
      </w:r>
    </w:p>
    <w:p w14:paraId="1722E0AB" w14:textId="77777777" w:rsidR="00FF2BE9" w:rsidRPr="00FF2BE9" w:rsidRDefault="00FF2BE9" w:rsidP="00FF2BE9">
      <w:pPr>
        <w:spacing w:after="0" w:line="240" w:lineRule="auto"/>
        <w:rPr>
          <w:rFonts w:ascii="Arial" w:hAnsi="Arial" w:cs="Arial"/>
          <w:sz w:val="24"/>
          <w:szCs w:val="24"/>
          <w:lang w:val="es-CO"/>
        </w:rPr>
      </w:pPr>
    </w:p>
    <w:p w14:paraId="3011CB20" w14:textId="77777777" w:rsidR="00FF2BE9" w:rsidRPr="00FF2BE9" w:rsidRDefault="00FF2BE9" w:rsidP="00390AC6">
      <w:pPr>
        <w:pStyle w:val="Prrafodelista"/>
        <w:numPr>
          <w:ilvl w:val="0"/>
          <w:numId w:val="16"/>
        </w:numPr>
        <w:spacing w:after="0" w:line="240" w:lineRule="auto"/>
        <w:rPr>
          <w:rFonts w:ascii="Arial" w:hAnsi="Arial" w:cs="Arial"/>
          <w:sz w:val="24"/>
          <w:szCs w:val="24"/>
          <w:lang w:val="es-CO"/>
        </w:rPr>
      </w:pPr>
      <w:r w:rsidRPr="00FF2BE9">
        <w:rPr>
          <w:rFonts w:ascii="Arial" w:hAnsi="Arial" w:cs="Arial"/>
          <w:sz w:val="24"/>
          <w:szCs w:val="24"/>
          <w:lang w:val="es-CO"/>
        </w:rPr>
        <w:t>Inicio en edad adulta</w:t>
      </w:r>
    </w:p>
    <w:p w14:paraId="35AA5DA6" w14:textId="77777777" w:rsidR="00FF2BE9" w:rsidRPr="00FF2BE9" w:rsidRDefault="00FF2BE9" w:rsidP="00390AC6">
      <w:pPr>
        <w:pStyle w:val="Prrafodelista"/>
        <w:numPr>
          <w:ilvl w:val="0"/>
          <w:numId w:val="16"/>
        </w:numPr>
        <w:spacing w:after="0" w:line="240" w:lineRule="auto"/>
        <w:rPr>
          <w:rFonts w:ascii="Arial" w:hAnsi="Arial" w:cs="Arial"/>
          <w:sz w:val="24"/>
          <w:szCs w:val="24"/>
          <w:lang w:val="es-CO"/>
        </w:rPr>
      </w:pPr>
      <w:r w:rsidRPr="00FF2BE9">
        <w:rPr>
          <w:rFonts w:ascii="Arial" w:hAnsi="Arial" w:cs="Arial"/>
          <w:sz w:val="24"/>
          <w:szCs w:val="24"/>
          <w:lang w:val="es-CO"/>
        </w:rPr>
        <w:t>Ángulo abierto de la cámara anterior</w:t>
      </w:r>
    </w:p>
    <w:p w14:paraId="63D766AB" w14:textId="4CFEA08B" w:rsidR="00FF2BE9" w:rsidRDefault="00FF2BE9" w:rsidP="00390AC6">
      <w:pPr>
        <w:pStyle w:val="Prrafodelista"/>
        <w:numPr>
          <w:ilvl w:val="0"/>
          <w:numId w:val="16"/>
        </w:numPr>
        <w:spacing w:after="0" w:line="240" w:lineRule="auto"/>
        <w:rPr>
          <w:rFonts w:ascii="Arial" w:hAnsi="Arial" w:cs="Arial"/>
          <w:sz w:val="24"/>
          <w:szCs w:val="24"/>
          <w:lang w:val="es-CO"/>
        </w:rPr>
      </w:pPr>
      <w:r w:rsidRPr="00FF2BE9">
        <w:rPr>
          <w:rFonts w:ascii="Arial" w:hAnsi="Arial" w:cs="Arial"/>
          <w:sz w:val="24"/>
          <w:szCs w:val="24"/>
          <w:lang w:val="es-CO"/>
        </w:rPr>
        <w:t>Ausencia de otras explicaciones conocidas (p. ejemplo glaucoma secundario) para los cambios glaucomatosos progresivos del nervio óptico (por ejemplo, dispersión pigmentaria, pseudoexfoliación, uveítis)</w:t>
      </w:r>
    </w:p>
    <w:p w14:paraId="5F61D7B3" w14:textId="77777777" w:rsidR="00F43480" w:rsidRDefault="00F43480" w:rsidP="00F43480">
      <w:pPr>
        <w:pStyle w:val="Prrafodelista"/>
        <w:spacing w:after="0" w:line="240" w:lineRule="auto"/>
        <w:rPr>
          <w:rFonts w:ascii="Arial" w:hAnsi="Arial" w:cs="Arial"/>
          <w:sz w:val="24"/>
          <w:szCs w:val="24"/>
          <w:lang w:val="es-CO"/>
        </w:rPr>
      </w:pPr>
    </w:p>
    <w:p w14:paraId="20AB09CB" w14:textId="77777777" w:rsidR="003725C6" w:rsidRDefault="003725C6" w:rsidP="003725C6">
      <w:pPr>
        <w:pStyle w:val="Prrafodelista"/>
        <w:spacing w:after="0" w:line="240" w:lineRule="auto"/>
        <w:rPr>
          <w:rFonts w:ascii="Arial" w:hAnsi="Arial" w:cs="Arial"/>
          <w:sz w:val="24"/>
          <w:szCs w:val="24"/>
          <w:lang w:val="es-CO"/>
        </w:rPr>
      </w:pPr>
    </w:p>
    <w:p w14:paraId="083B04F1" w14:textId="43250DED" w:rsidR="00BD3CA9" w:rsidRPr="003F7863" w:rsidRDefault="003F7863" w:rsidP="00390AC6">
      <w:pPr>
        <w:pStyle w:val="Ttulo1"/>
        <w:numPr>
          <w:ilvl w:val="1"/>
          <w:numId w:val="17"/>
        </w:numPr>
        <w:spacing w:before="0" w:line="240" w:lineRule="auto"/>
        <w:jc w:val="both"/>
        <w:rPr>
          <w:rFonts w:ascii="Arial" w:hAnsi="Arial" w:cs="Arial"/>
          <w:bCs/>
          <w:szCs w:val="24"/>
          <w:u w:val="single"/>
          <w:lang w:val="es-CO"/>
        </w:rPr>
      </w:pPr>
      <w:r>
        <w:rPr>
          <w:rFonts w:ascii="Arial" w:hAnsi="Arial" w:cs="Arial"/>
          <w:bCs/>
          <w:szCs w:val="24"/>
          <w:u w:val="single"/>
          <w:lang w:val="es-CO"/>
        </w:rPr>
        <w:t>TRATAMIENTO</w:t>
      </w:r>
    </w:p>
    <w:p w14:paraId="5B394387" w14:textId="45AD5CAF" w:rsidR="00BD3CA9" w:rsidRDefault="00BD3CA9" w:rsidP="00BD3CA9">
      <w:pPr>
        <w:spacing w:after="0" w:line="240" w:lineRule="auto"/>
        <w:rPr>
          <w:rFonts w:ascii="Arial" w:hAnsi="Arial" w:cs="Arial"/>
          <w:sz w:val="24"/>
          <w:szCs w:val="24"/>
          <w:lang w:val="es-CO"/>
        </w:rPr>
      </w:pPr>
    </w:p>
    <w:p w14:paraId="562E91A9" w14:textId="0D52F8E1" w:rsidR="003F7863" w:rsidRPr="003F7863" w:rsidRDefault="003F7863" w:rsidP="00BD3CA9">
      <w:pPr>
        <w:spacing w:after="0" w:line="240" w:lineRule="auto"/>
        <w:rPr>
          <w:rFonts w:ascii="Arial" w:hAnsi="Arial" w:cs="Arial"/>
          <w:b/>
          <w:bCs/>
          <w:sz w:val="24"/>
          <w:szCs w:val="24"/>
          <w:lang w:val="es-CO"/>
        </w:rPr>
      </w:pPr>
      <w:r w:rsidRPr="003F7863">
        <w:rPr>
          <w:rFonts w:ascii="Arial" w:hAnsi="Arial" w:cs="Arial"/>
          <w:b/>
          <w:bCs/>
          <w:sz w:val="24"/>
          <w:szCs w:val="24"/>
          <w:lang w:val="es-CO"/>
        </w:rPr>
        <w:t>5.4.1 Tratamiento en pacientes con sospecha de glaucoma</w:t>
      </w:r>
    </w:p>
    <w:p w14:paraId="6E9BEA1B" w14:textId="42C8DFA0" w:rsidR="003F7863" w:rsidRPr="00BD3CA9" w:rsidRDefault="003F7863" w:rsidP="00BD3CA9">
      <w:pPr>
        <w:spacing w:after="0" w:line="240" w:lineRule="auto"/>
        <w:rPr>
          <w:rFonts w:ascii="Arial" w:hAnsi="Arial" w:cs="Arial"/>
          <w:sz w:val="24"/>
          <w:szCs w:val="24"/>
          <w:lang w:val="es-CO"/>
        </w:rPr>
      </w:pPr>
    </w:p>
    <w:p w14:paraId="75A5E3EF" w14:textId="2CB36D5C" w:rsidR="00BD3CA9" w:rsidRDefault="00D85761" w:rsidP="00D85761">
      <w:pPr>
        <w:spacing w:after="0" w:line="276" w:lineRule="auto"/>
        <w:rPr>
          <w:rFonts w:ascii="Arial" w:hAnsi="Arial" w:cs="Arial"/>
          <w:sz w:val="20"/>
          <w:szCs w:val="20"/>
        </w:rPr>
      </w:pPr>
      <w:r w:rsidRPr="00D85761">
        <w:rPr>
          <w:rFonts w:ascii="Arial" w:hAnsi="Arial" w:cs="Arial"/>
          <w:sz w:val="24"/>
          <w:szCs w:val="24"/>
        </w:rPr>
        <w:t>Se recomienda individualizar la decisión de iniciar tratamiento en pacientes con sospecha de glaucoma o hipertensión ocular, considerando el riesgo de progresión, los hallazgos clínicos y paraclínicos, el beneficio esperado, los potenciales efectos adversos y las preferencias del paciente</w:t>
      </w:r>
      <w:r w:rsidRPr="00D85761">
        <w:rPr>
          <w:rFonts w:ascii="Arial" w:hAnsi="Arial" w:cs="Arial"/>
          <w:sz w:val="20"/>
          <w:szCs w:val="20"/>
        </w:rPr>
        <w:t>.</w:t>
      </w:r>
    </w:p>
    <w:p w14:paraId="4697C633" w14:textId="479CDAC0" w:rsidR="00D85761" w:rsidRDefault="00D85761" w:rsidP="00D85761">
      <w:pPr>
        <w:spacing w:after="0" w:line="276" w:lineRule="auto"/>
        <w:rPr>
          <w:rFonts w:ascii="Arial" w:hAnsi="Arial" w:cs="Arial"/>
        </w:rPr>
      </w:pPr>
    </w:p>
    <w:p w14:paraId="6FF42991" w14:textId="0E59A27A" w:rsidR="00D85761" w:rsidRDefault="004B1FAE" w:rsidP="00D85761">
      <w:pPr>
        <w:spacing w:after="0" w:line="276" w:lineRule="auto"/>
        <w:rPr>
          <w:rFonts w:ascii="Arial" w:hAnsi="Arial" w:cs="Arial"/>
          <w:sz w:val="24"/>
          <w:szCs w:val="24"/>
        </w:rPr>
      </w:pPr>
      <w:r w:rsidRPr="00BD3CA9">
        <w:rPr>
          <w:rFonts w:ascii="Arial" w:hAnsi="Arial" w:cs="Arial"/>
          <w:noProof/>
          <w:sz w:val="24"/>
          <w:szCs w:val="24"/>
        </w:rPr>
        <w:lastRenderedPageBreak/>
        <w:drawing>
          <wp:anchor distT="0" distB="0" distL="0" distR="0" simplePos="0" relativeHeight="251663360" behindDoc="1" locked="0" layoutInCell="1" allowOverlap="1" wp14:anchorId="395FE931" wp14:editId="6D72273C">
            <wp:simplePos x="0" y="0"/>
            <wp:positionH relativeFrom="page">
              <wp:posOffset>1264920</wp:posOffset>
            </wp:positionH>
            <wp:positionV relativeFrom="paragraph">
              <wp:posOffset>746125</wp:posOffset>
            </wp:positionV>
            <wp:extent cx="5410200" cy="2004060"/>
            <wp:effectExtent l="0" t="0" r="0" b="0"/>
            <wp:wrapTopAndBottom/>
            <wp:docPr id="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5410200" cy="2004060"/>
                    </a:xfrm>
                    <a:prstGeom prst="rect">
                      <a:avLst/>
                    </a:prstGeom>
                  </pic:spPr>
                </pic:pic>
              </a:graphicData>
            </a:graphic>
            <wp14:sizeRelH relativeFrom="margin">
              <wp14:pctWidth>0</wp14:pctWidth>
            </wp14:sizeRelH>
            <wp14:sizeRelV relativeFrom="margin">
              <wp14:pctHeight>0</wp14:pctHeight>
            </wp14:sizeRelV>
          </wp:anchor>
        </w:drawing>
      </w:r>
      <w:r w:rsidR="00D85761" w:rsidRPr="00D85761">
        <w:rPr>
          <w:rFonts w:ascii="Arial" w:hAnsi="Arial" w:cs="Arial"/>
          <w:sz w:val="24"/>
          <w:szCs w:val="24"/>
        </w:rPr>
        <w:t>En ausencia de daño glaucomatoso estructural o funcional confirmado, no todos los pacientes requieren tratamiento farmacológico inicial y puede optarse por seguimiento</w:t>
      </w:r>
      <w:r w:rsidR="00FF2BE9">
        <w:rPr>
          <w:rFonts w:ascii="Arial" w:hAnsi="Arial" w:cs="Arial"/>
          <w:sz w:val="24"/>
          <w:szCs w:val="24"/>
        </w:rPr>
        <w:t>, como se muestra en la tabla de a continuación:</w:t>
      </w:r>
    </w:p>
    <w:p w14:paraId="7EA7A66A" w14:textId="78311759" w:rsidR="00FF2BE9" w:rsidRDefault="00FF2BE9" w:rsidP="00D85761">
      <w:pPr>
        <w:spacing w:after="0" w:line="276" w:lineRule="auto"/>
        <w:rPr>
          <w:rFonts w:ascii="Arial" w:hAnsi="Arial" w:cs="Arial"/>
          <w:sz w:val="24"/>
          <w:szCs w:val="24"/>
        </w:rPr>
      </w:pPr>
    </w:p>
    <w:p w14:paraId="307F44FC" w14:textId="5DB46602" w:rsidR="00D85761" w:rsidRPr="00D85761" w:rsidRDefault="00D85761" w:rsidP="00D85761">
      <w:pPr>
        <w:spacing w:after="0" w:line="276" w:lineRule="auto"/>
        <w:rPr>
          <w:rFonts w:ascii="Arial" w:hAnsi="Arial" w:cs="Arial"/>
        </w:rPr>
      </w:pPr>
      <w:r w:rsidRPr="00D85761">
        <w:rPr>
          <w:rFonts w:ascii="Arial" w:hAnsi="Arial" w:cs="Arial"/>
          <w:sz w:val="24"/>
          <w:szCs w:val="24"/>
        </w:rPr>
        <w:t>Cuando se indique tratamiento, se recomienda establecer una meta de presión intraocular y evaluar periódicamente eficacia, seguridad y adherencia.</w:t>
      </w:r>
      <w:r>
        <w:rPr>
          <w:rFonts w:ascii="Arial" w:hAnsi="Arial" w:cs="Arial"/>
          <w:sz w:val="24"/>
          <w:szCs w:val="24"/>
        </w:rPr>
        <w:t>:</w:t>
      </w:r>
    </w:p>
    <w:p w14:paraId="7536A211" w14:textId="4BF44D5A" w:rsidR="00D85761" w:rsidRPr="00D85761" w:rsidRDefault="00D85761" w:rsidP="00D85761">
      <w:pPr>
        <w:spacing w:after="0" w:line="276" w:lineRule="auto"/>
        <w:rPr>
          <w:rFonts w:ascii="Arial" w:hAnsi="Arial" w:cs="Arial"/>
          <w:sz w:val="20"/>
          <w:szCs w:val="20"/>
        </w:rPr>
      </w:pPr>
    </w:p>
    <w:p w14:paraId="2AB9C3A7" w14:textId="3393B290" w:rsidR="00D85761" w:rsidRDefault="00D85761" w:rsidP="00390AC6">
      <w:pPr>
        <w:pStyle w:val="Prrafodelista"/>
        <w:numPr>
          <w:ilvl w:val="0"/>
          <w:numId w:val="12"/>
        </w:numPr>
        <w:spacing w:after="0" w:line="276" w:lineRule="auto"/>
        <w:rPr>
          <w:rFonts w:ascii="Arial" w:hAnsi="Arial" w:cs="Arial"/>
          <w:sz w:val="24"/>
          <w:szCs w:val="24"/>
        </w:rPr>
      </w:pPr>
      <w:r w:rsidRPr="00D85761">
        <w:rPr>
          <w:rFonts w:ascii="Arial" w:hAnsi="Arial" w:cs="Arial"/>
          <w:sz w:val="24"/>
          <w:szCs w:val="24"/>
        </w:rPr>
        <w:t xml:space="preserve">Los análogos de prostaglandinas constituyen una de las principales alternativas de primera línea, incluyendo latanoprost, travoprost y bimatoprost. </w:t>
      </w:r>
    </w:p>
    <w:p w14:paraId="4436106F" w14:textId="77777777" w:rsidR="00D85761" w:rsidRDefault="00D85761" w:rsidP="00D85761">
      <w:pPr>
        <w:pStyle w:val="Prrafodelista"/>
        <w:spacing w:after="0" w:line="276" w:lineRule="auto"/>
        <w:rPr>
          <w:rFonts w:ascii="Arial" w:hAnsi="Arial" w:cs="Arial"/>
          <w:sz w:val="24"/>
          <w:szCs w:val="24"/>
        </w:rPr>
      </w:pPr>
    </w:p>
    <w:p w14:paraId="3DE6B3C2" w14:textId="77777777" w:rsidR="00D85761" w:rsidRDefault="00D85761" w:rsidP="00390AC6">
      <w:pPr>
        <w:pStyle w:val="Prrafodelista"/>
        <w:numPr>
          <w:ilvl w:val="0"/>
          <w:numId w:val="12"/>
        </w:numPr>
        <w:spacing w:after="0" w:line="276" w:lineRule="auto"/>
        <w:rPr>
          <w:rFonts w:ascii="Arial" w:hAnsi="Arial" w:cs="Arial"/>
          <w:sz w:val="24"/>
          <w:szCs w:val="24"/>
        </w:rPr>
      </w:pPr>
      <w:r w:rsidRPr="00D85761">
        <w:rPr>
          <w:rFonts w:ascii="Arial" w:hAnsi="Arial" w:cs="Arial"/>
          <w:sz w:val="24"/>
          <w:szCs w:val="24"/>
        </w:rPr>
        <w:t xml:space="preserve">Como alternativa o terapia complementaria pueden emplearse beta bloqueadores tópicos como timolol. </w:t>
      </w:r>
    </w:p>
    <w:p w14:paraId="568AE77A" w14:textId="77777777" w:rsidR="00D85761" w:rsidRPr="00D85761" w:rsidRDefault="00D85761" w:rsidP="00D85761">
      <w:pPr>
        <w:pStyle w:val="Prrafodelista"/>
        <w:rPr>
          <w:rFonts w:ascii="Arial" w:hAnsi="Arial" w:cs="Arial"/>
          <w:sz w:val="24"/>
          <w:szCs w:val="24"/>
        </w:rPr>
      </w:pPr>
    </w:p>
    <w:p w14:paraId="28D8089B" w14:textId="77777777" w:rsidR="00D85761" w:rsidRDefault="00D85761" w:rsidP="00390AC6">
      <w:pPr>
        <w:pStyle w:val="Prrafodelista"/>
        <w:numPr>
          <w:ilvl w:val="0"/>
          <w:numId w:val="12"/>
        </w:numPr>
        <w:spacing w:after="0" w:line="276" w:lineRule="auto"/>
        <w:rPr>
          <w:rFonts w:ascii="Arial" w:hAnsi="Arial" w:cs="Arial"/>
          <w:sz w:val="24"/>
          <w:szCs w:val="24"/>
        </w:rPr>
      </w:pPr>
      <w:r w:rsidRPr="00D85761">
        <w:rPr>
          <w:rFonts w:ascii="Arial" w:hAnsi="Arial" w:cs="Arial"/>
          <w:sz w:val="24"/>
          <w:szCs w:val="24"/>
        </w:rPr>
        <w:t xml:space="preserve">En pacientes que requieren reducción adicional de la presión intraocular pueden considerarse agonistas alfa adrenérgicos como brimonidina e inhibidores de la anhidrasa carbónica tópicos como dorzolamida o brinzolamida. </w:t>
      </w:r>
    </w:p>
    <w:p w14:paraId="02CEFD0D" w14:textId="77777777" w:rsidR="00D85761" w:rsidRPr="00D85761" w:rsidRDefault="00D85761" w:rsidP="00D85761">
      <w:pPr>
        <w:pStyle w:val="Prrafodelista"/>
        <w:rPr>
          <w:rFonts w:ascii="Arial" w:hAnsi="Arial" w:cs="Arial"/>
          <w:sz w:val="24"/>
          <w:szCs w:val="24"/>
        </w:rPr>
      </w:pPr>
    </w:p>
    <w:p w14:paraId="71AB4349" w14:textId="77777777" w:rsidR="00B63486" w:rsidRDefault="00D85761" w:rsidP="00390AC6">
      <w:pPr>
        <w:pStyle w:val="Prrafodelista"/>
        <w:numPr>
          <w:ilvl w:val="0"/>
          <w:numId w:val="12"/>
        </w:numPr>
        <w:spacing w:after="0" w:line="276" w:lineRule="auto"/>
        <w:rPr>
          <w:rFonts w:ascii="Arial" w:hAnsi="Arial" w:cs="Arial"/>
          <w:sz w:val="24"/>
          <w:szCs w:val="24"/>
        </w:rPr>
      </w:pPr>
      <w:r w:rsidRPr="00D85761">
        <w:rPr>
          <w:rFonts w:ascii="Arial" w:hAnsi="Arial" w:cs="Arial"/>
          <w:sz w:val="24"/>
          <w:szCs w:val="24"/>
        </w:rPr>
        <w:t>También existen formulaciones combinadas disponibles en Colombia, como latanoprost/timolol, dorzolamida/timolol y combinaciones triples con dorzolamida, timolol y brimonidina.</w:t>
      </w:r>
    </w:p>
    <w:p w14:paraId="52412C86" w14:textId="77777777" w:rsidR="00B63486" w:rsidRPr="00B63486" w:rsidRDefault="00B63486" w:rsidP="00B63486">
      <w:pPr>
        <w:pStyle w:val="Prrafodelista"/>
        <w:rPr>
          <w:rFonts w:ascii="Arial" w:hAnsi="Arial" w:cs="Arial"/>
          <w:sz w:val="24"/>
          <w:szCs w:val="24"/>
        </w:rPr>
      </w:pPr>
    </w:p>
    <w:p w14:paraId="4CB2F37F" w14:textId="77777777" w:rsidR="00B63486" w:rsidRDefault="00B63486" w:rsidP="00B63486">
      <w:pPr>
        <w:pStyle w:val="Prrafodelista"/>
        <w:spacing w:after="0" w:line="276" w:lineRule="auto"/>
        <w:rPr>
          <w:rFonts w:ascii="Arial" w:hAnsi="Arial" w:cs="Arial"/>
          <w:sz w:val="24"/>
          <w:szCs w:val="24"/>
        </w:rPr>
      </w:pPr>
    </w:p>
    <w:p w14:paraId="7648542D" w14:textId="6729E13E" w:rsidR="00D85761" w:rsidRPr="00D85761" w:rsidRDefault="00D85761" w:rsidP="00B63486">
      <w:pPr>
        <w:pStyle w:val="Prrafodelista"/>
        <w:spacing w:after="0" w:line="276" w:lineRule="auto"/>
        <w:rPr>
          <w:rFonts w:ascii="Arial" w:hAnsi="Arial" w:cs="Arial"/>
          <w:sz w:val="24"/>
          <w:szCs w:val="24"/>
        </w:rPr>
      </w:pPr>
      <w:r w:rsidRPr="00D85761">
        <w:rPr>
          <w:rFonts w:ascii="Arial" w:hAnsi="Arial" w:cs="Arial"/>
          <w:sz w:val="24"/>
          <w:szCs w:val="24"/>
        </w:rPr>
        <w:t xml:space="preserve"> </w:t>
      </w:r>
    </w:p>
    <w:p w14:paraId="5097C9A9" w14:textId="77777777" w:rsidR="00D85761" w:rsidRPr="00BD3CA9" w:rsidRDefault="00D85761" w:rsidP="00BD3CA9">
      <w:pPr>
        <w:spacing w:after="0" w:line="240" w:lineRule="auto"/>
        <w:rPr>
          <w:rFonts w:ascii="Arial" w:hAnsi="Arial" w:cs="Arial"/>
          <w:sz w:val="24"/>
          <w:szCs w:val="24"/>
          <w:lang w:val="es-CO"/>
        </w:rPr>
      </w:pPr>
    </w:p>
    <w:p w14:paraId="7DEBC3FA" w14:textId="3EA30F9A" w:rsidR="00FF2BE9" w:rsidRPr="003F7863" w:rsidRDefault="00FF2BE9" w:rsidP="00FF2BE9">
      <w:pPr>
        <w:spacing w:after="0" w:line="240" w:lineRule="auto"/>
        <w:rPr>
          <w:rFonts w:ascii="Arial" w:hAnsi="Arial" w:cs="Arial"/>
          <w:b/>
          <w:bCs/>
          <w:sz w:val="24"/>
          <w:szCs w:val="24"/>
          <w:lang w:val="es-CO"/>
        </w:rPr>
      </w:pPr>
      <w:r w:rsidRPr="003F7863">
        <w:rPr>
          <w:rFonts w:ascii="Arial" w:hAnsi="Arial" w:cs="Arial"/>
          <w:b/>
          <w:bCs/>
          <w:sz w:val="24"/>
          <w:szCs w:val="24"/>
          <w:lang w:val="es-CO"/>
        </w:rPr>
        <w:lastRenderedPageBreak/>
        <w:t>5.4.1 Tratamiento en pacientes con</w:t>
      </w:r>
      <w:r>
        <w:rPr>
          <w:rFonts w:ascii="Arial" w:hAnsi="Arial" w:cs="Arial"/>
          <w:b/>
          <w:bCs/>
          <w:sz w:val="24"/>
          <w:szCs w:val="24"/>
          <w:lang w:val="es-CO"/>
        </w:rPr>
        <w:t xml:space="preserve"> </w:t>
      </w:r>
      <w:r w:rsidRPr="003F7863">
        <w:rPr>
          <w:rFonts w:ascii="Arial" w:hAnsi="Arial" w:cs="Arial"/>
          <w:b/>
          <w:bCs/>
          <w:sz w:val="24"/>
          <w:szCs w:val="24"/>
          <w:lang w:val="es-CO"/>
        </w:rPr>
        <w:t>glaucoma</w:t>
      </w:r>
      <w:r>
        <w:rPr>
          <w:rFonts w:ascii="Arial" w:hAnsi="Arial" w:cs="Arial"/>
          <w:b/>
          <w:bCs/>
          <w:sz w:val="24"/>
          <w:szCs w:val="24"/>
          <w:lang w:val="es-CO"/>
        </w:rPr>
        <w:t xml:space="preserve"> de ángulo abierto</w:t>
      </w:r>
    </w:p>
    <w:p w14:paraId="00956261" w14:textId="77777777" w:rsidR="00FF2BE9" w:rsidRDefault="00FF2BE9" w:rsidP="00BD3CA9">
      <w:pPr>
        <w:spacing w:after="0" w:line="240" w:lineRule="auto"/>
        <w:rPr>
          <w:rFonts w:ascii="Arial" w:hAnsi="Arial" w:cs="Arial"/>
          <w:sz w:val="24"/>
          <w:szCs w:val="24"/>
          <w:lang w:val="es-CO"/>
        </w:rPr>
      </w:pPr>
    </w:p>
    <w:p w14:paraId="22F2EFAB" w14:textId="47F776A6" w:rsidR="00FF2BE9" w:rsidRPr="00A77C57" w:rsidRDefault="00860D36" w:rsidP="00860D36">
      <w:pPr>
        <w:spacing w:after="0" w:line="276" w:lineRule="auto"/>
        <w:rPr>
          <w:rFonts w:ascii="Arial" w:hAnsi="Arial" w:cs="Arial"/>
          <w:sz w:val="24"/>
          <w:szCs w:val="24"/>
          <w:u w:val="single"/>
          <w:lang w:val="es-CO"/>
        </w:rPr>
      </w:pPr>
      <w:r w:rsidRPr="00A77C57">
        <w:rPr>
          <w:rFonts w:ascii="Arial" w:hAnsi="Arial" w:cs="Arial"/>
          <w:sz w:val="24"/>
          <w:szCs w:val="24"/>
          <w:u w:val="single"/>
          <w:lang w:val="es-CO"/>
        </w:rPr>
        <w:t>Paso 1: Clasificar severidad</w:t>
      </w:r>
    </w:p>
    <w:p w14:paraId="4C2BF360" w14:textId="77777777" w:rsidR="00860D36" w:rsidRPr="00860D36" w:rsidRDefault="00860D36" w:rsidP="00860D36">
      <w:pPr>
        <w:spacing w:after="0" w:line="276" w:lineRule="auto"/>
        <w:rPr>
          <w:rFonts w:ascii="Arial" w:hAnsi="Arial" w:cs="Arial"/>
          <w:sz w:val="24"/>
          <w:szCs w:val="24"/>
          <w:lang w:val="es-CO"/>
        </w:rPr>
      </w:pPr>
    </w:p>
    <w:p w14:paraId="4D248882" w14:textId="77777777" w:rsidR="00860D36" w:rsidRPr="00860D36" w:rsidRDefault="00860D36" w:rsidP="00390AC6">
      <w:pPr>
        <w:pStyle w:val="Prrafodelista"/>
        <w:numPr>
          <w:ilvl w:val="0"/>
          <w:numId w:val="20"/>
        </w:numPr>
        <w:spacing w:after="0" w:line="276" w:lineRule="auto"/>
        <w:rPr>
          <w:rFonts w:ascii="Arial" w:hAnsi="Arial" w:cs="Arial"/>
          <w:sz w:val="24"/>
          <w:szCs w:val="24"/>
          <w:lang w:val="es-CO"/>
        </w:rPr>
      </w:pPr>
      <w:r w:rsidRPr="00860D36">
        <w:rPr>
          <w:rFonts w:ascii="Arial" w:hAnsi="Arial" w:cs="Arial"/>
          <w:sz w:val="24"/>
          <w:szCs w:val="24"/>
          <w:lang w:val="es-CO"/>
        </w:rPr>
        <w:t>Leve: Anormalidades características del nervio óptico consistentes con glaucoma y campo visual normal medido con perimetría automatizada standard.</w:t>
      </w:r>
    </w:p>
    <w:p w14:paraId="0D95CCE1" w14:textId="77777777" w:rsidR="00860D36" w:rsidRPr="00860D36" w:rsidRDefault="00860D36" w:rsidP="00390AC6">
      <w:pPr>
        <w:pStyle w:val="Prrafodelista"/>
        <w:numPr>
          <w:ilvl w:val="0"/>
          <w:numId w:val="20"/>
        </w:numPr>
        <w:spacing w:after="0" w:line="276" w:lineRule="auto"/>
        <w:rPr>
          <w:rFonts w:ascii="Arial" w:hAnsi="Arial" w:cs="Arial"/>
          <w:sz w:val="24"/>
          <w:szCs w:val="24"/>
          <w:lang w:val="es-CO"/>
        </w:rPr>
      </w:pPr>
      <w:r w:rsidRPr="00860D36">
        <w:rPr>
          <w:rFonts w:ascii="Arial" w:hAnsi="Arial" w:cs="Arial"/>
          <w:sz w:val="24"/>
          <w:szCs w:val="24"/>
          <w:lang w:val="es-CO"/>
        </w:rPr>
        <w:t>Moderado: Anormalidades características del nervio óptico consistentes con glaucoma y anormalidades del campo visual en un solo hemicampo y no dentro de los 5 grados de fijación.</w:t>
      </w:r>
    </w:p>
    <w:p w14:paraId="46E18B8F" w14:textId="77777777" w:rsidR="00860D36" w:rsidRPr="00860D36" w:rsidRDefault="00860D36" w:rsidP="00390AC6">
      <w:pPr>
        <w:pStyle w:val="Prrafodelista"/>
        <w:numPr>
          <w:ilvl w:val="0"/>
          <w:numId w:val="20"/>
        </w:numPr>
        <w:spacing w:after="0" w:line="276" w:lineRule="auto"/>
        <w:rPr>
          <w:rFonts w:ascii="Arial" w:hAnsi="Arial" w:cs="Arial"/>
          <w:sz w:val="24"/>
          <w:szCs w:val="24"/>
          <w:lang w:val="es-CO"/>
        </w:rPr>
      </w:pPr>
      <w:r w:rsidRPr="00860D36">
        <w:rPr>
          <w:rFonts w:ascii="Arial" w:hAnsi="Arial" w:cs="Arial"/>
          <w:sz w:val="24"/>
          <w:szCs w:val="24"/>
          <w:lang w:val="es-CO"/>
        </w:rPr>
        <w:t>Severo: Anormalidades características del nervio óptico consistentes con glaucoma y anormalidades del campo visual en los dos hemicampos y pérdida dentro de los 5 grados de fijación en al menos un hemicampo.</w:t>
      </w:r>
    </w:p>
    <w:p w14:paraId="7B8F869B" w14:textId="77777777" w:rsidR="00860D36" w:rsidRPr="00860D36" w:rsidRDefault="00860D36" w:rsidP="00860D36">
      <w:pPr>
        <w:spacing w:after="0" w:line="276" w:lineRule="auto"/>
        <w:rPr>
          <w:rFonts w:ascii="Arial" w:hAnsi="Arial" w:cs="Arial"/>
          <w:sz w:val="24"/>
          <w:szCs w:val="24"/>
          <w:lang w:val="es-CO"/>
        </w:rPr>
      </w:pPr>
    </w:p>
    <w:p w14:paraId="7C194305" w14:textId="07AE4F49" w:rsidR="00FF2BE9" w:rsidRPr="00A77C57" w:rsidRDefault="00860D36" w:rsidP="00860D36">
      <w:pPr>
        <w:spacing w:after="0" w:line="276" w:lineRule="auto"/>
        <w:rPr>
          <w:rFonts w:ascii="Arial" w:hAnsi="Arial" w:cs="Arial"/>
          <w:sz w:val="24"/>
          <w:szCs w:val="24"/>
          <w:u w:val="single"/>
          <w:lang w:val="es-CO"/>
        </w:rPr>
      </w:pPr>
      <w:r w:rsidRPr="00A77C57">
        <w:rPr>
          <w:rFonts w:ascii="Arial" w:hAnsi="Arial" w:cs="Arial"/>
          <w:sz w:val="24"/>
          <w:szCs w:val="24"/>
          <w:u w:val="single"/>
          <w:lang w:val="es-CO"/>
        </w:rPr>
        <w:t>Paso 2: Tratamiento médico óptimo</w:t>
      </w:r>
    </w:p>
    <w:p w14:paraId="0A9CE63A" w14:textId="77777777" w:rsidR="00FF2BE9" w:rsidRPr="00860D36" w:rsidRDefault="00FF2BE9" w:rsidP="00860D36">
      <w:pPr>
        <w:spacing w:after="0" w:line="276" w:lineRule="auto"/>
        <w:rPr>
          <w:rFonts w:ascii="Arial" w:hAnsi="Arial" w:cs="Arial"/>
          <w:sz w:val="24"/>
          <w:szCs w:val="24"/>
          <w:lang w:val="es-CO"/>
        </w:rPr>
      </w:pPr>
    </w:p>
    <w:p w14:paraId="2D1D9905" w14:textId="77777777" w:rsidR="00860D36" w:rsidRPr="00A77C57" w:rsidRDefault="00860D36" w:rsidP="00390AC6">
      <w:pPr>
        <w:pStyle w:val="Prrafodelista"/>
        <w:numPr>
          <w:ilvl w:val="0"/>
          <w:numId w:val="19"/>
        </w:numPr>
        <w:spacing w:after="0" w:line="276" w:lineRule="auto"/>
        <w:rPr>
          <w:rFonts w:ascii="Arial" w:hAnsi="Arial" w:cs="Arial"/>
          <w:sz w:val="24"/>
          <w:szCs w:val="24"/>
        </w:rPr>
      </w:pPr>
      <w:r w:rsidRPr="00A77C57">
        <w:rPr>
          <w:rFonts w:ascii="Arial" w:hAnsi="Arial" w:cs="Arial"/>
          <w:sz w:val="24"/>
          <w:szCs w:val="24"/>
        </w:rPr>
        <w:t xml:space="preserve">Los medicamentos tópicos de primera línea para disminuir la presión intraocular (PIO) son los </w:t>
      </w:r>
      <w:r w:rsidRPr="00A77C57">
        <w:rPr>
          <w:rStyle w:val="Textoennegrita"/>
          <w:rFonts w:ascii="Arial" w:hAnsi="Arial" w:cs="Arial"/>
          <w:b w:val="0"/>
          <w:bCs w:val="0"/>
          <w:sz w:val="24"/>
          <w:szCs w:val="24"/>
        </w:rPr>
        <w:t>análogos de prostaglandinas</w:t>
      </w:r>
      <w:r w:rsidRPr="00A77C57">
        <w:rPr>
          <w:rFonts w:ascii="Arial" w:hAnsi="Arial" w:cs="Arial"/>
          <w:sz w:val="24"/>
          <w:szCs w:val="24"/>
        </w:rPr>
        <w:t xml:space="preserve"> (</w:t>
      </w:r>
      <w:r w:rsidRPr="00A77C57">
        <w:rPr>
          <w:rStyle w:val="nfasis"/>
          <w:rFonts w:ascii="Arial" w:hAnsi="Arial" w:cs="Arial"/>
          <w:sz w:val="24"/>
          <w:szCs w:val="24"/>
        </w:rPr>
        <w:t>latanoprost, travoprost, bimatoprost, tafluprost</w:t>
      </w:r>
      <w:r w:rsidRPr="00A77C57">
        <w:rPr>
          <w:rFonts w:ascii="Arial" w:hAnsi="Arial" w:cs="Arial"/>
          <w:sz w:val="24"/>
          <w:szCs w:val="24"/>
        </w:rPr>
        <w:t xml:space="preserve">) y los </w:t>
      </w:r>
      <w:r w:rsidRPr="00A77C57">
        <w:rPr>
          <w:rStyle w:val="Textoennegrita"/>
          <w:rFonts w:ascii="Arial" w:hAnsi="Arial" w:cs="Arial"/>
          <w:b w:val="0"/>
          <w:bCs w:val="0"/>
          <w:sz w:val="24"/>
          <w:szCs w:val="24"/>
        </w:rPr>
        <w:t>betabloqueadores</w:t>
      </w:r>
      <w:r w:rsidRPr="00A77C57">
        <w:rPr>
          <w:rFonts w:ascii="Arial" w:hAnsi="Arial" w:cs="Arial"/>
          <w:sz w:val="24"/>
          <w:szCs w:val="24"/>
        </w:rPr>
        <w:t xml:space="preserve"> (</w:t>
      </w:r>
      <w:r w:rsidRPr="00A77C57">
        <w:rPr>
          <w:rStyle w:val="nfasis"/>
          <w:rFonts w:ascii="Arial" w:hAnsi="Arial" w:cs="Arial"/>
          <w:sz w:val="24"/>
          <w:szCs w:val="24"/>
        </w:rPr>
        <w:t>timolol, betaxolol</w:t>
      </w:r>
      <w:r w:rsidRPr="00A77C57">
        <w:rPr>
          <w:rFonts w:ascii="Arial" w:hAnsi="Arial" w:cs="Arial"/>
          <w:sz w:val="24"/>
          <w:szCs w:val="24"/>
        </w:rPr>
        <w:t xml:space="preserve">). </w:t>
      </w:r>
    </w:p>
    <w:p w14:paraId="5CFF62BE" w14:textId="77777777" w:rsidR="00860D36" w:rsidRPr="00860D36" w:rsidRDefault="00860D36" w:rsidP="00860D36">
      <w:pPr>
        <w:spacing w:after="0" w:line="276" w:lineRule="auto"/>
        <w:rPr>
          <w:rFonts w:ascii="Arial" w:hAnsi="Arial" w:cs="Arial"/>
          <w:sz w:val="24"/>
          <w:szCs w:val="24"/>
        </w:rPr>
      </w:pPr>
    </w:p>
    <w:p w14:paraId="047DFDCF" w14:textId="38EEB79D" w:rsidR="00A77C57" w:rsidRPr="00A77C57" w:rsidRDefault="00860D36" w:rsidP="00390AC6">
      <w:pPr>
        <w:pStyle w:val="Prrafodelista"/>
        <w:numPr>
          <w:ilvl w:val="0"/>
          <w:numId w:val="19"/>
        </w:numPr>
        <w:spacing w:after="0" w:line="276" w:lineRule="auto"/>
        <w:rPr>
          <w:rFonts w:ascii="Arial" w:hAnsi="Arial" w:cs="Arial"/>
          <w:sz w:val="24"/>
          <w:szCs w:val="24"/>
        </w:rPr>
      </w:pPr>
      <w:r w:rsidRPr="00A77C57">
        <w:rPr>
          <w:rFonts w:ascii="Arial" w:hAnsi="Arial" w:cs="Arial"/>
          <w:sz w:val="24"/>
          <w:szCs w:val="24"/>
        </w:rPr>
        <w:t xml:space="preserve">Como alternativas o terapia complementaria pueden utilizarse </w:t>
      </w:r>
      <w:r w:rsidRPr="00A77C57">
        <w:rPr>
          <w:rStyle w:val="Textoennegrita"/>
          <w:rFonts w:ascii="Arial" w:hAnsi="Arial" w:cs="Arial"/>
          <w:b w:val="0"/>
          <w:bCs w:val="0"/>
          <w:sz w:val="24"/>
          <w:szCs w:val="24"/>
        </w:rPr>
        <w:t>agonistas alfa-2 adrenérgicos</w:t>
      </w:r>
      <w:r w:rsidRPr="00A77C57">
        <w:rPr>
          <w:rFonts w:ascii="Arial" w:hAnsi="Arial" w:cs="Arial"/>
          <w:sz w:val="24"/>
          <w:szCs w:val="24"/>
        </w:rPr>
        <w:t xml:space="preserve"> (</w:t>
      </w:r>
      <w:r w:rsidRPr="00A77C57">
        <w:rPr>
          <w:rStyle w:val="nfasis"/>
          <w:rFonts w:ascii="Arial" w:hAnsi="Arial" w:cs="Arial"/>
          <w:sz w:val="24"/>
          <w:szCs w:val="24"/>
        </w:rPr>
        <w:t>brimonidina</w:t>
      </w:r>
      <w:r w:rsidRPr="00A77C57">
        <w:rPr>
          <w:rFonts w:ascii="Arial" w:hAnsi="Arial" w:cs="Arial"/>
          <w:sz w:val="24"/>
          <w:szCs w:val="24"/>
        </w:rPr>
        <w:t xml:space="preserve">), </w:t>
      </w:r>
      <w:r w:rsidRPr="00A77C57">
        <w:rPr>
          <w:rStyle w:val="Textoennegrita"/>
          <w:rFonts w:ascii="Arial" w:hAnsi="Arial" w:cs="Arial"/>
          <w:b w:val="0"/>
          <w:bCs w:val="0"/>
          <w:sz w:val="24"/>
          <w:szCs w:val="24"/>
        </w:rPr>
        <w:t>inhibidores de la anhidrasa carbónica</w:t>
      </w:r>
      <w:r w:rsidRPr="00A77C57">
        <w:rPr>
          <w:rFonts w:ascii="Arial" w:hAnsi="Arial" w:cs="Arial"/>
          <w:sz w:val="24"/>
          <w:szCs w:val="24"/>
        </w:rPr>
        <w:t xml:space="preserve"> tópicos u orales (</w:t>
      </w:r>
      <w:r w:rsidRPr="00A77C57">
        <w:rPr>
          <w:rStyle w:val="nfasis"/>
          <w:rFonts w:ascii="Arial" w:hAnsi="Arial" w:cs="Arial"/>
          <w:sz w:val="24"/>
          <w:szCs w:val="24"/>
        </w:rPr>
        <w:t>dorzolamida, brinzolamida, acetazolamida</w:t>
      </w:r>
      <w:r w:rsidRPr="00A77C57">
        <w:rPr>
          <w:rFonts w:ascii="Arial" w:hAnsi="Arial" w:cs="Arial"/>
          <w:sz w:val="24"/>
          <w:szCs w:val="24"/>
        </w:rPr>
        <w:t xml:space="preserve">) y </w:t>
      </w:r>
      <w:r w:rsidR="00A77C57" w:rsidRPr="00A77C57">
        <w:rPr>
          <w:rStyle w:val="Textoennegrita"/>
          <w:rFonts w:ascii="Arial" w:hAnsi="Arial" w:cs="Arial"/>
          <w:b w:val="0"/>
          <w:bCs w:val="0"/>
          <w:sz w:val="24"/>
          <w:szCs w:val="24"/>
        </w:rPr>
        <w:t>para simpaticomiméticos</w:t>
      </w:r>
      <w:r w:rsidRPr="00A77C57">
        <w:rPr>
          <w:rFonts w:ascii="Arial" w:hAnsi="Arial" w:cs="Arial"/>
          <w:sz w:val="24"/>
          <w:szCs w:val="24"/>
        </w:rPr>
        <w:t xml:space="preserve"> (</w:t>
      </w:r>
      <w:r w:rsidRPr="00A77C57">
        <w:rPr>
          <w:rStyle w:val="nfasis"/>
          <w:rFonts w:ascii="Arial" w:hAnsi="Arial" w:cs="Arial"/>
          <w:sz w:val="24"/>
          <w:szCs w:val="24"/>
        </w:rPr>
        <w:t>pilocarpina</w:t>
      </w:r>
      <w:r w:rsidRPr="00A77C57">
        <w:rPr>
          <w:rFonts w:ascii="Arial" w:hAnsi="Arial" w:cs="Arial"/>
          <w:sz w:val="24"/>
          <w:szCs w:val="24"/>
        </w:rPr>
        <w:t xml:space="preserve">). </w:t>
      </w:r>
    </w:p>
    <w:p w14:paraId="4682EAB5" w14:textId="77777777" w:rsidR="00A77C57" w:rsidRDefault="00A77C57" w:rsidP="00860D36">
      <w:pPr>
        <w:spacing w:after="0" w:line="276" w:lineRule="auto"/>
        <w:rPr>
          <w:rFonts w:ascii="Arial" w:hAnsi="Arial" w:cs="Arial"/>
          <w:sz w:val="24"/>
          <w:szCs w:val="24"/>
        </w:rPr>
      </w:pPr>
    </w:p>
    <w:p w14:paraId="65DA1E37" w14:textId="707EAB6A" w:rsidR="00FF2BE9" w:rsidRPr="00A77C57" w:rsidRDefault="00860D36" w:rsidP="00390AC6">
      <w:pPr>
        <w:pStyle w:val="Prrafodelista"/>
        <w:numPr>
          <w:ilvl w:val="0"/>
          <w:numId w:val="19"/>
        </w:numPr>
        <w:spacing w:after="0" w:line="276" w:lineRule="auto"/>
        <w:rPr>
          <w:rFonts w:ascii="Arial" w:hAnsi="Arial" w:cs="Arial"/>
          <w:sz w:val="24"/>
          <w:szCs w:val="24"/>
          <w:lang w:val="es-CO"/>
        </w:rPr>
      </w:pPr>
      <w:r w:rsidRPr="00A77C57">
        <w:rPr>
          <w:rFonts w:ascii="Arial" w:hAnsi="Arial" w:cs="Arial"/>
          <w:sz w:val="24"/>
          <w:szCs w:val="24"/>
        </w:rPr>
        <w:t>La efectividad del tratamiento debe evaluarse diferenciando el efecto terapéutico de las fluctuaciones fisiológicas de la PIO, mediante seguimiento clínico y comparación con mediciones basales</w:t>
      </w:r>
    </w:p>
    <w:p w14:paraId="7A363E74" w14:textId="77777777" w:rsidR="00FF2BE9" w:rsidRDefault="00FF2BE9" w:rsidP="00BD3CA9">
      <w:pPr>
        <w:spacing w:after="0" w:line="240" w:lineRule="auto"/>
        <w:rPr>
          <w:rFonts w:ascii="Arial" w:hAnsi="Arial" w:cs="Arial"/>
          <w:sz w:val="24"/>
          <w:szCs w:val="24"/>
          <w:lang w:val="es-CO"/>
        </w:rPr>
      </w:pPr>
    </w:p>
    <w:p w14:paraId="3674731A" w14:textId="6A0BE6C3" w:rsidR="00FF2BE9" w:rsidRPr="00A77C57" w:rsidRDefault="00A77C57" w:rsidP="00BD3CA9">
      <w:pPr>
        <w:spacing w:after="0" w:line="240" w:lineRule="auto"/>
        <w:rPr>
          <w:rFonts w:ascii="Arial" w:hAnsi="Arial" w:cs="Arial"/>
          <w:sz w:val="24"/>
          <w:szCs w:val="24"/>
          <w:u w:val="single"/>
          <w:lang w:val="es-CO"/>
        </w:rPr>
      </w:pPr>
      <w:r w:rsidRPr="00A77C57">
        <w:rPr>
          <w:rFonts w:ascii="Arial" w:hAnsi="Arial" w:cs="Arial"/>
          <w:sz w:val="24"/>
          <w:szCs w:val="24"/>
          <w:u w:val="single"/>
          <w:lang w:val="es-CO"/>
        </w:rPr>
        <w:t>Paso 3: Tratamiento quirúrgico</w:t>
      </w:r>
    </w:p>
    <w:p w14:paraId="713EAE52" w14:textId="77777777" w:rsidR="00FF2BE9" w:rsidRDefault="00FF2BE9" w:rsidP="00BD3CA9">
      <w:pPr>
        <w:spacing w:after="0" w:line="240" w:lineRule="auto"/>
        <w:rPr>
          <w:rFonts w:ascii="Arial" w:hAnsi="Arial" w:cs="Arial"/>
          <w:sz w:val="24"/>
          <w:szCs w:val="24"/>
          <w:lang w:val="es-CO"/>
        </w:rPr>
      </w:pPr>
    </w:p>
    <w:p w14:paraId="51D3F96B" w14:textId="1B7CB066" w:rsidR="00A77C57" w:rsidRPr="00A77C57" w:rsidRDefault="00A77C57" w:rsidP="00390AC6">
      <w:pPr>
        <w:pStyle w:val="Prrafodelista"/>
        <w:numPr>
          <w:ilvl w:val="0"/>
          <w:numId w:val="22"/>
        </w:numPr>
        <w:spacing w:after="0" w:line="276" w:lineRule="auto"/>
        <w:rPr>
          <w:rFonts w:ascii="Arial" w:hAnsi="Arial" w:cs="Arial"/>
          <w:sz w:val="24"/>
          <w:szCs w:val="24"/>
          <w:lang w:val="es-CO"/>
        </w:rPr>
      </w:pPr>
      <w:r w:rsidRPr="00A77C57">
        <w:rPr>
          <w:rFonts w:ascii="Arial" w:hAnsi="Arial" w:cs="Arial"/>
          <w:sz w:val="24"/>
          <w:szCs w:val="24"/>
        </w:rPr>
        <w:t xml:space="preserve">Terapia con trabeculoplastia láser: Se recomienda como alternativa terapéutica en pacientes con respuesta insuficiente al tratamiento farmacológico o cuando exista baja probabilidad de adherencia al manejo tópico debido a limitaciones económicas, deterioro cognitivo, dificultades </w:t>
      </w:r>
      <w:r w:rsidRPr="00A77C57">
        <w:rPr>
          <w:rFonts w:ascii="Arial" w:hAnsi="Arial" w:cs="Arial"/>
          <w:sz w:val="24"/>
          <w:szCs w:val="24"/>
        </w:rPr>
        <w:lastRenderedPageBreak/>
        <w:t>para la instilación de colirios, intolerancia o contraindicación al tratamiento médico.</w:t>
      </w:r>
    </w:p>
    <w:p w14:paraId="02270508" w14:textId="54B004CC" w:rsidR="00A77C57" w:rsidRPr="00A77C57" w:rsidRDefault="00A77C57" w:rsidP="00390AC6">
      <w:pPr>
        <w:pStyle w:val="Prrafodelista"/>
        <w:numPr>
          <w:ilvl w:val="0"/>
          <w:numId w:val="21"/>
        </w:numPr>
        <w:spacing w:after="0" w:line="276" w:lineRule="auto"/>
        <w:rPr>
          <w:rFonts w:ascii="Arial" w:hAnsi="Arial" w:cs="Arial"/>
          <w:sz w:val="24"/>
          <w:szCs w:val="24"/>
          <w:lang w:val="es-CO"/>
        </w:rPr>
      </w:pPr>
      <w:r w:rsidRPr="00A77C57">
        <w:rPr>
          <w:rFonts w:ascii="Arial" w:hAnsi="Arial" w:cs="Arial"/>
          <w:sz w:val="24"/>
          <w:szCs w:val="24"/>
          <w:lang w:val="es-CO"/>
        </w:rPr>
        <w:t xml:space="preserve">Cirugía Infiltrante: </w:t>
      </w:r>
      <w:r w:rsidRPr="00A77C57">
        <w:rPr>
          <w:rFonts w:ascii="Arial" w:hAnsi="Arial" w:cs="Arial"/>
          <w:sz w:val="24"/>
          <w:szCs w:val="24"/>
        </w:rPr>
        <w:t>Procedimiento quirúrgico que crea una vía alternativa de drenaje del humor acuoso para disminuir la presión intraocular (PIO), reducir la progresión glaucomatosa y disminuir la necesidad de tratamiento médico</w:t>
      </w:r>
      <w:r>
        <w:rPr>
          <w:rFonts w:ascii="Arial" w:hAnsi="Arial" w:cs="Arial"/>
          <w:sz w:val="24"/>
          <w:szCs w:val="24"/>
        </w:rPr>
        <w:t>.</w:t>
      </w:r>
    </w:p>
    <w:p w14:paraId="7FB4E62A" w14:textId="77777777" w:rsidR="00A77C57" w:rsidRPr="00A77C57" w:rsidRDefault="00A77C57" w:rsidP="00A77C57">
      <w:pPr>
        <w:pStyle w:val="Prrafodelista"/>
        <w:spacing w:after="0" w:line="276" w:lineRule="auto"/>
        <w:rPr>
          <w:rFonts w:ascii="Arial" w:hAnsi="Arial" w:cs="Arial"/>
          <w:sz w:val="24"/>
          <w:szCs w:val="24"/>
          <w:lang w:val="es-CO"/>
        </w:rPr>
      </w:pPr>
    </w:p>
    <w:p w14:paraId="119671D2" w14:textId="11048F1E" w:rsidR="00A77C57" w:rsidRPr="00A77C57" w:rsidRDefault="00A77C57" w:rsidP="00390AC6">
      <w:pPr>
        <w:pStyle w:val="Prrafodelista"/>
        <w:numPr>
          <w:ilvl w:val="0"/>
          <w:numId w:val="21"/>
        </w:numPr>
        <w:spacing w:after="0" w:line="276" w:lineRule="auto"/>
        <w:rPr>
          <w:rFonts w:ascii="Arial" w:hAnsi="Arial" w:cs="Arial"/>
          <w:sz w:val="24"/>
          <w:szCs w:val="24"/>
          <w:lang w:val="es-CO"/>
        </w:rPr>
      </w:pPr>
      <w:r w:rsidRPr="00A77C57">
        <w:rPr>
          <w:rFonts w:ascii="Arial" w:hAnsi="Arial" w:cs="Arial"/>
          <w:sz w:val="24"/>
          <w:szCs w:val="24"/>
        </w:rPr>
        <w:t>Cirugía no perforante: Alternativa quirúrgica utilizada en casos seleccionados, incluyendo viscocanalostomía y esclerectomía profunda no perforante. Su objetivo es reducir la PIO minimizando complicaciones asociadas a la ampolla de filtración e hipotonía; sin embargo, requiere mayor complejidad técnica y experiencia quirúrgica en comparación con la trabeculectomía.</w:t>
      </w:r>
    </w:p>
    <w:p w14:paraId="6CB37A17" w14:textId="77777777" w:rsidR="00A77C57" w:rsidRPr="00A77C57" w:rsidRDefault="00A77C57" w:rsidP="00A77C57">
      <w:pPr>
        <w:pStyle w:val="Prrafodelista"/>
        <w:rPr>
          <w:rFonts w:ascii="Arial" w:hAnsi="Arial" w:cs="Arial"/>
          <w:sz w:val="24"/>
          <w:szCs w:val="24"/>
          <w:lang w:val="es-CO"/>
        </w:rPr>
      </w:pPr>
    </w:p>
    <w:p w14:paraId="76F33E8C" w14:textId="29AC7C94" w:rsidR="00A77C57" w:rsidRPr="00D70389" w:rsidRDefault="00A77C57" w:rsidP="00390AC6">
      <w:pPr>
        <w:pStyle w:val="Prrafodelista"/>
        <w:numPr>
          <w:ilvl w:val="0"/>
          <w:numId w:val="21"/>
        </w:numPr>
        <w:spacing w:after="0" w:line="276" w:lineRule="auto"/>
        <w:rPr>
          <w:rFonts w:ascii="Arial" w:hAnsi="Arial" w:cs="Arial"/>
          <w:sz w:val="28"/>
          <w:szCs w:val="28"/>
          <w:lang w:val="es-CO"/>
        </w:rPr>
      </w:pPr>
      <w:r w:rsidRPr="00A77C57">
        <w:rPr>
          <w:rFonts w:ascii="Arial" w:hAnsi="Arial" w:cs="Arial"/>
          <w:sz w:val="24"/>
          <w:szCs w:val="24"/>
        </w:rPr>
        <w:t>Cirugía ciclo</w:t>
      </w:r>
      <w:r>
        <w:rPr>
          <w:rFonts w:ascii="Arial" w:hAnsi="Arial" w:cs="Arial"/>
          <w:sz w:val="24"/>
          <w:szCs w:val="24"/>
        </w:rPr>
        <w:t xml:space="preserve"> </w:t>
      </w:r>
      <w:r w:rsidRPr="00A77C57">
        <w:rPr>
          <w:rFonts w:ascii="Arial" w:hAnsi="Arial" w:cs="Arial"/>
          <w:sz w:val="24"/>
          <w:szCs w:val="24"/>
        </w:rPr>
        <w:t>destructiva: Procedimiento orientado a disminuir la producción de humor acuoso mediante ablación parcial del cuerpo ciliar. Se reserva para casos seleccionados de glaucoma refractario, pacientes con alto riesgo quirúrgico o con pobre potencial visual. Entre sus ventajas se encuentran menor complejidad técnica y recuperación más rápida; entre sus limitaciones, inflamación postoperatoria, necesidad de retratamiento y potencial deterioro visual.</w:t>
      </w:r>
    </w:p>
    <w:p w14:paraId="75EF1AB2" w14:textId="77777777" w:rsidR="00D70389" w:rsidRDefault="00D70389" w:rsidP="00D70389">
      <w:pPr>
        <w:spacing w:after="0" w:line="240" w:lineRule="auto"/>
        <w:ind w:left="720"/>
        <w:rPr>
          <w:rFonts w:ascii="Arial" w:hAnsi="Arial" w:cs="Arial"/>
          <w:sz w:val="24"/>
          <w:szCs w:val="24"/>
          <w:lang w:val="es-CO"/>
        </w:rPr>
      </w:pPr>
    </w:p>
    <w:p w14:paraId="6C28878B" w14:textId="409D8474" w:rsidR="00D70389" w:rsidRPr="00D70389" w:rsidRDefault="00D70389" w:rsidP="00D70389">
      <w:pPr>
        <w:spacing w:after="0" w:line="240" w:lineRule="auto"/>
        <w:ind w:left="720"/>
        <w:rPr>
          <w:rFonts w:ascii="Arial" w:hAnsi="Arial" w:cs="Arial"/>
          <w:sz w:val="24"/>
          <w:szCs w:val="24"/>
          <w:lang w:val="es-CO"/>
        </w:rPr>
      </w:pPr>
      <w:r w:rsidRPr="00D70389">
        <w:rPr>
          <w:rFonts w:ascii="Arial" w:hAnsi="Arial" w:cs="Arial"/>
          <w:sz w:val="24"/>
          <w:szCs w:val="24"/>
          <w:lang w:val="es-CO"/>
        </w:rPr>
        <w:t>Pacientes con glaucoma primario de ángulo abierto deben recibir evaluaciones de seguimiento y el cuidado para monitorizar y tratar su enfermedad, de esta manera:</w:t>
      </w:r>
    </w:p>
    <w:p w14:paraId="69E4C3E6" w14:textId="3BB52B50" w:rsidR="00D70389" w:rsidRDefault="00D70389" w:rsidP="00D70389">
      <w:pPr>
        <w:spacing w:after="0" w:line="240" w:lineRule="auto"/>
        <w:rPr>
          <w:rFonts w:cstheme="minorHAnsi"/>
          <w:lang w:val="es-CO"/>
        </w:rPr>
      </w:pPr>
      <w:r>
        <w:rPr>
          <w:noProof/>
          <w:sz w:val="20"/>
        </w:rPr>
        <w:drawing>
          <wp:anchor distT="0" distB="0" distL="0" distR="0" simplePos="0" relativeHeight="251669504" behindDoc="1" locked="0" layoutInCell="1" allowOverlap="1" wp14:anchorId="01599E41" wp14:editId="18C49840">
            <wp:simplePos x="0" y="0"/>
            <wp:positionH relativeFrom="page">
              <wp:posOffset>1424940</wp:posOffset>
            </wp:positionH>
            <wp:positionV relativeFrom="paragraph">
              <wp:posOffset>199390</wp:posOffset>
            </wp:positionV>
            <wp:extent cx="5219700" cy="12877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21" cstate="print"/>
                    <a:srcRect t="15518" b="-9364"/>
                    <a:stretch/>
                  </pic:blipFill>
                  <pic:spPr bwMode="auto">
                    <a:xfrm>
                      <a:off x="0" y="0"/>
                      <a:ext cx="5219700" cy="1287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E8F8AE" w14:textId="7550E6DA" w:rsidR="00D70389" w:rsidRDefault="00D70389" w:rsidP="00D70389">
      <w:pPr>
        <w:spacing w:after="0" w:line="240" w:lineRule="auto"/>
        <w:rPr>
          <w:rFonts w:cstheme="minorHAnsi"/>
          <w:lang w:val="es-CO"/>
        </w:rPr>
      </w:pPr>
    </w:p>
    <w:p w14:paraId="717FD192" w14:textId="01E6D82B" w:rsidR="00D70389" w:rsidRDefault="00D70389" w:rsidP="00D70389">
      <w:pPr>
        <w:spacing w:after="0" w:line="240" w:lineRule="auto"/>
        <w:rPr>
          <w:rFonts w:cstheme="minorHAnsi"/>
          <w:lang w:val="es-CO"/>
        </w:rPr>
      </w:pPr>
    </w:p>
    <w:p w14:paraId="083C37AF" w14:textId="3F073398" w:rsidR="00D70389" w:rsidRDefault="00D70389" w:rsidP="00D70389">
      <w:pPr>
        <w:spacing w:after="0" w:line="240" w:lineRule="auto"/>
        <w:rPr>
          <w:rFonts w:cstheme="minorHAnsi"/>
          <w:lang w:val="es-CO"/>
        </w:rPr>
      </w:pPr>
    </w:p>
    <w:p w14:paraId="0930E1FC" w14:textId="1BFD9E46" w:rsidR="00D70389" w:rsidRPr="00C44E05" w:rsidRDefault="00D70389" w:rsidP="00D70389">
      <w:pPr>
        <w:spacing w:after="0" w:line="240" w:lineRule="auto"/>
        <w:rPr>
          <w:rFonts w:cstheme="minorHAnsi"/>
          <w:lang w:val="es-CO"/>
        </w:rPr>
      </w:pPr>
      <w:r>
        <w:rPr>
          <w:noProof/>
          <w:sz w:val="20"/>
        </w:rPr>
        <w:lastRenderedPageBreak/>
        <w:drawing>
          <wp:anchor distT="0" distB="0" distL="0" distR="0" simplePos="0" relativeHeight="251667456" behindDoc="1" locked="0" layoutInCell="1" allowOverlap="1" wp14:anchorId="0E1C6293" wp14:editId="42FF64D0">
            <wp:simplePos x="0" y="0"/>
            <wp:positionH relativeFrom="page">
              <wp:posOffset>1066800</wp:posOffset>
            </wp:positionH>
            <wp:positionV relativeFrom="paragraph">
              <wp:posOffset>241300</wp:posOffset>
            </wp:positionV>
            <wp:extent cx="5882640" cy="1463040"/>
            <wp:effectExtent l="0" t="0" r="3810" b="381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22" cstate="print"/>
                    <a:srcRect t="-7371"/>
                    <a:stretch>
                      <a:fillRect/>
                    </a:stretch>
                  </pic:blipFill>
                  <pic:spPr bwMode="auto">
                    <a:xfrm>
                      <a:off x="0" y="0"/>
                      <a:ext cx="5882640" cy="146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A36DF" w14:textId="1C985B92" w:rsidR="00D70389" w:rsidRPr="00C44E05" w:rsidRDefault="00D70389" w:rsidP="00D70389">
      <w:pPr>
        <w:spacing w:after="0" w:line="240" w:lineRule="auto"/>
        <w:rPr>
          <w:rFonts w:cstheme="minorHAnsi"/>
          <w:lang w:val="es-CO"/>
        </w:rPr>
      </w:pPr>
      <w:r w:rsidRPr="00C44E05">
        <w:rPr>
          <w:rFonts w:cstheme="minorHAnsi"/>
          <w:lang w:val="es-CO"/>
        </w:rPr>
        <w:t xml:space="preserve"> </w:t>
      </w:r>
    </w:p>
    <w:p w14:paraId="26F7D6F0" w14:textId="2E9B3541" w:rsidR="00D70389" w:rsidRDefault="00D70389" w:rsidP="00D70389">
      <w:pPr>
        <w:spacing w:after="0" w:line="240" w:lineRule="auto"/>
        <w:rPr>
          <w:rFonts w:cstheme="minorHAnsi"/>
          <w:lang w:val="es-CO"/>
        </w:rPr>
      </w:pPr>
    </w:p>
    <w:p w14:paraId="0CFD8B6F" w14:textId="77777777" w:rsidR="00D70389" w:rsidRDefault="00D70389" w:rsidP="00D70389">
      <w:pPr>
        <w:spacing w:after="0" w:line="240" w:lineRule="auto"/>
        <w:ind w:left="142"/>
        <w:rPr>
          <w:rFonts w:cstheme="minorHAnsi"/>
          <w:lang w:val="es-CO"/>
        </w:rPr>
      </w:pPr>
      <w:r>
        <w:rPr>
          <w:noProof/>
          <w:sz w:val="20"/>
        </w:rPr>
        <w:drawing>
          <wp:inline distT="0" distB="0" distL="0" distR="0" wp14:anchorId="539F8C2E" wp14:editId="72A5E2BF">
            <wp:extent cx="5775959" cy="14935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23" cstate="print"/>
                    <a:srcRect t="-8538"/>
                    <a:stretch>
                      <a:fillRect/>
                    </a:stretch>
                  </pic:blipFill>
                  <pic:spPr bwMode="auto">
                    <a:xfrm>
                      <a:off x="0" y="0"/>
                      <a:ext cx="5813116" cy="1503128"/>
                    </a:xfrm>
                    <a:prstGeom prst="rect">
                      <a:avLst/>
                    </a:prstGeom>
                    <a:ln>
                      <a:noFill/>
                    </a:ln>
                    <a:extLst>
                      <a:ext uri="{53640926-AAD7-44D8-BBD7-CCE9431645EC}">
                        <a14:shadowObscured xmlns:a14="http://schemas.microsoft.com/office/drawing/2010/main"/>
                      </a:ext>
                    </a:extLst>
                  </pic:spPr>
                </pic:pic>
              </a:graphicData>
            </a:graphic>
          </wp:inline>
        </w:drawing>
      </w:r>
    </w:p>
    <w:p w14:paraId="75DAD76B" w14:textId="77777777" w:rsidR="00D70389" w:rsidRDefault="00D70389" w:rsidP="00D70389">
      <w:pPr>
        <w:spacing w:after="0" w:line="240" w:lineRule="auto"/>
        <w:rPr>
          <w:rFonts w:cstheme="minorHAnsi"/>
          <w:lang w:val="es-CO"/>
        </w:rPr>
      </w:pPr>
    </w:p>
    <w:p w14:paraId="3B264129" w14:textId="77777777" w:rsidR="004B1FAE" w:rsidRDefault="004B1FAE" w:rsidP="00BD3CA9">
      <w:pPr>
        <w:spacing w:after="0" w:line="240" w:lineRule="auto"/>
        <w:rPr>
          <w:rFonts w:ascii="Arial" w:hAnsi="Arial" w:cs="Arial"/>
          <w:sz w:val="24"/>
          <w:szCs w:val="24"/>
          <w:lang w:val="es-CO"/>
        </w:rPr>
      </w:pPr>
    </w:p>
    <w:p w14:paraId="1093293D" w14:textId="13CB24FE" w:rsidR="004B1FAE" w:rsidRPr="004B1FAE" w:rsidRDefault="004B1FAE" w:rsidP="004B1FAE">
      <w:pPr>
        <w:spacing w:after="0" w:line="240" w:lineRule="auto"/>
        <w:rPr>
          <w:rFonts w:ascii="Arial" w:hAnsi="Arial" w:cs="Arial"/>
          <w:b/>
          <w:bCs/>
          <w:sz w:val="24"/>
          <w:szCs w:val="24"/>
          <w:u w:val="single"/>
          <w:lang w:val="es-CO"/>
        </w:rPr>
      </w:pPr>
      <w:r w:rsidRPr="004B1FAE">
        <w:rPr>
          <w:rFonts w:ascii="Arial" w:hAnsi="Arial" w:cs="Arial"/>
          <w:b/>
          <w:bCs/>
          <w:sz w:val="24"/>
          <w:szCs w:val="24"/>
          <w:u w:val="single"/>
          <w:lang w:val="es-CO"/>
        </w:rPr>
        <w:t>5.5 AJUSTE TRATAMIENTO</w:t>
      </w:r>
    </w:p>
    <w:p w14:paraId="7356EE13" w14:textId="77777777" w:rsidR="004B1FAE" w:rsidRPr="004B1FAE" w:rsidRDefault="004B1FAE" w:rsidP="004B1FAE">
      <w:pPr>
        <w:spacing w:after="0" w:line="240" w:lineRule="auto"/>
        <w:rPr>
          <w:rFonts w:ascii="Arial" w:hAnsi="Arial" w:cs="Arial"/>
          <w:sz w:val="24"/>
          <w:szCs w:val="24"/>
          <w:lang w:val="es-CO"/>
        </w:rPr>
      </w:pPr>
    </w:p>
    <w:p w14:paraId="765C4840" w14:textId="5A873899" w:rsidR="00BD3CA9" w:rsidRPr="004B1FAE" w:rsidRDefault="00BD3CA9" w:rsidP="004B1FAE">
      <w:pPr>
        <w:spacing w:after="0" w:line="240" w:lineRule="auto"/>
        <w:rPr>
          <w:rFonts w:ascii="Arial" w:hAnsi="Arial" w:cs="Arial"/>
          <w:sz w:val="24"/>
          <w:szCs w:val="24"/>
          <w:lang w:val="es-CO"/>
        </w:rPr>
      </w:pPr>
      <w:r w:rsidRPr="004B1FAE">
        <w:rPr>
          <w:rFonts w:ascii="Arial" w:hAnsi="Arial" w:cs="Arial"/>
          <w:sz w:val="24"/>
          <w:szCs w:val="24"/>
          <w:lang w:val="es-CO"/>
        </w:rPr>
        <w:t>Las indicaciones para ajustar la terapia son las siguientes:</w:t>
      </w:r>
    </w:p>
    <w:p w14:paraId="4D4CABBF" w14:textId="77777777" w:rsidR="00BD3CA9" w:rsidRPr="00BD3CA9" w:rsidRDefault="00BD3CA9" w:rsidP="00BD3CA9">
      <w:pPr>
        <w:spacing w:after="0" w:line="240" w:lineRule="auto"/>
        <w:rPr>
          <w:rFonts w:ascii="Arial" w:hAnsi="Arial" w:cs="Arial"/>
          <w:sz w:val="24"/>
          <w:szCs w:val="24"/>
          <w:lang w:val="es-CO"/>
        </w:rPr>
      </w:pPr>
    </w:p>
    <w:p w14:paraId="116598D4" w14:textId="72AF171C" w:rsidR="00BD3CA9" w:rsidRPr="004B1FAE" w:rsidRDefault="00BD3CA9" w:rsidP="00390AC6">
      <w:pPr>
        <w:pStyle w:val="Prrafodelista"/>
        <w:numPr>
          <w:ilvl w:val="0"/>
          <w:numId w:val="18"/>
        </w:numPr>
        <w:spacing w:after="0" w:line="240" w:lineRule="auto"/>
        <w:rPr>
          <w:rFonts w:ascii="Arial" w:hAnsi="Arial" w:cs="Arial"/>
          <w:sz w:val="24"/>
          <w:szCs w:val="24"/>
          <w:lang w:val="es-CO"/>
        </w:rPr>
      </w:pPr>
      <w:r w:rsidRPr="004B1FAE">
        <w:rPr>
          <w:rFonts w:ascii="Arial" w:hAnsi="Arial" w:cs="Arial"/>
          <w:sz w:val="24"/>
          <w:szCs w:val="24"/>
          <w:lang w:val="es-CO"/>
        </w:rPr>
        <w:t>NO obtención de PIO meta</w:t>
      </w:r>
    </w:p>
    <w:p w14:paraId="01A4B9B6" w14:textId="111AC40C" w:rsidR="00BD3CA9" w:rsidRPr="004B1FAE" w:rsidRDefault="00BD3CA9" w:rsidP="00390AC6">
      <w:pPr>
        <w:pStyle w:val="Prrafodelista"/>
        <w:numPr>
          <w:ilvl w:val="0"/>
          <w:numId w:val="18"/>
        </w:numPr>
        <w:spacing w:after="0" w:line="240" w:lineRule="auto"/>
        <w:rPr>
          <w:rFonts w:ascii="Arial" w:hAnsi="Arial" w:cs="Arial"/>
          <w:sz w:val="24"/>
          <w:szCs w:val="24"/>
          <w:lang w:val="es-CO"/>
        </w:rPr>
      </w:pPr>
      <w:r w:rsidRPr="004B1FAE">
        <w:rPr>
          <w:rFonts w:ascii="Arial" w:hAnsi="Arial" w:cs="Arial"/>
          <w:sz w:val="24"/>
          <w:szCs w:val="24"/>
          <w:lang w:val="es-CO"/>
        </w:rPr>
        <w:t>La PIO se mantiene bajo la PIO meta, hay estabilidad campimétrica y del disco óptico por años. Se puede considerar reducir la terapia con un cuidadoso segu</w:t>
      </w:r>
      <w:r w:rsidR="004B1FAE" w:rsidRPr="004B1FAE">
        <w:rPr>
          <w:rFonts w:ascii="Arial" w:hAnsi="Arial" w:cs="Arial"/>
          <w:sz w:val="24"/>
          <w:szCs w:val="24"/>
          <w:lang w:val="es-CO"/>
        </w:rPr>
        <w:t>i</w:t>
      </w:r>
      <w:r w:rsidRPr="004B1FAE">
        <w:rPr>
          <w:rFonts w:ascii="Arial" w:hAnsi="Arial" w:cs="Arial"/>
          <w:sz w:val="24"/>
          <w:szCs w:val="24"/>
          <w:lang w:val="es-CO"/>
        </w:rPr>
        <w:t>miento.</w:t>
      </w:r>
    </w:p>
    <w:p w14:paraId="2775338A" w14:textId="06B49FDF" w:rsidR="00BD3CA9" w:rsidRPr="004B1FAE" w:rsidRDefault="00BD3CA9" w:rsidP="00390AC6">
      <w:pPr>
        <w:pStyle w:val="Prrafodelista"/>
        <w:numPr>
          <w:ilvl w:val="0"/>
          <w:numId w:val="18"/>
        </w:numPr>
        <w:spacing w:after="0" w:line="240" w:lineRule="auto"/>
        <w:rPr>
          <w:rFonts w:ascii="Arial" w:hAnsi="Arial" w:cs="Arial"/>
          <w:sz w:val="24"/>
          <w:szCs w:val="24"/>
          <w:lang w:val="es-CO"/>
        </w:rPr>
      </w:pPr>
      <w:r w:rsidRPr="004B1FAE">
        <w:rPr>
          <w:rFonts w:ascii="Arial" w:hAnsi="Arial" w:cs="Arial"/>
          <w:sz w:val="24"/>
          <w:szCs w:val="24"/>
          <w:lang w:val="es-CO"/>
        </w:rPr>
        <w:t>El paciente no tolera el régimen médico prescrito</w:t>
      </w:r>
    </w:p>
    <w:p w14:paraId="5647065B" w14:textId="0F80017E" w:rsidR="00BD3CA9" w:rsidRPr="004B1FAE" w:rsidRDefault="00BD3CA9" w:rsidP="00390AC6">
      <w:pPr>
        <w:pStyle w:val="Prrafodelista"/>
        <w:numPr>
          <w:ilvl w:val="0"/>
          <w:numId w:val="18"/>
        </w:numPr>
        <w:spacing w:after="0" w:line="240" w:lineRule="auto"/>
        <w:rPr>
          <w:rFonts w:ascii="Arial" w:hAnsi="Arial" w:cs="Arial"/>
          <w:sz w:val="24"/>
          <w:szCs w:val="24"/>
          <w:lang w:val="es-CO"/>
        </w:rPr>
      </w:pPr>
      <w:r w:rsidRPr="004B1FAE">
        <w:rPr>
          <w:rFonts w:ascii="Arial" w:hAnsi="Arial" w:cs="Arial"/>
          <w:sz w:val="24"/>
          <w:szCs w:val="24"/>
          <w:lang w:val="es-CO"/>
        </w:rPr>
        <w:t>El paciente no se adhiere al régimen médico prescrito</w:t>
      </w:r>
    </w:p>
    <w:p w14:paraId="7DCBB280" w14:textId="13669658" w:rsidR="00BD3CA9" w:rsidRPr="004B1FAE" w:rsidRDefault="00BD3CA9" w:rsidP="00390AC6">
      <w:pPr>
        <w:pStyle w:val="Prrafodelista"/>
        <w:numPr>
          <w:ilvl w:val="0"/>
          <w:numId w:val="18"/>
        </w:numPr>
        <w:spacing w:after="0" w:line="240" w:lineRule="auto"/>
        <w:rPr>
          <w:rFonts w:ascii="Arial" w:hAnsi="Arial" w:cs="Arial"/>
          <w:sz w:val="24"/>
          <w:szCs w:val="24"/>
          <w:lang w:val="es-CO"/>
        </w:rPr>
      </w:pPr>
      <w:r w:rsidRPr="004B1FAE">
        <w:rPr>
          <w:rFonts w:ascii="Arial" w:hAnsi="Arial" w:cs="Arial"/>
          <w:sz w:val="24"/>
          <w:szCs w:val="24"/>
          <w:lang w:val="es-CO"/>
        </w:rPr>
        <w:t>Se desarrollan contraindicaciones a medicamentos en particular</w:t>
      </w:r>
    </w:p>
    <w:p w14:paraId="0A8BCE24" w14:textId="05169E1B" w:rsidR="00BD3CA9" w:rsidRDefault="00BD3CA9" w:rsidP="00BD3CA9">
      <w:pPr>
        <w:spacing w:after="0" w:line="240" w:lineRule="auto"/>
        <w:rPr>
          <w:rFonts w:cstheme="minorHAnsi"/>
          <w:lang w:val="es-CO"/>
        </w:rPr>
      </w:pPr>
    </w:p>
    <w:p w14:paraId="4FBC1254" w14:textId="7D17F3E8" w:rsidR="00477385" w:rsidRDefault="00477385" w:rsidP="00BD3CA9">
      <w:pPr>
        <w:spacing w:after="0" w:line="240" w:lineRule="auto"/>
        <w:rPr>
          <w:rFonts w:cstheme="minorHAnsi"/>
          <w:lang w:val="es-CO"/>
        </w:rPr>
      </w:pPr>
    </w:p>
    <w:p w14:paraId="1AF511DB" w14:textId="128D30A5" w:rsidR="00477385" w:rsidRDefault="00477385" w:rsidP="00BD3CA9">
      <w:pPr>
        <w:spacing w:after="0" w:line="240" w:lineRule="auto"/>
        <w:rPr>
          <w:rFonts w:cstheme="minorHAnsi"/>
          <w:lang w:val="es-CO"/>
        </w:rPr>
      </w:pPr>
    </w:p>
    <w:p w14:paraId="4D8FDFF7" w14:textId="238FDF26" w:rsidR="004B1FAE" w:rsidRDefault="004B1FAE" w:rsidP="00BD3CA9">
      <w:pPr>
        <w:spacing w:after="0" w:line="240" w:lineRule="auto"/>
        <w:rPr>
          <w:rFonts w:cstheme="minorHAnsi"/>
          <w:lang w:val="es-CO"/>
        </w:rPr>
      </w:pPr>
    </w:p>
    <w:p w14:paraId="6170752B" w14:textId="324BCD96" w:rsidR="004B1FAE" w:rsidRDefault="004B1FAE" w:rsidP="00BD3CA9">
      <w:pPr>
        <w:spacing w:after="0" w:line="240" w:lineRule="auto"/>
        <w:rPr>
          <w:rFonts w:cstheme="minorHAnsi"/>
          <w:lang w:val="es-CO"/>
        </w:rPr>
      </w:pPr>
    </w:p>
    <w:p w14:paraId="211ABA9A" w14:textId="197567E3" w:rsidR="004B1FAE" w:rsidRDefault="004B1FAE" w:rsidP="00BD3CA9">
      <w:pPr>
        <w:spacing w:after="0" w:line="240" w:lineRule="auto"/>
        <w:rPr>
          <w:rFonts w:cstheme="minorHAnsi"/>
          <w:lang w:val="es-CO"/>
        </w:rPr>
      </w:pPr>
    </w:p>
    <w:p w14:paraId="481F1CF2" w14:textId="6CA65391" w:rsidR="004B1FAE" w:rsidRDefault="004B1FAE" w:rsidP="00BD3CA9">
      <w:pPr>
        <w:spacing w:after="0" w:line="240" w:lineRule="auto"/>
        <w:rPr>
          <w:rFonts w:cstheme="minorHAnsi"/>
          <w:lang w:val="es-CO"/>
        </w:rPr>
      </w:pPr>
    </w:p>
    <w:p w14:paraId="43E0D1D8" w14:textId="22DF222A" w:rsidR="004B1FAE" w:rsidRDefault="004B1FAE" w:rsidP="00BD3CA9">
      <w:pPr>
        <w:spacing w:after="0" w:line="240" w:lineRule="auto"/>
        <w:rPr>
          <w:rFonts w:cstheme="minorHAnsi"/>
          <w:lang w:val="es-CO"/>
        </w:rPr>
      </w:pPr>
    </w:p>
    <w:p w14:paraId="652E5ECD" w14:textId="3EF7CB7E" w:rsidR="004B1FAE" w:rsidRDefault="004B1FAE" w:rsidP="00BD3CA9">
      <w:pPr>
        <w:spacing w:after="0" w:line="240" w:lineRule="auto"/>
        <w:rPr>
          <w:rFonts w:cstheme="minorHAnsi"/>
          <w:lang w:val="es-CO"/>
        </w:rPr>
      </w:pPr>
    </w:p>
    <w:p w14:paraId="2817243D" w14:textId="2BB5A9FB" w:rsidR="00EA2749" w:rsidRPr="00477385" w:rsidRDefault="00A464CC" w:rsidP="00390AC6">
      <w:pPr>
        <w:pStyle w:val="Ttulo1"/>
        <w:numPr>
          <w:ilvl w:val="0"/>
          <w:numId w:val="1"/>
        </w:numPr>
        <w:rPr>
          <w:rFonts w:ascii="Arial" w:hAnsi="Arial" w:cs="Arial"/>
          <w:lang w:val="es-CO"/>
        </w:rPr>
      </w:pPr>
      <w:r w:rsidRPr="00477385">
        <w:rPr>
          <w:rFonts w:ascii="Arial" w:hAnsi="Arial" w:cs="Arial"/>
          <w:lang w:val="es-CO"/>
        </w:rPr>
        <w:lastRenderedPageBreak/>
        <w:t>RECOMENDACIONES</w:t>
      </w:r>
      <w:r w:rsidR="005E0C20" w:rsidRPr="00477385">
        <w:rPr>
          <w:rFonts w:ascii="Arial" w:hAnsi="Arial" w:cs="Arial"/>
          <w:lang w:val="es-CO"/>
        </w:rPr>
        <w:t xml:space="preserve"> </w:t>
      </w:r>
      <w:r w:rsidRPr="00477385">
        <w:rPr>
          <w:rFonts w:ascii="Arial" w:hAnsi="Arial" w:cs="Arial"/>
          <w:lang w:val="es-CO"/>
        </w:rPr>
        <w:t>Y DESCRIPCIÓN DE ACTIVIDADES</w:t>
      </w:r>
    </w:p>
    <w:tbl>
      <w:tblPr>
        <w:tblStyle w:val="Tablaconcuadrcula"/>
        <w:tblpPr w:leftFromText="141" w:rightFromText="141" w:vertAnchor="text" w:horzAnchor="page" w:tblpX="625" w:tblpY="358"/>
        <w:tblW w:w="10768" w:type="dxa"/>
        <w:tblLayout w:type="fixed"/>
        <w:tblLook w:val="04A0" w:firstRow="1" w:lastRow="0" w:firstColumn="1" w:lastColumn="0" w:noHBand="0" w:noVBand="1"/>
      </w:tblPr>
      <w:tblGrid>
        <w:gridCol w:w="440"/>
        <w:gridCol w:w="2532"/>
        <w:gridCol w:w="5387"/>
        <w:gridCol w:w="2409"/>
      </w:tblGrid>
      <w:tr w:rsidR="00A464CC" w14:paraId="6BA94679" w14:textId="77777777" w:rsidTr="00477385">
        <w:trPr>
          <w:trHeight w:val="277"/>
        </w:trPr>
        <w:tc>
          <w:tcPr>
            <w:tcW w:w="440" w:type="dxa"/>
            <w:shd w:val="clear" w:color="auto" w:fill="A8D08D" w:themeFill="accent6" w:themeFillTint="99"/>
            <w:vAlign w:val="center"/>
          </w:tcPr>
          <w:p w14:paraId="39EC2862" w14:textId="77777777" w:rsidR="00A464CC" w:rsidRPr="00477385" w:rsidRDefault="00A464CC" w:rsidP="00C70EAF">
            <w:pPr>
              <w:jc w:val="center"/>
              <w:rPr>
                <w:rFonts w:ascii="Arial" w:hAnsi="Arial" w:cs="Arial"/>
                <w:b/>
                <w:bCs/>
                <w:sz w:val="20"/>
                <w:szCs w:val="20"/>
                <w:lang w:val="es-CO"/>
              </w:rPr>
            </w:pPr>
            <w:r w:rsidRPr="00477385">
              <w:rPr>
                <w:rFonts w:ascii="Arial" w:hAnsi="Arial" w:cs="Arial"/>
                <w:b/>
                <w:bCs/>
                <w:sz w:val="20"/>
                <w:szCs w:val="20"/>
                <w:lang w:val="es-CO"/>
              </w:rPr>
              <w:t>ID</w:t>
            </w:r>
          </w:p>
        </w:tc>
        <w:tc>
          <w:tcPr>
            <w:tcW w:w="2532" w:type="dxa"/>
            <w:shd w:val="clear" w:color="auto" w:fill="A8D08D" w:themeFill="accent6" w:themeFillTint="99"/>
            <w:vAlign w:val="center"/>
          </w:tcPr>
          <w:p w14:paraId="33D5F831" w14:textId="77777777" w:rsidR="00A464CC" w:rsidRPr="00477385" w:rsidRDefault="00A464CC" w:rsidP="00C70EAF">
            <w:pPr>
              <w:jc w:val="center"/>
              <w:rPr>
                <w:rFonts w:ascii="Arial" w:hAnsi="Arial" w:cs="Arial"/>
                <w:b/>
                <w:bCs/>
                <w:sz w:val="20"/>
                <w:szCs w:val="20"/>
                <w:lang w:val="es-CO"/>
              </w:rPr>
            </w:pPr>
            <w:r w:rsidRPr="00477385">
              <w:rPr>
                <w:rFonts w:ascii="Arial" w:hAnsi="Arial" w:cs="Arial"/>
                <w:b/>
                <w:bCs/>
                <w:sz w:val="20"/>
                <w:szCs w:val="20"/>
                <w:lang w:val="es-CO"/>
              </w:rPr>
              <w:t>Recomendación</w:t>
            </w:r>
          </w:p>
        </w:tc>
        <w:tc>
          <w:tcPr>
            <w:tcW w:w="5387" w:type="dxa"/>
            <w:shd w:val="clear" w:color="auto" w:fill="A8D08D" w:themeFill="accent6" w:themeFillTint="99"/>
            <w:vAlign w:val="center"/>
          </w:tcPr>
          <w:p w14:paraId="329F394E" w14:textId="77777777" w:rsidR="00A464CC" w:rsidRPr="00477385" w:rsidRDefault="00A464CC" w:rsidP="00C70EAF">
            <w:pPr>
              <w:jc w:val="center"/>
              <w:rPr>
                <w:rFonts w:ascii="Arial" w:hAnsi="Arial" w:cs="Arial"/>
                <w:b/>
                <w:bCs/>
                <w:sz w:val="20"/>
                <w:szCs w:val="20"/>
                <w:lang w:val="es-CO"/>
              </w:rPr>
            </w:pPr>
            <w:r w:rsidRPr="00477385">
              <w:rPr>
                <w:rFonts w:ascii="Arial" w:hAnsi="Arial" w:cs="Arial"/>
                <w:b/>
                <w:bCs/>
                <w:sz w:val="20"/>
                <w:szCs w:val="20"/>
                <w:lang w:val="es-CO"/>
              </w:rPr>
              <w:t>Actividad/es</w:t>
            </w:r>
          </w:p>
        </w:tc>
        <w:tc>
          <w:tcPr>
            <w:tcW w:w="2409" w:type="dxa"/>
            <w:shd w:val="clear" w:color="auto" w:fill="A8D08D" w:themeFill="accent6" w:themeFillTint="99"/>
          </w:tcPr>
          <w:p w14:paraId="21664672" w14:textId="77777777" w:rsidR="00A464CC" w:rsidRPr="00477385" w:rsidRDefault="00A464CC" w:rsidP="00C70EAF">
            <w:pPr>
              <w:jc w:val="center"/>
              <w:rPr>
                <w:rFonts w:ascii="Arial" w:hAnsi="Arial" w:cs="Arial"/>
                <w:b/>
                <w:bCs/>
                <w:sz w:val="20"/>
                <w:szCs w:val="20"/>
                <w:lang w:val="es-CO"/>
              </w:rPr>
            </w:pPr>
            <w:r w:rsidRPr="00477385">
              <w:rPr>
                <w:rFonts w:ascii="Arial" w:hAnsi="Arial" w:cs="Arial"/>
                <w:b/>
                <w:bCs/>
                <w:sz w:val="20"/>
                <w:szCs w:val="20"/>
                <w:lang w:val="es-CO"/>
              </w:rPr>
              <w:t>Observación</w:t>
            </w:r>
          </w:p>
        </w:tc>
      </w:tr>
      <w:tr w:rsidR="00C12D83" w14:paraId="67F6FAB0" w14:textId="77777777" w:rsidTr="00C56FCF">
        <w:trPr>
          <w:trHeight w:val="277"/>
        </w:trPr>
        <w:tc>
          <w:tcPr>
            <w:tcW w:w="10768" w:type="dxa"/>
            <w:gridSpan w:val="4"/>
            <w:shd w:val="clear" w:color="auto" w:fill="FFE599" w:themeFill="accent4" w:themeFillTint="66"/>
            <w:vAlign w:val="center"/>
          </w:tcPr>
          <w:p w14:paraId="01F9D1EC" w14:textId="4A5A8D40" w:rsidR="00C12D83" w:rsidRPr="00477385" w:rsidRDefault="00C12D83" w:rsidP="00C70EAF">
            <w:pPr>
              <w:jc w:val="center"/>
              <w:rPr>
                <w:rFonts w:ascii="Arial" w:hAnsi="Arial" w:cs="Arial"/>
                <w:b/>
                <w:bCs/>
                <w:sz w:val="20"/>
                <w:szCs w:val="20"/>
                <w:lang w:val="es-CO"/>
              </w:rPr>
            </w:pPr>
            <w:r w:rsidRPr="00477385">
              <w:rPr>
                <w:rFonts w:ascii="Arial" w:hAnsi="Arial" w:cs="Arial"/>
                <w:b/>
                <w:bCs/>
                <w:sz w:val="20"/>
                <w:szCs w:val="20"/>
                <w:lang w:val="es-CO"/>
              </w:rPr>
              <w:t>ATENCIÓN DEL PACIENTE CON SOSPECHA DE GLAUCOMA</w:t>
            </w:r>
          </w:p>
        </w:tc>
      </w:tr>
      <w:tr w:rsidR="00477385" w14:paraId="21EC5A18" w14:textId="77777777" w:rsidTr="00477385">
        <w:trPr>
          <w:trHeight w:val="277"/>
        </w:trPr>
        <w:tc>
          <w:tcPr>
            <w:tcW w:w="440" w:type="dxa"/>
            <w:shd w:val="clear" w:color="auto" w:fill="FFFFFF" w:themeFill="background1"/>
            <w:vAlign w:val="center"/>
          </w:tcPr>
          <w:p w14:paraId="2826DAA5" w14:textId="473C6AF4" w:rsidR="0047738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1</w:t>
            </w:r>
          </w:p>
        </w:tc>
        <w:tc>
          <w:tcPr>
            <w:tcW w:w="2532" w:type="dxa"/>
            <w:shd w:val="clear" w:color="auto" w:fill="FFFFFF" w:themeFill="background1"/>
          </w:tcPr>
          <w:p w14:paraId="759EBA8A" w14:textId="40DF18CB" w:rsidR="00477385" w:rsidRPr="00477385" w:rsidRDefault="00477385" w:rsidP="003E1775">
            <w:pPr>
              <w:pStyle w:val="Sinespaciado"/>
              <w:spacing w:line="276" w:lineRule="auto"/>
              <w:jc w:val="center"/>
              <w:rPr>
                <w:rFonts w:ascii="Arial" w:hAnsi="Arial" w:cs="Arial"/>
                <w:sz w:val="20"/>
                <w:szCs w:val="20"/>
                <w:lang w:val="es-CO"/>
              </w:rPr>
            </w:pPr>
            <w:r w:rsidRPr="00477385">
              <w:rPr>
                <w:rFonts w:ascii="Arial" w:hAnsi="Arial" w:cs="Arial"/>
                <w:sz w:val="20"/>
                <w:szCs w:val="20"/>
              </w:rPr>
              <w:t xml:space="preserve">Se recomienda </w:t>
            </w:r>
            <w:r w:rsidR="003E1775">
              <w:rPr>
                <w:rFonts w:ascii="Arial" w:hAnsi="Arial" w:cs="Arial"/>
                <w:sz w:val="20"/>
                <w:szCs w:val="20"/>
              </w:rPr>
              <w:t xml:space="preserve">a médico no oftalmólogo </w:t>
            </w:r>
            <w:r w:rsidRPr="00477385">
              <w:rPr>
                <w:rFonts w:ascii="Arial" w:hAnsi="Arial" w:cs="Arial"/>
                <w:sz w:val="20"/>
                <w:szCs w:val="20"/>
              </w:rPr>
              <w:t>identificar oportunamente pacientes con sospecha de glaucoma mediante evaluación oftalmológica integral y búsqueda activa de factores de riesgo.</w:t>
            </w:r>
          </w:p>
        </w:tc>
        <w:tc>
          <w:tcPr>
            <w:tcW w:w="5387" w:type="dxa"/>
            <w:shd w:val="clear" w:color="auto" w:fill="FFFFFF" w:themeFill="background1"/>
          </w:tcPr>
          <w:p w14:paraId="5B5BFC20" w14:textId="455D7CAB" w:rsidR="00477385" w:rsidRDefault="00477385" w:rsidP="00390AC6">
            <w:pPr>
              <w:pStyle w:val="Sinespaciado"/>
              <w:numPr>
                <w:ilvl w:val="0"/>
                <w:numId w:val="10"/>
              </w:numPr>
              <w:spacing w:line="276" w:lineRule="auto"/>
              <w:ind w:left="360"/>
              <w:rPr>
                <w:rFonts w:ascii="Arial" w:hAnsi="Arial" w:cs="Arial"/>
                <w:sz w:val="20"/>
                <w:szCs w:val="20"/>
              </w:rPr>
            </w:pPr>
            <w:r w:rsidRPr="00477385">
              <w:rPr>
                <w:rFonts w:ascii="Arial" w:hAnsi="Arial" w:cs="Arial"/>
                <w:color w:val="000000" w:themeColor="text1"/>
                <w:sz w:val="20"/>
                <w:szCs w:val="20"/>
                <w:shd w:val="clear" w:color="auto" w:fill="FFFFFF"/>
              </w:rPr>
              <w:t xml:space="preserve">El </w:t>
            </w:r>
            <w:r w:rsidR="003364C6">
              <w:rPr>
                <w:rFonts w:ascii="Arial" w:hAnsi="Arial" w:cs="Arial"/>
                <w:color w:val="000000" w:themeColor="text1"/>
                <w:sz w:val="20"/>
                <w:szCs w:val="20"/>
                <w:shd w:val="clear" w:color="auto" w:fill="FFFFFF"/>
              </w:rPr>
              <w:t>médico no oftalmólogo</w:t>
            </w:r>
            <w:r w:rsidRPr="00477385">
              <w:rPr>
                <w:rFonts w:ascii="Arial" w:hAnsi="Arial" w:cs="Arial"/>
                <w:color w:val="000000" w:themeColor="text1"/>
                <w:sz w:val="20"/>
                <w:szCs w:val="20"/>
                <w:shd w:val="clear" w:color="auto" w:fill="FFFFFF"/>
              </w:rPr>
              <w:t xml:space="preserve"> debe interrogar y registrar </w:t>
            </w:r>
            <w:r w:rsidRPr="00477385">
              <w:rPr>
                <w:rFonts w:ascii="Arial" w:hAnsi="Arial" w:cs="Arial"/>
                <w:sz w:val="20"/>
                <w:szCs w:val="20"/>
              </w:rPr>
              <w:t>hallazgos clínicos, antecedentes personales y condiciones sistémicas</w:t>
            </w:r>
            <w:r>
              <w:rPr>
                <w:rFonts w:ascii="Arial" w:hAnsi="Arial" w:cs="Arial"/>
                <w:sz w:val="20"/>
                <w:szCs w:val="20"/>
              </w:rPr>
              <w:t>, que incrementan el riesgo de glaucoma.</w:t>
            </w:r>
            <w:r w:rsidR="003364C6">
              <w:rPr>
                <w:rFonts w:ascii="Arial" w:hAnsi="Arial" w:cs="Arial"/>
                <w:sz w:val="20"/>
                <w:szCs w:val="20"/>
              </w:rPr>
              <w:t xml:space="preserve"> Con estas consideraciones remitir a Oftalmología.</w:t>
            </w:r>
          </w:p>
          <w:p w14:paraId="3864273B" w14:textId="77777777" w:rsidR="00477385" w:rsidRDefault="00477385" w:rsidP="00477385">
            <w:pPr>
              <w:pStyle w:val="Sinespaciado"/>
              <w:spacing w:line="276" w:lineRule="auto"/>
              <w:rPr>
                <w:rFonts w:ascii="Arial" w:hAnsi="Arial" w:cs="Arial"/>
                <w:sz w:val="20"/>
                <w:szCs w:val="20"/>
              </w:rPr>
            </w:pPr>
          </w:p>
          <w:p w14:paraId="65672EBA" w14:textId="4FD43666" w:rsidR="003364C6" w:rsidRPr="00477385" w:rsidRDefault="003364C6" w:rsidP="003364C6">
            <w:pPr>
              <w:pStyle w:val="Sinespaciado"/>
              <w:spacing w:line="276" w:lineRule="auto"/>
              <w:rPr>
                <w:rFonts w:ascii="Arial" w:hAnsi="Arial" w:cs="Arial"/>
                <w:color w:val="000000" w:themeColor="text1"/>
                <w:sz w:val="20"/>
                <w:szCs w:val="20"/>
                <w:lang w:val="es-CO"/>
              </w:rPr>
            </w:pPr>
          </w:p>
        </w:tc>
        <w:tc>
          <w:tcPr>
            <w:tcW w:w="2409" w:type="dxa"/>
            <w:vMerge w:val="restart"/>
            <w:shd w:val="clear" w:color="auto" w:fill="FFFFFF" w:themeFill="background1"/>
          </w:tcPr>
          <w:p w14:paraId="6980012C" w14:textId="77777777" w:rsidR="00477385" w:rsidRDefault="00477385" w:rsidP="00477385">
            <w:pPr>
              <w:pStyle w:val="Sinespaciado"/>
              <w:jc w:val="center"/>
              <w:rPr>
                <w:rFonts w:ascii="Arial" w:hAnsi="Arial" w:cs="Arial"/>
                <w:b/>
                <w:bCs/>
                <w:sz w:val="20"/>
                <w:szCs w:val="20"/>
                <w:u w:val="single"/>
                <w:lang w:val="es-CO"/>
              </w:rPr>
            </w:pPr>
          </w:p>
          <w:p w14:paraId="6D98B446" w14:textId="77777777" w:rsidR="00477385" w:rsidRDefault="00477385" w:rsidP="00477385">
            <w:pPr>
              <w:pStyle w:val="Sinespaciado"/>
              <w:jc w:val="center"/>
              <w:rPr>
                <w:rFonts w:ascii="Arial" w:hAnsi="Arial" w:cs="Arial"/>
                <w:b/>
                <w:bCs/>
                <w:sz w:val="20"/>
                <w:szCs w:val="20"/>
                <w:u w:val="single"/>
                <w:lang w:val="es-CO"/>
              </w:rPr>
            </w:pPr>
          </w:p>
          <w:p w14:paraId="01AC3C24" w14:textId="77777777" w:rsidR="00477385" w:rsidRDefault="00477385" w:rsidP="00477385">
            <w:pPr>
              <w:pStyle w:val="Sinespaciado"/>
              <w:jc w:val="center"/>
              <w:rPr>
                <w:rFonts w:ascii="Arial" w:hAnsi="Arial" w:cs="Arial"/>
                <w:b/>
                <w:bCs/>
                <w:sz w:val="20"/>
                <w:szCs w:val="20"/>
                <w:u w:val="single"/>
                <w:lang w:val="es-CO"/>
              </w:rPr>
            </w:pPr>
          </w:p>
          <w:p w14:paraId="5DD7413B" w14:textId="77777777" w:rsidR="00477385" w:rsidRDefault="00477385" w:rsidP="00477385">
            <w:pPr>
              <w:pStyle w:val="Sinespaciado"/>
              <w:jc w:val="center"/>
              <w:rPr>
                <w:rFonts w:ascii="Arial" w:hAnsi="Arial" w:cs="Arial"/>
                <w:b/>
                <w:bCs/>
                <w:sz w:val="20"/>
                <w:szCs w:val="20"/>
                <w:u w:val="single"/>
                <w:lang w:val="es-CO"/>
              </w:rPr>
            </w:pPr>
          </w:p>
          <w:p w14:paraId="0045CD42" w14:textId="2CBB9D31" w:rsidR="00477385" w:rsidRDefault="003364C6" w:rsidP="00477385">
            <w:pPr>
              <w:pStyle w:val="Sinespaciado"/>
              <w:jc w:val="center"/>
              <w:rPr>
                <w:rFonts w:ascii="Arial" w:hAnsi="Arial" w:cs="Arial"/>
                <w:b/>
                <w:bCs/>
                <w:sz w:val="20"/>
                <w:szCs w:val="20"/>
                <w:u w:val="single"/>
                <w:lang w:val="es-CO"/>
              </w:rPr>
            </w:pPr>
            <w:r>
              <w:rPr>
                <w:rFonts w:ascii="Arial" w:hAnsi="Arial" w:cs="Arial"/>
                <w:b/>
                <w:bCs/>
                <w:sz w:val="20"/>
                <w:szCs w:val="20"/>
                <w:u w:val="single"/>
                <w:lang w:val="es-CO"/>
              </w:rPr>
              <w:t>Registrar hallazgos en historia clínica</w:t>
            </w:r>
          </w:p>
          <w:p w14:paraId="00A74F84" w14:textId="77777777" w:rsidR="00477385" w:rsidRDefault="00477385" w:rsidP="00477385">
            <w:pPr>
              <w:pStyle w:val="Sinespaciado"/>
              <w:jc w:val="center"/>
              <w:rPr>
                <w:rFonts w:ascii="Arial" w:hAnsi="Arial" w:cs="Arial"/>
                <w:b/>
                <w:bCs/>
                <w:sz w:val="20"/>
                <w:szCs w:val="20"/>
                <w:u w:val="single"/>
                <w:lang w:val="es-CO"/>
              </w:rPr>
            </w:pPr>
          </w:p>
          <w:p w14:paraId="3EF88CE7" w14:textId="77777777" w:rsidR="00477385" w:rsidRDefault="00477385" w:rsidP="00477385">
            <w:pPr>
              <w:pStyle w:val="Sinespaciado"/>
              <w:jc w:val="center"/>
              <w:rPr>
                <w:rFonts w:ascii="Arial" w:hAnsi="Arial" w:cs="Arial"/>
                <w:b/>
                <w:bCs/>
                <w:sz w:val="20"/>
                <w:szCs w:val="20"/>
                <w:u w:val="single"/>
                <w:lang w:val="es-CO"/>
              </w:rPr>
            </w:pPr>
          </w:p>
          <w:p w14:paraId="6C90FFC4" w14:textId="77777777" w:rsidR="00477385" w:rsidRDefault="00477385" w:rsidP="00477385">
            <w:pPr>
              <w:pStyle w:val="Sinespaciado"/>
              <w:jc w:val="center"/>
              <w:rPr>
                <w:rFonts w:ascii="Arial" w:hAnsi="Arial" w:cs="Arial"/>
                <w:b/>
                <w:bCs/>
                <w:sz w:val="20"/>
                <w:szCs w:val="20"/>
                <w:u w:val="single"/>
                <w:lang w:val="es-CO"/>
              </w:rPr>
            </w:pPr>
          </w:p>
          <w:p w14:paraId="4278734E" w14:textId="60425A59" w:rsidR="00477385" w:rsidRPr="00477385" w:rsidRDefault="00477385" w:rsidP="00477385">
            <w:pPr>
              <w:pStyle w:val="Sinespaciado"/>
              <w:jc w:val="center"/>
              <w:rPr>
                <w:rFonts w:ascii="Arial" w:hAnsi="Arial" w:cs="Arial"/>
                <w:b/>
                <w:bCs/>
                <w:sz w:val="20"/>
                <w:szCs w:val="20"/>
                <w:u w:val="single"/>
                <w:lang w:val="es-CO"/>
              </w:rPr>
            </w:pPr>
            <w:r w:rsidRPr="00477385">
              <w:rPr>
                <w:rFonts w:ascii="Arial" w:hAnsi="Arial" w:cs="Arial"/>
                <w:b/>
                <w:bCs/>
                <w:sz w:val="20"/>
                <w:szCs w:val="20"/>
                <w:u w:val="single"/>
                <w:lang w:val="es-CO"/>
              </w:rPr>
              <w:t>Ver ítem 5.1 y 5.2</w:t>
            </w:r>
          </w:p>
        </w:tc>
      </w:tr>
      <w:tr w:rsidR="00477385" w14:paraId="5BD2F27F" w14:textId="77777777" w:rsidTr="00477385">
        <w:trPr>
          <w:trHeight w:val="277"/>
        </w:trPr>
        <w:tc>
          <w:tcPr>
            <w:tcW w:w="440" w:type="dxa"/>
            <w:shd w:val="clear" w:color="auto" w:fill="FFFFFF" w:themeFill="background1"/>
            <w:vAlign w:val="center"/>
          </w:tcPr>
          <w:p w14:paraId="0B8665AE" w14:textId="73DFE715" w:rsidR="0047738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2</w:t>
            </w:r>
          </w:p>
        </w:tc>
        <w:tc>
          <w:tcPr>
            <w:tcW w:w="2532" w:type="dxa"/>
            <w:shd w:val="clear" w:color="auto" w:fill="FFFFFF" w:themeFill="background1"/>
          </w:tcPr>
          <w:p w14:paraId="3DF78998" w14:textId="69DB2C01" w:rsidR="00477385" w:rsidRPr="00477385" w:rsidRDefault="00477385" w:rsidP="003E1775">
            <w:pPr>
              <w:pStyle w:val="Sinespaciado"/>
              <w:spacing w:line="276" w:lineRule="auto"/>
              <w:jc w:val="center"/>
              <w:rPr>
                <w:rFonts w:ascii="Arial" w:hAnsi="Arial" w:cs="Arial"/>
                <w:sz w:val="20"/>
                <w:szCs w:val="20"/>
              </w:rPr>
            </w:pPr>
            <w:r w:rsidRPr="00477385">
              <w:rPr>
                <w:rFonts w:ascii="Arial" w:hAnsi="Arial" w:cs="Arial"/>
                <w:sz w:val="20"/>
                <w:szCs w:val="20"/>
              </w:rPr>
              <w:t>Se recomienda sospechar glaucoma en pacientes con alteraciones estructurales o funcionales compatibles con neuropatía óptica glaucomatosa.</w:t>
            </w:r>
          </w:p>
        </w:tc>
        <w:tc>
          <w:tcPr>
            <w:tcW w:w="5387" w:type="dxa"/>
            <w:shd w:val="clear" w:color="auto" w:fill="FFFFFF" w:themeFill="background1"/>
          </w:tcPr>
          <w:p w14:paraId="096CFF3E" w14:textId="5DA606BE" w:rsidR="00477385" w:rsidRPr="003364C6" w:rsidRDefault="003364C6" w:rsidP="00390AC6">
            <w:pPr>
              <w:pStyle w:val="Sinespaciado"/>
              <w:numPr>
                <w:ilvl w:val="0"/>
                <w:numId w:val="10"/>
              </w:numPr>
              <w:spacing w:line="276" w:lineRule="auto"/>
              <w:ind w:left="360"/>
              <w:rPr>
                <w:rFonts w:ascii="Arial" w:hAnsi="Arial" w:cs="Arial"/>
                <w:color w:val="000000" w:themeColor="text1"/>
                <w:sz w:val="20"/>
                <w:szCs w:val="20"/>
                <w:shd w:val="clear" w:color="auto" w:fill="FFFFFF"/>
              </w:rPr>
            </w:pPr>
            <w:r w:rsidRPr="003364C6">
              <w:rPr>
                <w:rFonts w:ascii="Arial" w:hAnsi="Arial" w:cs="Arial"/>
                <w:color w:val="303030"/>
                <w:sz w:val="20"/>
                <w:szCs w:val="20"/>
                <w:shd w:val="clear" w:color="auto" w:fill="FFFFFF"/>
              </w:rPr>
              <w:t>El especialista</w:t>
            </w:r>
            <w:r>
              <w:rPr>
                <w:rFonts w:ascii="Arial" w:hAnsi="Arial" w:cs="Arial"/>
                <w:color w:val="303030"/>
                <w:sz w:val="20"/>
                <w:szCs w:val="20"/>
                <w:shd w:val="clear" w:color="auto" w:fill="FFFFFF"/>
              </w:rPr>
              <w:t xml:space="preserve"> de Oftalmología</w:t>
            </w:r>
            <w:r w:rsidRPr="003364C6">
              <w:rPr>
                <w:rFonts w:ascii="Arial" w:hAnsi="Arial" w:cs="Arial"/>
                <w:color w:val="303030"/>
                <w:sz w:val="20"/>
                <w:szCs w:val="20"/>
                <w:shd w:val="clear" w:color="auto" w:fill="FFFFFF"/>
              </w:rPr>
              <w:t xml:space="preserve"> debe realizar: toma de presión intraocular (PIO), paquimetría corneal (grosor central), gonioscopía (estado del ángulo), evaluación de la cabeza del nervio óptico y fundoscopia</w:t>
            </w:r>
            <w:r w:rsidR="00477385" w:rsidRPr="003364C6">
              <w:rPr>
                <w:rFonts w:ascii="Arial" w:hAnsi="Arial" w:cs="Arial"/>
                <w:sz w:val="20"/>
                <w:szCs w:val="20"/>
              </w:rPr>
              <w:t>.</w:t>
            </w:r>
            <w:r>
              <w:rPr>
                <w:rFonts w:ascii="Arial" w:hAnsi="Arial" w:cs="Arial"/>
                <w:sz w:val="20"/>
                <w:szCs w:val="20"/>
              </w:rPr>
              <w:t xml:space="preserve"> </w:t>
            </w:r>
          </w:p>
          <w:p w14:paraId="58F7DDB5" w14:textId="77777777" w:rsidR="00477385" w:rsidRPr="00477385" w:rsidRDefault="00477385" w:rsidP="00477385">
            <w:pPr>
              <w:pStyle w:val="Sinespaciado"/>
              <w:spacing w:line="276" w:lineRule="auto"/>
              <w:ind w:left="360"/>
              <w:rPr>
                <w:rFonts w:ascii="Arial" w:hAnsi="Arial" w:cs="Arial"/>
                <w:color w:val="000000" w:themeColor="text1"/>
                <w:sz w:val="20"/>
                <w:szCs w:val="20"/>
                <w:shd w:val="clear" w:color="auto" w:fill="FFFFFF"/>
              </w:rPr>
            </w:pPr>
          </w:p>
          <w:p w14:paraId="5C666DB3" w14:textId="753973B8" w:rsidR="00477385" w:rsidRPr="00477385" w:rsidRDefault="00477385" w:rsidP="00390AC6">
            <w:pPr>
              <w:pStyle w:val="Sinespaciado"/>
              <w:numPr>
                <w:ilvl w:val="0"/>
                <w:numId w:val="10"/>
              </w:numPr>
              <w:spacing w:line="276" w:lineRule="auto"/>
              <w:ind w:left="360"/>
              <w:rPr>
                <w:rFonts w:ascii="Arial" w:hAnsi="Arial" w:cs="Arial"/>
                <w:color w:val="000000" w:themeColor="text1"/>
                <w:sz w:val="20"/>
                <w:szCs w:val="20"/>
                <w:shd w:val="clear" w:color="auto" w:fill="FFFFFF"/>
              </w:rPr>
            </w:pPr>
            <w:r w:rsidRPr="00477385">
              <w:rPr>
                <w:rFonts w:ascii="Arial" w:hAnsi="Arial" w:cs="Arial"/>
                <w:sz w:val="20"/>
                <w:szCs w:val="20"/>
              </w:rPr>
              <w:t xml:space="preserve">Son hallazgos sugestivos: excavación aumentada o asimétrica, adelgazamiento del anillo neuro retiniano, hemorragias del disco óptico, defectos de fibras nerviosas y alteraciones </w:t>
            </w:r>
            <w:r w:rsidR="003E1775">
              <w:rPr>
                <w:rFonts w:ascii="Arial" w:hAnsi="Arial" w:cs="Arial"/>
                <w:sz w:val="20"/>
                <w:szCs w:val="20"/>
              </w:rPr>
              <w:t xml:space="preserve">en </w:t>
            </w:r>
            <w:r w:rsidRPr="00477385">
              <w:rPr>
                <w:rFonts w:ascii="Arial" w:hAnsi="Arial" w:cs="Arial"/>
                <w:sz w:val="20"/>
                <w:szCs w:val="20"/>
              </w:rPr>
              <w:t>campimetría</w:t>
            </w:r>
            <w:r w:rsidR="003E1775">
              <w:rPr>
                <w:rFonts w:ascii="Arial" w:hAnsi="Arial" w:cs="Arial"/>
                <w:sz w:val="20"/>
                <w:szCs w:val="20"/>
              </w:rPr>
              <w:t>.</w:t>
            </w:r>
          </w:p>
        </w:tc>
        <w:tc>
          <w:tcPr>
            <w:tcW w:w="2409" w:type="dxa"/>
            <w:vMerge/>
            <w:shd w:val="clear" w:color="auto" w:fill="FFFFFF" w:themeFill="background1"/>
          </w:tcPr>
          <w:p w14:paraId="608B51EE" w14:textId="77777777" w:rsidR="00477385" w:rsidRPr="00477385" w:rsidRDefault="00477385" w:rsidP="00477385">
            <w:pPr>
              <w:pStyle w:val="Sinespaciado"/>
              <w:jc w:val="center"/>
              <w:rPr>
                <w:rFonts w:ascii="Arial" w:hAnsi="Arial" w:cs="Arial"/>
                <w:b/>
                <w:bCs/>
                <w:sz w:val="20"/>
                <w:szCs w:val="20"/>
                <w:u w:val="single"/>
                <w:lang w:val="es-CO"/>
              </w:rPr>
            </w:pPr>
          </w:p>
        </w:tc>
      </w:tr>
      <w:tr w:rsidR="003E1775" w14:paraId="4A664B3C" w14:textId="77777777" w:rsidTr="00477385">
        <w:trPr>
          <w:trHeight w:val="277"/>
        </w:trPr>
        <w:tc>
          <w:tcPr>
            <w:tcW w:w="440" w:type="dxa"/>
            <w:shd w:val="clear" w:color="auto" w:fill="FFFFFF" w:themeFill="background1"/>
            <w:vAlign w:val="center"/>
          </w:tcPr>
          <w:p w14:paraId="49949B07" w14:textId="6FB105AA" w:rsidR="003E177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3</w:t>
            </w:r>
          </w:p>
        </w:tc>
        <w:tc>
          <w:tcPr>
            <w:tcW w:w="2532" w:type="dxa"/>
            <w:shd w:val="clear" w:color="auto" w:fill="FFFFFF" w:themeFill="background1"/>
          </w:tcPr>
          <w:p w14:paraId="650C48DD" w14:textId="77C70BF7" w:rsidR="003E1775" w:rsidRPr="003E1775" w:rsidRDefault="003E1775" w:rsidP="003E1775">
            <w:pPr>
              <w:pStyle w:val="Sinespaciado"/>
              <w:spacing w:line="276" w:lineRule="auto"/>
              <w:jc w:val="center"/>
              <w:rPr>
                <w:rFonts w:ascii="Arial" w:hAnsi="Arial" w:cs="Arial"/>
                <w:sz w:val="20"/>
                <w:szCs w:val="20"/>
              </w:rPr>
            </w:pPr>
            <w:r w:rsidRPr="003E1775">
              <w:rPr>
                <w:rFonts w:ascii="Arial" w:hAnsi="Arial" w:cs="Arial"/>
                <w:sz w:val="20"/>
                <w:szCs w:val="20"/>
              </w:rPr>
              <w:t>Se recomienda realizar Gonioscopía en pacientes con sospecha de glaucoma para clasificación del ángulo camerular</w:t>
            </w:r>
          </w:p>
        </w:tc>
        <w:tc>
          <w:tcPr>
            <w:tcW w:w="5387" w:type="dxa"/>
            <w:shd w:val="clear" w:color="auto" w:fill="FFFFFF" w:themeFill="background1"/>
          </w:tcPr>
          <w:p w14:paraId="235420A7" w14:textId="19CD3840" w:rsidR="003E1775" w:rsidRP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Evaluar amplitud y características del ángulo iridocorneal mediante Gonioscopía.</w:t>
            </w:r>
          </w:p>
        </w:tc>
        <w:tc>
          <w:tcPr>
            <w:tcW w:w="2409" w:type="dxa"/>
            <w:shd w:val="clear" w:color="auto" w:fill="FFFFFF" w:themeFill="background1"/>
          </w:tcPr>
          <w:p w14:paraId="6D755C64" w14:textId="56C97A91" w:rsidR="003E1775" w:rsidRPr="003E1775" w:rsidRDefault="003E1775" w:rsidP="003E1775">
            <w:pPr>
              <w:pStyle w:val="Sinespaciado"/>
              <w:spacing w:line="276" w:lineRule="auto"/>
              <w:jc w:val="center"/>
              <w:rPr>
                <w:rFonts w:ascii="Arial" w:hAnsi="Arial" w:cs="Arial"/>
                <w:b/>
                <w:bCs/>
                <w:sz w:val="20"/>
                <w:szCs w:val="20"/>
                <w:u w:val="single"/>
                <w:lang w:val="es-CO"/>
              </w:rPr>
            </w:pPr>
            <w:r w:rsidRPr="003E1775">
              <w:rPr>
                <w:rFonts w:ascii="Arial" w:hAnsi="Arial" w:cs="Arial"/>
                <w:sz w:val="20"/>
                <w:szCs w:val="20"/>
              </w:rPr>
              <w:t>Permite diferenciar glaucoma de ángulo abierto, sospecha de cierre angular y otras alteraciones secundarias.</w:t>
            </w:r>
          </w:p>
        </w:tc>
      </w:tr>
      <w:tr w:rsidR="003E1775" w14:paraId="32D5AB27" w14:textId="77777777" w:rsidTr="003E1775">
        <w:trPr>
          <w:trHeight w:val="1691"/>
        </w:trPr>
        <w:tc>
          <w:tcPr>
            <w:tcW w:w="440" w:type="dxa"/>
            <w:shd w:val="clear" w:color="auto" w:fill="FFFFFF" w:themeFill="background1"/>
            <w:vAlign w:val="center"/>
          </w:tcPr>
          <w:p w14:paraId="79C70BB2" w14:textId="75334078" w:rsidR="003E177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4</w:t>
            </w:r>
          </w:p>
        </w:tc>
        <w:tc>
          <w:tcPr>
            <w:tcW w:w="2532" w:type="dxa"/>
            <w:shd w:val="clear" w:color="auto" w:fill="FFFFFF" w:themeFill="background1"/>
          </w:tcPr>
          <w:p w14:paraId="6418A9C4" w14:textId="36FCC736" w:rsidR="003E1775" w:rsidRPr="003E1775" w:rsidRDefault="003E1775" w:rsidP="003E1775">
            <w:pPr>
              <w:pStyle w:val="Sinespaciado"/>
              <w:spacing w:line="276" w:lineRule="auto"/>
              <w:jc w:val="center"/>
              <w:rPr>
                <w:rFonts w:ascii="Arial" w:hAnsi="Arial" w:cs="Arial"/>
                <w:sz w:val="20"/>
                <w:szCs w:val="20"/>
              </w:rPr>
            </w:pPr>
            <w:r w:rsidRPr="003E1775">
              <w:rPr>
                <w:rFonts w:ascii="Arial" w:hAnsi="Arial" w:cs="Arial"/>
                <w:sz w:val="20"/>
                <w:szCs w:val="20"/>
              </w:rPr>
              <w:t>Se recomienda solicitar estudios complementarios de glaucoma cuando existan hallazgos clínicos sugestivos o factores de riesgo asociados.</w:t>
            </w:r>
          </w:p>
        </w:tc>
        <w:tc>
          <w:tcPr>
            <w:tcW w:w="5387" w:type="dxa"/>
            <w:shd w:val="clear" w:color="auto" w:fill="FFFFFF" w:themeFill="background1"/>
          </w:tcPr>
          <w:p w14:paraId="568035C9" w14:textId="51B4812E" w:rsidR="003E1775" w:rsidRP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Solicitar campimetría, OCT de glaucoma, Paquimetría y fotografía de nervio óptico según criterio clínico.</w:t>
            </w:r>
          </w:p>
          <w:p w14:paraId="5C98841A" w14:textId="77777777" w:rsidR="003E1775" w:rsidRPr="003E1775" w:rsidRDefault="003E1775" w:rsidP="003E1775">
            <w:pPr>
              <w:pStyle w:val="Sinespaciado"/>
              <w:spacing w:line="276" w:lineRule="auto"/>
              <w:ind w:left="360"/>
              <w:rPr>
                <w:rFonts w:ascii="Arial" w:hAnsi="Arial" w:cs="Arial"/>
                <w:sz w:val="20"/>
                <w:szCs w:val="20"/>
              </w:rPr>
            </w:pPr>
          </w:p>
          <w:p w14:paraId="074C26F3" w14:textId="32CA56BC" w:rsidR="003E1775" w:rsidRP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La justificación clínica de los estudios debe quedar registrada en la historia clínica. Se recomienda especialmente cuando existan excavaciones ≥0,5, adelgazamiento del anillo neuro retiniano, PIO elevada o antecedentes familiares positivos.</w:t>
            </w:r>
          </w:p>
          <w:p w14:paraId="2135B905" w14:textId="7A56A0D5" w:rsidR="003E1775" w:rsidRPr="003E1775" w:rsidRDefault="003E1775" w:rsidP="003E1775">
            <w:pPr>
              <w:pStyle w:val="Sinespaciado"/>
              <w:spacing w:line="276" w:lineRule="auto"/>
              <w:rPr>
                <w:rFonts w:ascii="Arial" w:hAnsi="Arial" w:cs="Arial"/>
                <w:sz w:val="20"/>
                <w:szCs w:val="20"/>
              </w:rPr>
            </w:pPr>
          </w:p>
        </w:tc>
        <w:tc>
          <w:tcPr>
            <w:tcW w:w="2409" w:type="dxa"/>
            <w:vMerge w:val="restart"/>
            <w:shd w:val="clear" w:color="auto" w:fill="FFFFFF" w:themeFill="background1"/>
          </w:tcPr>
          <w:p w14:paraId="4E9F60C4" w14:textId="77777777" w:rsidR="003E1775" w:rsidRDefault="003E1775" w:rsidP="003E1775">
            <w:pPr>
              <w:pStyle w:val="Sinespaciado"/>
              <w:spacing w:line="276" w:lineRule="auto"/>
              <w:jc w:val="center"/>
              <w:rPr>
                <w:rFonts w:ascii="Arial" w:hAnsi="Arial" w:cs="Arial"/>
                <w:b/>
                <w:bCs/>
                <w:sz w:val="20"/>
                <w:szCs w:val="20"/>
                <w:u w:val="single"/>
              </w:rPr>
            </w:pPr>
          </w:p>
          <w:p w14:paraId="4486F987" w14:textId="14CC9901" w:rsidR="003E1775" w:rsidRDefault="003E1775" w:rsidP="003E1775">
            <w:pPr>
              <w:pStyle w:val="Sinespaciado"/>
              <w:spacing w:line="276" w:lineRule="auto"/>
              <w:jc w:val="center"/>
              <w:rPr>
                <w:rFonts w:ascii="Arial" w:hAnsi="Arial" w:cs="Arial"/>
                <w:b/>
                <w:bCs/>
                <w:sz w:val="20"/>
                <w:szCs w:val="20"/>
                <w:u w:val="single"/>
              </w:rPr>
            </w:pPr>
          </w:p>
          <w:p w14:paraId="0816864C" w14:textId="77777777" w:rsidR="003E1775" w:rsidRDefault="003E1775" w:rsidP="003E1775">
            <w:pPr>
              <w:pStyle w:val="Sinespaciado"/>
              <w:spacing w:line="276" w:lineRule="auto"/>
              <w:jc w:val="center"/>
              <w:rPr>
                <w:rFonts w:ascii="Arial" w:hAnsi="Arial" w:cs="Arial"/>
                <w:b/>
                <w:bCs/>
                <w:sz w:val="20"/>
                <w:szCs w:val="20"/>
                <w:u w:val="single"/>
              </w:rPr>
            </w:pPr>
          </w:p>
          <w:p w14:paraId="19A3FDD2" w14:textId="77777777" w:rsidR="003E1775" w:rsidRDefault="003E1775" w:rsidP="003E1775">
            <w:pPr>
              <w:pStyle w:val="Sinespaciado"/>
              <w:spacing w:line="276" w:lineRule="auto"/>
              <w:jc w:val="center"/>
              <w:rPr>
                <w:rFonts w:ascii="Arial" w:hAnsi="Arial" w:cs="Arial"/>
                <w:b/>
                <w:bCs/>
                <w:sz w:val="20"/>
                <w:szCs w:val="20"/>
                <w:u w:val="single"/>
              </w:rPr>
            </w:pPr>
          </w:p>
          <w:p w14:paraId="000B4A67" w14:textId="77777777" w:rsidR="003E1775" w:rsidRDefault="003E1775" w:rsidP="003E1775">
            <w:pPr>
              <w:pStyle w:val="Sinespaciado"/>
              <w:spacing w:line="276" w:lineRule="auto"/>
              <w:jc w:val="center"/>
              <w:rPr>
                <w:rFonts w:ascii="Arial" w:hAnsi="Arial" w:cs="Arial"/>
                <w:b/>
                <w:bCs/>
                <w:sz w:val="20"/>
                <w:szCs w:val="20"/>
                <w:u w:val="single"/>
              </w:rPr>
            </w:pPr>
          </w:p>
          <w:p w14:paraId="379923DB" w14:textId="77777777" w:rsidR="003E1775" w:rsidRDefault="003E1775" w:rsidP="003E1775">
            <w:pPr>
              <w:pStyle w:val="Sinespaciado"/>
              <w:spacing w:line="276" w:lineRule="auto"/>
              <w:jc w:val="center"/>
              <w:rPr>
                <w:rFonts w:ascii="Arial" w:hAnsi="Arial" w:cs="Arial"/>
                <w:b/>
                <w:bCs/>
                <w:sz w:val="20"/>
                <w:szCs w:val="20"/>
                <w:u w:val="single"/>
              </w:rPr>
            </w:pPr>
          </w:p>
          <w:p w14:paraId="12967258" w14:textId="77777777" w:rsidR="003E1775" w:rsidRDefault="003E1775" w:rsidP="003E1775">
            <w:pPr>
              <w:pStyle w:val="Sinespaciado"/>
              <w:spacing w:line="276" w:lineRule="auto"/>
              <w:jc w:val="center"/>
              <w:rPr>
                <w:rFonts w:ascii="Arial" w:hAnsi="Arial" w:cs="Arial"/>
                <w:b/>
                <w:bCs/>
                <w:sz w:val="20"/>
                <w:szCs w:val="20"/>
                <w:u w:val="single"/>
              </w:rPr>
            </w:pPr>
          </w:p>
          <w:p w14:paraId="06E2192A" w14:textId="77777777" w:rsidR="003E1775" w:rsidRDefault="003E1775" w:rsidP="003E1775">
            <w:pPr>
              <w:pStyle w:val="Sinespaciado"/>
              <w:spacing w:line="276" w:lineRule="auto"/>
              <w:jc w:val="center"/>
              <w:rPr>
                <w:rFonts w:ascii="Arial" w:hAnsi="Arial" w:cs="Arial"/>
                <w:b/>
                <w:bCs/>
                <w:sz w:val="20"/>
                <w:szCs w:val="20"/>
                <w:u w:val="single"/>
              </w:rPr>
            </w:pPr>
          </w:p>
          <w:p w14:paraId="3BC11BDC" w14:textId="77777777" w:rsidR="003E1775" w:rsidRDefault="003E1775" w:rsidP="003E1775">
            <w:pPr>
              <w:pStyle w:val="Sinespaciado"/>
              <w:spacing w:line="276" w:lineRule="auto"/>
              <w:jc w:val="center"/>
              <w:rPr>
                <w:rFonts w:ascii="Arial" w:hAnsi="Arial" w:cs="Arial"/>
                <w:b/>
                <w:bCs/>
                <w:sz w:val="20"/>
                <w:szCs w:val="20"/>
                <w:u w:val="single"/>
              </w:rPr>
            </w:pPr>
          </w:p>
          <w:p w14:paraId="78E0B23D" w14:textId="2AEC0679" w:rsidR="003E1775" w:rsidRPr="003E1775" w:rsidRDefault="003E1775" w:rsidP="003E1775">
            <w:pPr>
              <w:pStyle w:val="Sinespaciado"/>
              <w:spacing w:line="276" w:lineRule="auto"/>
              <w:jc w:val="center"/>
              <w:rPr>
                <w:rFonts w:ascii="Arial" w:hAnsi="Arial" w:cs="Arial"/>
                <w:b/>
                <w:bCs/>
                <w:sz w:val="20"/>
                <w:szCs w:val="20"/>
                <w:u w:val="single"/>
              </w:rPr>
            </w:pPr>
            <w:r w:rsidRPr="003E1775">
              <w:rPr>
                <w:rFonts w:ascii="Arial" w:hAnsi="Arial" w:cs="Arial"/>
                <w:b/>
                <w:bCs/>
                <w:sz w:val="20"/>
                <w:szCs w:val="20"/>
                <w:u w:val="single"/>
              </w:rPr>
              <w:t>Ver ítem 5.3</w:t>
            </w:r>
          </w:p>
          <w:p w14:paraId="5F22D22F" w14:textId="77777777" w:rsidR="003E1775" w:rsidRDefault="003E1775" w:rsidP="003E1775">
            <w:pPr>
              <w:pStyle w:val="Sinespaciado"/>
              <w:spacing w:line="276" w:lineRule="auto"/>
              <w:jc w:val="center"/>
              <w:rPr>
                <w:rFonts w:ascii="Arial" w:hAnsi="Arial" w:cs="Arial"/>
                <w:b/>
                <w:bCs/>
                <w:sz w:val="20"/>
                <w:szCs w:val="20"/>
                <w:u w:val="single"/>
              </w:rPr>
            </w:pPr>
          </w:p>
          <w:p w14:paraId="55E63103" w14:textId="3F4C6959" w:rsidR="003E1775" w:rsidRDefault="003E1775" w:rsidP="003E1775">
            <w:pPr>
              <w:pStyle w:val="Sinespaciado"/>
              <w:spacing w:line="276" w:lineRule="auto"/>
              <w:jc w:val="center"/>
              <w:rPr>
                <w:rFonts w:ascii="Arial" w:hAnsi="Arial" w:cs="Arial"/>
                <w:b/>
                <w:bCs/>
                <w:sz w:val="20"/>
                <w:szCs w:val="20"/>
                <w:u w:val="single"/>
              </w:rPr>
            </w:pPr>
          </w:p>
          <w:p w14:paraId="71724DAD" w14:textId="491AD797" w:rsidR="003E1775" w:rsidRDefault="003E1775" w:rsidP="003E1775">
            <w:pPr>
              <w:pStyle w:val="Sinespaciado"/>
              <w:spacing w:line="276" w:lineRule="auto"/>
              <w:jc w:val="center"/>
              <w:rPr>
                <w:rFonts w:ascii="Arial" w:hAnsi="Arial" w:cs="Arial"/>
                <w:b/>
                <w:bCs/>
                <w:sz w:val="20"/>
                <w:szCs w:val="20"/>
                <w:u w:val="single"/>
              </w:rPr>
            </w:pPr>
          </w:p>
          <w:p w14:paraId="25CD8B82" w14:textId="596DB0EC" w:rsidR="003E1775" w:rsidRDefault="003E1775" w:rsidP="003E1775">
            <w:pPr>
              <w:pStyle w:val="Sinespaciado"/>
              <w:spacing w:line="276" w:lineRule="auto"/>
              <w:jc w:val="center"/>
              <w:rPr>
                <w:rFonts w:ascii="Arial" w:hAnsi="Arial" w:cs="Arial"/>
                <w:b/>
                <w:bCs/>
                <w:sz w:val="20"/>
                <w:szCs w:val="20"/>
                <w:u w:val="single"/>
              </w:rPr>
            </w:pPr>
          </w:p>
          <w:p w14:paraId="60293E80" w14:textId="294F9C81" w:rsidR="003E1775" w:rsidRDefault="003E1775" w:rsidP="003E1775">
            <w:pPr>
              <w:pStyle w:val="Sinespaciado"/>
              <w:spacing w:line="276" w:lineRule="auto"/>
              <w:jc w:val="center"/>
              <w:rPr>
                <w:rFonts w:ascii="Arial" w:hAnsi="Arial" w:cs="Arial"/>
                <w:b/>
                <w:bCs/>
                <w:sz w:val="20"/>
                <w:szCs w:val="20"/>
                <w:u w:val="single"/>
              </w:rPr>
            </w:pPr>
          </w:p>
          <w:p w14:paraId="6E33B8D5" w14:textId="5146B784" w:rsidR="003E1775" w:rsidRDefault="003E1775" w:rsidP="003E1775">
            <w:pPr>
              <w:pStyle w:val="Sinespaciado"/>
              <w:spacing w:line="276" w:lineRule="auto"/>
              <w:jc w:val="center"/>
              <w:rPr>
                <w:rFonts w:ascii="Arial" w:hAnsi="Arial" w:cs="Arial"/>
                <w:b/>
                <w:bCs/>
                <w:sz w:val="20"/>
                <w:szCs w:val="20"/>
                <w:u w:val="single"/>
              </w:rPr>
            </w:pPr>
          </w:p>
          <w:p w14:paraId="20FB31C6" w14:textId="5FB14535" w:rsidR="003E1775" w:rsidRDefault="003E1775" w:rsidP="003E1775">
            <w:pPr>
              <w:pStyle w:val="Sinespaciado"/>
              <w:spacing w:line="276" w:lineRule="auto"/>
              <w:jc w:val="center"/>
              <w:rPr>
                <w:rFonts w:ascii="Arial" w:hAnsi="Arial" w:cs="Arial"/>
                <w:b/>
                <w:bCs/>
                <w:sz w:val="20"/>
                <w:szCs w:val="20"/>
                <w:u w:val="single"/>
              </w:rPr>
            </w:pPr>
          </w:p>
          <w:p w14:paraId="5CB80CBF" w14:textId="77777777" w:rsidR="003E1775" w:rsidRDefault="003E1775" w:rsidP="003E1775">
            <w:pPr>
              <w:pStyle w:val="Sinespaciado"/>
              <w:spacing w:line="276" w:lineRule="auto"/>
              <w:jc w:val="center"/>
              <w:rPr>
                <w:rFonts w:ascii="Arial" w:hAnsi="Arial" w:cs="Arial"/>
                <w:b/>
                <w:bCs/>
                <w:sz w:val="20"/>
                <w:szCs w:val="20"/>
                <w:u w:val="single"/>
              </w:rPr>
            </w:pPr>
          </w:p>
          <w:p w14:paraId="752E3AD6" w14:textId="77777777" w:rsidR="003E1775" w:rsidRDefault="003E1775" w:rsidP="003E1775">
            <w:pPr>
              <w:pStyle w:val="Sinespaciado"/>
              <w:spacing w:line="276" w:lineRule="auto"/>
              <w:jc w:val="center"/>
              <w:rPr>
                <w:rFonts w:ascii="Arial" w:hAnsi="Arial" w:cs="Arial"/>
                <w:b/>
                <w:bCs/>
                <w:sz w:val="20"/>
                <w:szCs w:val="20"/>
                <w:u w:val="single"/>
              </w:rPr>
            </w:pPr>
          </w:p>
          <w:p w14:paraId="2507AF1D" w14:textId="09942599" w:rsidR="003E1775" w:rsidRPr="003E1775" w:rsidRDefault="003E1775" w:rsidP="00D6067A">
            <w:pPr>
              <w:pStyle w:val="Sinespaciado"/>
              <w:spacing w:line="276" w:lineRule="auto"/>
              <w:jc w:val="center"/>
              <w:rPr>
                <w:rFonts w:ascii="Arial" w:hAnsi="Arial" w:cs="Arial"/>
                <w:b/>
                <w:bCs/>
                <w:sz w:val="20"/>
                <w:szCs w:val="20"/>
                <w:u w:val="single"/>
              </w:rPr>
            </w:pPr>
            <w:r w:rsidRPr="003E1775">
              <w:rPr>
                <w:rFonts w:ascii="Arial" w:hAnsi="Arial" w:cs="Arial"/>
                <w:b/>
                <w:bCs/>
                <w:sz w:val="20"/>
                <w:szCs w:val="20"/>
                <w:u w:val="single"/>
              </w:rPr>
              <w:t>Ver ítem 5.3</w:t>
            </w:r>
          </w:p>
        </w:tc>
      </w:tr>
      <w:tr w:rsidR="003E1775" w14:paraId="5D2336BC" w14:textId="77777777" w:rsidTr="00477385">
        <w:trPr>
          <w:trHeight w:val="277"/>
        </w:trPr>
        <w:tc>
          <w:tcPr>
            <w:tcW w:w="440" w:type="dxa"/>
            <w:shd w:val="clear" w:color="auto" w:fill="FFFFFF" w:themeFill="background1"/>
            <w:vAlign w:val="center"/>
          </w:tcPr>
          <w:p w14:paraId="45B323B6" w14:textId="4A3D2338" w:rsidR="003E177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5</w:t>
            </w:r>
          </w:p>
        </w:tc>
        <w:tc>
          <w:tcPr>
            <w:tcW w:w="2532" w:type="dxa"/>
            <w:shd w:val="clear" w:color="auto" w:fill="FFFFFF" w:themeFill="background1"/>
          </w:tcPr>
          <w:p w14:paraId="046DC55A" w14:textId="563F0F80" w:rsidR="003E1775" w:rsidRPr="003E1775" w:rsidRDefault="003E1775" w:rsidP="003E1775">
            <w:pPr>
              <w:pStyle w:val="Sinespaciado"/>
              <w:spacing w:line="276" w:lineRule="auto"/>
              <w:jc w:val="center"/>
              <w:rPr>
                <w:rFonts w:ascii="Arial" w:hAnsi="Arial" w:cs="Arial"/>
                <w:sz w:val="20"/>
                <w:szCs w:val="20"/>
              </w:rPr>
            </w:pPr>
            <w:r w:rsidRPr="003E1775">
              <w:rPr>
                <w:rFonts w:ascii="Arial" w:hAnsi="Arial" w:cs="Arial"/>
                <w:sz w:val="20"/>
                <w:szCs w:val="20"/>
              </w:rPr>
              <w:t>Se recomienda utilizar la campimetría como herramienta funcional para diagnóstico y seguimiento del glaucoma</w:t>
            </w:r>
          </w:p>
        </w:tc>
        <w:tc>
          <w:tcPr>
            <w:tcW w:w="5387" w:type="dxa"/>
            <w:shd w:val="clear" w:color="auto" w:fill="FFFFFF" w:themeFill="background1"/>
          </w:tcPr>
          <w:p w14:paraId="4A8D0321" w14:textId="176E318E" w:rsid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Solicitar campos visuales computarizados confiables e interpretar progresión funcional.</w:t>
            </w:r>
          </w:p>
          <w:p w14:paraId="796FE475" w14:textId="77777777" w:rsidR="003E1775" w:rsidRPr="003E1775" w:rsidRDefault="003E1775" w:rsidP="003E1775">
            <w:pPr>
              <w:pStyle w:val="Sinespaciado"/>
              <w:spacing w:line="276" w:lineRule="auto"/>
              <w:ind w:left="360"/>
              <w:rPr>
                <w:rFonts w:ascii="Arial" w:hAnsi="Arial" w:cs="Arial"/>
                <w:sz w:val="20"/>
                <w:szCs w:val="20"/>
              </w:rPr>
            </w:pPr>
          </w:p>
          <w:p w14:paraId="0238C512" w14:textId="68A59D7E" w:rsidR="003E1775" w:rsidRP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Los defectos típicos incluyen escalón nasal, defectos arqueados y depresión paracentral. Deben correlacionarse con hallazgos estructurales.</w:t>
            </w:r>
          </w:p>
        </w:tc>
        <w:tc>
          <w:tcPr>
            <w:tcW w:w="2409" w:type="dxa"/>
            <w:vMerge/>
            <w:shd w:val="clear" w:color="auto" w:fill="FFFFFF" w:themeFill="background1"/>
          </w:tcPr>
          <w:p w14:paraId="56ECFFEE" w14:textId="52251F4A" w:rsidR="003E1775" w:rsidRPr="003E1775" w:rsidRDefault="003E1775" w:rsidP="00D6067A">
            <w:pPr>
              <w:pStyle w:val="Sinespaciado"/>
              <w:spacing w:line="276" w:lineRule="auto"/>
              <w:jc w:val="center"/>
              <w:rPr>
                <w:rFonts w:ascii="Arial" w:hAnsi="Arial" w:cs="Arial"/>
                <w:b/>
                <w:bCs/>
                <w:sz w:val="20"/>
                <w:szCs w:val="20"/>
                <w:u w:val="single"/>
              </w:rPr>
            </w:pPr>
          </w:p>
        </w:tc>
      </w:tr>
      <w:tr w:rsidR="003E1775" w14:paraId="6D594C83" w14:textId="77777777" w:rsidTr="003E1775">
        <w:trPr>
          <w:trHeight w:val="841"/>
        </w:trPr>
        <w:tc>
          <w:tcPr>
            <w:tcW w:w="440" w:type="dxa"/>
            <w:shd w:val="clear" w:color="auto" w:fill="FFFFFF" w:themeFill="background1"/>
            <w:vAlign w:val="center"/>
          </w:tcPr>
          <w:p w14:paraId="3A1D0509" w14:textId="267CFD47" w:rsidR="003E177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lastRenderedPageBreak/>
              <w:t>6</w:t>
            </w:r>
          </w:p>
        </w:tc>
        <w:tc>
          <w:tcPr>
            <w:tcW w:w="2532" w:type="dxa"/>
            <w:shd w:val="clear" w:color="auto" w:fill="FFFFFF" w:themeFill="background1"/>
          </w:tcPr>
          <w:p w14:paraId="065708AF" w14:textId="55C46BDB" w:rsidR="003E1775" w:rsidRPr="003E1775" w:rsidRDefault="003E1775" w:rsidP="003E1775">
            <w:pPr>
              <w:pStyle w:val="Sinespaciado"/>
              <w:spacing w:line="276" w:lineRule="auto"/>
              <w:jc w:val="center"/>
              <w:rPr>
                <w:rFonts w:ascii="Arial" w:hAnsi="Arial" w:cs="Arial"/>
                <w:sz w:val="20"/>
                <w:szCs w:val="20"/>
              </w:rPr>
            </w:pPr>
            <w:r w:rsidRPr="003E1775">
              <w:rPr>
                <w:rFonts w:ascii="Arial" w:hAnsi="Arial" w:cs="Arial"/>
                <w:sz w:val="20"/>
                <w:szCs w:val="20"/>
              </w:rPr>
              <w:t>Se recomienda utilizar OCT de glaucoma para evaluación estructural del nervio óptico y capa de fibras nerviosas</w:t>
            </w:r>
          </w:p>
        </w:tc>
        <w:tc>
          <w:tcPr>
            <w:tcW w:w="5387" w:type="dxa"/>
            <w:shd w:val="clear" w:color="auto" w:fill="FFFFFF" w:themeFill="background1"/>
          </w:tcPr>
          <w:p w14:paraId="782B8AE6" w14:textId="0E115188" w:rsid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Solicitar OCT en sospecha diagnóstica, asimetrías papilares o seguimiento estructural.</w:t>
            </w:r>
          </w:p>
          <w:p w14:paraId="49717F7C" w14:textId="77777777" w:rsidR="003E1775" w:rsidRPr="003E1775" w:rsidRDefault="003E1775" w:rsidP="003E1775">
            <w:pPr>
              <w:pStyle w:val="Sinespaciado"/>
              <w:spacing w:line="276" w:lineRule="auto"/>
              <w:ind w:left="360"/>
              <w:rPr>
                <w:rFonts w:ascii="Arial" w:hAnsi="Arial" w:cs="Arial"/>
                <w:sz w:val="20"/>
                <w:szCs w:val="20"/>
              </w:rPr>
            </w:pPr>
          </w:p>
          <w:p w14:paraId="305600D3" w14:textId="232EA73B" w:rsid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 xml:space="preserve">Tiene mayor utilidad en etapas tempranas o glaucoma preperimétrico. </w:t>
            </w:r>
          </w:p>
          <w:p w14:paraId="6E6A5FC3" w14:textId="77777777" w:rsidR="00190550" w:rsidRDefault="00190550" w:rsidP="00190550">
            <w:pPr>
              <w:pStyle w:val="Prrafodelista"/>
              <w:rPr>
                <w:rFonts w:ascii="Arial" w:hAnsi="Arial" w:cs="Arial"/>
                <w:sz w:val="20"/>
                <w:szCs w:val="20"/>
              </w:rPr>
            </w:pPr>
          </w:p>
          <w:p w14:paraId="53F4CFF4" w14:textId="0D467604" w:rsidR="00190550" w:rsidRPr="00190550" w:rsidRDefault="00190550" w:rsidP="00390AC6">
            <w:pPr>
              <w:pStyle w:val="Sinespaciado"/>
              <w:numPr>
                <w:ilvl w:val="0"/>
                <w:numId w:val="10"/>
              </w:numPr>
              <w:spacing w:line="276" w:lineRule="auto"/>
              <w:ind w:left="360"/>
              <w:rPr>
                <w:rFonts w:ascii="Arial" w:hAnsi="Arial" w:cs="Arial"/>
                <w:b/>
                <w:bCs/>
                <w:sz w:val="20"/>
                <w:szCs w:val="20"/>
                <w:u w:val="single"/>
              </w:rPr>
            </w:pPr>
            <w:r w:rsidRPr="00190550">
              <w:rPr>
                <w:rFonts w:ascii="Arial" w:hAnsi="Arial" w:cs="Arial"/>
                <w:b/>
                <w:bCs/>
                <w:color w:val="303030"/>
                <w:sz w:val="20"/>
                <w:szCs w:val="20"/>
                <w:u w:val="single"/>
                <w:shd w:val="clear" w:color="auto" w:fill="FFFFFF"/>
              </w:rPr>
              <w:t>El OCT no debe pedirse si el daño ya es evidente y el resultado no cambiará la conducta médica</w:t>
            </w:r>
          </w:p>
        </w:tc>
        <w:tc>
          <w:tcPr>
            <w:tcW w:w="2409" w:type="dxa"/>
            <w:vMerge/>
            <w:shd w:val="clear" w:color="auto" w:fill="FFFFFF" w:themeFill="background1"/>
          </w:tcPr>
          <w:p w14:paraId="71DAAE30" w14:textId="78256C55" w:rsidR="003E1775" w:rsidRPr="003E1775" w:rsidRDefault="003E1775" w:rsidP="00D6067A">
            <w:pPr>
              <w:pStyle w:val="Sinespaciado"/>
              <w:spacing w:line="276" w:lineRule="auto"/>
              <w:jc w:val="center"/>
              <w:rPr>
                <w:rFonts w:ascii="Arial" w:hAnsi="Arial" w:cs="Arial"/>
                <w:b/>
                <w:bCs/>
                <w:sz w:val="20"/>
                <w:szCs w:val="20"/>
                <w:u w:val="single"/>
              </w:rPr>
            </w:pPr>
          </w:p>
        </w:tc>
      </w:tr>
      <w:tr w:rsidR="003E1775" w14:paraId="788FD11B" w14:textId="77777777" w:rsidTr="003E1775">
        <w:trPr>
          <w:trHeight w:val="1452"/>
        </w:trPr>
        <w:tc>
          <w:tcPr>
            <w:tcW w:w="440" w:type="dxa"/>
            <w:shd w:val="clear" w:color="auto" w:fill="FFFFFF" w:themeFill="background1"/>
            <w:vAlign w:val="center"/>
          </w:tcPr>
          <w:p w14:paraId="6E182909" w14:textId="240D4FC8" w:rsidR="003E177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7</w:t>
            </w:r>
          </w:p>
        </w:tc>
        <w:tc>
          <w:tcPr>
            <w:tcW w:w="2532" w:type="dxa"/>
            <w:shd w:val="clear" w:color="auto" w:fill="FFFFFF" w:themeFill="background1"/>
          </w:tcPr>
          <w:p w14:paraId="2FEB28AB" w14:textId="413E844D" w:rsidR="003E1775" w:rsidRPr="003E1775" w:rsidRDefault="003E1775" w:rsidP="003E1775">
            <w:pPr>
              <w:pStyle w:val="Sinespaciado"/>
              <w:spacing w:line="276" w:lineRule="auto"/>
              <w:jc w:val="center"/>
              <w:rPr>
                <w:rFonts w:ascii="Arial" w:hAnsi="Arial" w:cs="Arial"/>
                <w:sz w:val="20"/>
                <w:szCs w:val="20"/>
              </w:rPr>
            </w:pPr>
            <w:r w:rsidRPr="003E1775">
              <w:rPr>
                <w:rFonts w:ascii="Arial" w:hAnsi="Arial" w:cs="Arial"/>
                <w:sz w:val="20"/>
                <w:szCs w:val="20"/>
              </w:rPr>
              <w:t>Se recomienda realizar Paquimetría corneal en la evaluación inicial de pacientes con sospecha o diagnóstico de glaucoma.</w:t>
            </w:r>
          </w:p>
        </w:tc>
        <w:tc>
          <w:tcPr>
            <w:tcW w:w="5387" w:type="dxa"/>
            <w:shd w:val="clear" w:color="auto" w:fill="FFFFFF" w:themeFill="background1"/>
          </w:tcPr>
          <w:p w14:paraId="4793E023" w14:textId="1BCDDEBF" w:rsid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Medir grosor corneal central como apoyo en la interpretación de la presión intraocular.</w:t>
            </w:r>
          </w:p>
          <w:p w14:paraId="43E6F351" w14:textId="77777777" w:rsidR="003E1775" w:rsidRPr="003E1775" w:rsidRDefault="003E1775" w:rsidP="003E1775">
            <w:pPr>
              <w:pStyle w:val="Sinespaciado"/>
              <w:spacing w:line="276" w:lineRule="auto"/>
              <w:ind w:left="360"/>
              <w:rPr>
                <w:rFonts w:ascii="Arial" w:hAnsi="Arial" w:cs="Arial"/>
                <w:sz w:val="20"/>
                <w:szCs w:val="20"/>
              </w:rPr>
            </w:pPr>
          </w:p>
          <w:p w14:paraId="60D346B7" w14:textId="77777777" w:rsid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Córneas delgadas se asocian con mayor riesgo de progresión glaucomatosa.</w:t>
            </w:r>
          </w:p>
          <w:p w14:paraId="244CBDD6" w14:textId="77777777" w:rsidR="003364C6" w:rsidRDefault="003364C6" w:rsidP="003364C6">
            <w:pPr>
              <w:pStyle w:val="Prrafodelista"/>
              <w:rPr>
                <w:rFonts w:ascii="Arial" w:hAnsi="Arial" w:cs="Arial"/>
                <w:sz w:val="20"/>
                <w:szCs w:val="20"/>
              </w:rPr>
            </w:pPr>
          </w:p>
          <w:p w14:paraId="6B83FF43" w14:textId="07A70F5F" w:rsidR="003364C6" w:rsidRPr="003364C6" w:rsidRDefault="003364C6" w:rsidP="00390AC6">
            <w:pPr>
              <w:pStyle w:val="Sinespaciado"/>
              <w:numPr>
                <w:ilvl w:val="0"/>
                <w:numId w:val="10"/>
              </w:numPr>
              <w:spacing w:line="276" w:lineRule="auto"/>
              <w:ind w:left="360"/>
              <w:rPr>
                <w:rFonts w:ascii="Arial" w:hAnsi="Arial" w:cs="Arial"/>
                <w:sz w:val="20"/>
                <w:szCs w:val="20"/>
              </w:rPr>
            </w:pPr>
            <w:r w:rsidRPr="003364C6">
              <w:rPr>
                <w:rFonts w:ascii="Arial" w:hAnsi="Arial" w:cs="Arial"/>
                <w:sz w:val="20"/>
                <w:szCs w:val="20"/>
                <w:shd w:val="clear" w:color="auto" w:fill="FFFFFF"/>
              </w:rPr>
              <w:t xml:space="preserve">La paquimetría es fundamental para interpretar correctamente la PIO medida; </w:t>
            </w:r>
            <w:r w:rsidRPr="003364C6">
              <w:rPr>
                <w:rFonts w:ascii="Arial" w:hAnsi="Arial" w:cs="Arial"/>
                <w:b/>
                <w:bCs/>
                <w:sz w:val="20"/>
                <w:szCs w:val="20"/>
                <w:u w:val="single"/>
                <w:shd w:val="clear" w:color="auto" w:fill="FFFFFF"/>
              </w:rPr>
              <w:t>solo se requiere realizarla una vez</w:t>
            </w:r>
          </w:p>
        </w:tc>
        <w:tc>
          <w:tcPr>
            <w:tcW w:w="2409" w:type="dxa"/>
            <w:vMerge/>
            <w:shd w:val="clear" w:color="auto" w:fill="FFFFFF" w:themeFill="background1"/>
          </w:tcPr>
          <w:p w14:paraId="41E490B2" w14:textId="4F73CB7B" w:rsidR="003E1775" w:rsidRPr="003E1775" w:rsidRDefault="003E1775" w:rsidP="003E1775">
            <w:pPr>
              <w:pStyle w:val="Sinespaciado"/>
              <w:spacing w:line="276" w:lineRule="auto"/>
              <w:jc w:val="center"/>
              <w:rPr>
                <w:rFonts w:ascii="Arial" w:hAnsi="Arial" w:cs="Arial"/>
                <w:b/>
                <w:bCs/>
                <w:sz w:val="20"/>
                <w:szCs w:val="20"/>
                <w:u w:val="single"/>
              </w:rPr>
            </w:pPr>
          </w:p>
        </w:tc>
      </w:tr>
      <w:tr w:rsidR="003E1775" w14:paraId="7A8CA17B" w14:textId="77777777" w:rsidTr="00477385">
        <w:trPr>
          <w:trHeight w:val="277"/>
        </w:trPr>
        <w:tc>
          <w:tcPr>
            <w:tcW w:w="440" w:type="dxa"/>
            <w:shd w:val="clear" w:color="auto" w:fill="FFFFFF" w:themeFill="background1"/>
            <w:vAlign w:val="center"/>
          </w:tcPr>
          <w:p w14:paraId="578A7037" w14:textId="2DBA6DF8" w:rsidR="003E1775" w:rsidRPr="003E1775" w:rsidRDefault="003E1775" w:rsidP="003E1775">
            <w:pPr>
              <w:pStyle w:val="Sinespaciado"/>
              <w:jc w:val="center"/>
              <w:rPr>
                <w:rFonts w:ascii="Arial" w:hAnsi="Arial" w:cs="Arial"/>
                <w:b/>
                <w:bCs/>
                <w:sz w:val="20"/>
                <w:szCs w:val="20"/>
                <w:lang w:val="es-CO"/>
              </w:rPr>
            </w:pPr>
            <w:r w:rsidRPr="003E1775">
              <w:rPr>
                <w:rFonts w:ascii="Arial" w:hAnsi="Arial" w:cs="Arial"/>
                <w:b/>
                <w:bCs/>
                <w:sz w:val="20"/>
                <w:szCs w:val="20"/>
                <w:lang w:val="es-CO"/>
              </w:rPr>
              <w:t>8</w:t>
            </w:r>
          </w:p>
        </w:tc>
        <w:tc>
          <w:tcPr>
            <w:tcW w:w="2532" w:type="dxa"/>
            <w:shd w:val="clear" w:color="auto" w:fill="FFFFFF" w:themeFill="background1"/>
          </w:tcPr>
          <w:p w14:paraId="74FFD933" w14:textId="6058BC4B" w:rsidR="003E1775" w:rsidRPr="003E1775" w:rsidRDefault="003E1775" w:rsidP="003E1775">
            <w:pPr>
              <w:pStyle w:val="Sinespaciado"/>
              <w:spacing w:line="276" w:lineRule="auto"/>
              <w:jc w:val="center"/>
              <w:rPr>
                <w:rFonts w:ascii="Arial" w:hAnsi="Arial" w:cs="Arial"/>
                <w:sz w:val="20"/>
                <w:szCs w:val="20"/>
              </w:rPr>
            </w:pPr>
            <w:r w:rsidRPr="003E1775">
              <w:rPr>
                <w:rFonts w:ascii="Arial" w:hAnsi="Arial" w:cs="Arial"/>
                <w:color w:val="C00000"/>
                <w:sz w:val="20"/>
                <w:szCs w:val="20"/>
              </w:rPr>
              <w:t xml:space="preserve">Se recomienda clasificar el paciente </w:t>
            </w:r>
            <w:r>
              <w:rPr>
                <w:rFonts w:ascii="Arial" w:hAnsi="Arial" w:cs="Arial"/>
                <w:color w:val="C00000"/>
                <w:sz w:val="20"/>
                <w:szCs w:val="20"/>
              </w:rPr>
              <w:t>en:</w:t>
            </w:r>
            <w:r w:rsidRPr="003E1775">
              <w:rPr>
                <w:rFonts w:ascii="Arial" w:hAnsi="Arial" w:cs="Arial"/>
                <w:color w:val="C00000"/>
                <w:sz w:val="20"/>
                <w:szCs w:val="20"/>
              </w:rPr>
              <w:t xml:space="preserve"> </w:t>
            </w:r>
            <w:r w:rsidRPr="003E1775">
              <w:rPr>
                <w:rFonts w:ascii="Arial" w:hAnsi="Arial" w:cs="Arial"/>
                <w:color w:val="C00000"/>
                <w:sz w:val="20"/>
                <w:szCs w:val="20"/>
                <w:u w:val="single"/>
              </w:rPr>
              <w:t>sospecha de glaucoma, hipertensión ocular o glaucoma confirmado</w:t>
            </w:r>
            <w:r w:rsidRPr="003E1775">
              <w:rPr>
                <w:rFonts w:ascii="Arial" w:hAnsi="Arial" w:cs="Arial"/>
                <w:color w:val="C00000"/>
                <w:sz w:val="20"/>
                <w:szCs w:val="20"/>
              </w:rPr>
              <w:t xml:space="preserve"> para definir conducta y seguimiento</w:t>
            </w:r>
            <w:r w:rsidRPr="003E1775">
              <w:rPr>
                <w:rFonts w:ascii="Arial" w:hAnsi="Arial" w:cs="Arial"/>
                <w:sz w:val="20"/>
                <w:szCs w:val="20"/>
              </w:rPr>
              <w:t>.</w:t>
            </w:r>
          </w:p>
        </w:tc>
        <w:tc>
          <w:tcPr>
            <w:tcW w:w="5387" w:type="dxa"/>
            <w:shd w:val="clear" w:color="auto" w:fill="FFFFFF" w:themeFill="background1"/>
          </w:tcPr>
          <w:p w14:paraId="163C76F6" w14:textId="18EFCBF6" w:rsidR="003E1775" w:rsidRPr="003E1775" w:rsidRDefault="003E1775" w:rsidP="00390AC6">
            <w:pPr>
              <w:pStyle w:val="Sinespaciado"/>
              <w:numPr>
                <w:ilvl w:val="0"/>
                <w:numId w:val="10"/>
              </w:numPr>
              <w:spacing w:line="276" w:lineRule="auto"/>
              <w:ind w:left="360"/>
              <w:rPr>
                <w:rFonts w:ascii="Arial" w:hAnsi="Arial" w:cs="Arial"/>
                <w:sz w:val="20"/>
                <w:szCs w:val="20"/>
              </w:rPr>
            </w:pPr>
            <w:r w:rsidRPr="003E1775">
              <w:rPr>
                <w:rFonts w:ascii="Arial" w:hAnsi="Arial" w:cs="Arial"/>
                <w:sz w:val="20"/>
                <w:szCs w:val="20"/>
              </w:rPr>
              <w:t>Integrar hallazgos clínicos, estructurales y funcionales en la valoración diagnóstica.</w:t>
            </w:r>
          </w:p>
        </w:tc>
        <w:tc>
          <w:tcPr>
            <w:tcW w:w="2409" w:type="dxa"/>
            <w:shd w:val="clear" w:color="auto" w:fill="FFFFFF" w:themeFill="background1"/>
          </w:tcPr>
          <w:p w14:paraId="28AC718B" w14:textId="66BB29F1" w:rsidR="003E1775" w:rsidRPr="003E1775" w:rsidRDefault="003E1775" w:rsidP="003E1775">
            <w:pPr>
              <w:pStyle w:val="Sinespaciado"/>
              <w:spacing w:line="276" w:lineRule="auto"/>
              <w:jc w:val="center"/>
              <w:rPr>
                <w:rFonts w:ascii="Arial" w:hAnsi="Arial" w:cs="Arial"/>
                <w:b/>
                <w:bCs/>
                <w:sz w:val="20"/>
                <w:szCs w:val="20"/>
                <w:u w:val="single"/>
              </w:rPr>
            </w:pPr>
            <w:r w:rsidRPr="003E1775">
              <w:rPr>
                <w:rFonts w:ascii="Arial" w:hAnsi="Arial" w:cs="Arial"/>
                <w:sz w:val="20"/>
                <w:szCs w:val="20"/>
              </w:rPr>
              <w:t>El diagnóstico no debe basarse en un único examen aislado, sino en la correlación clínica integral.</w:t>
            </w:r>
          </w:p>
        </w:tc>
      </w:tr>
      <w:tr w:rsidR="00A464CC" w14:paraId="3A8C746F" w14:textId="77777777" w:rsidTr="00A464CC">
        <w:trPr>
          <w:trHeight w:val="277"/>
        </w:trPr>
        <w:tc>
          <w:tcPr>
            <w:tcW w:w="10768" w:type="dxa"/>
            <w:gridSpan w:val="4"/>
            <w:shd w:val="clear" w:color="auto" w:fill="FFE599" w:themeFill="accent4" w:themeFillTint="66"/>
            <w:vAlign w:val="center"/>
          </w:tcPr>
          <w:p w14:paraId="6570FC50" w14:textId="715F1740" w:rsidR="00A464CC" w:rsidRPr="00477385" w:rsidRDefault="00A464CC" w:rsidP="00C70EAF">
            <w:pPr>
              <w:jc w:val="center"/>
              <w:rPr>
                <w:rFonts w:ascii="Arial" w:hAnsi="Arial" w:cs="Arial"/>
                <w:b/>
                <w:bCs/>
                <w:sz w:val="20"/>
                <w:szCs w:val="20"/>
                <w:lang w:val="es-CO"/>
              </w:rPr>
            </w:pPr>
            <w:r w:rsidRPr="00477385">
              <w:rPr>
                <w:rFonts w:ascii="Arial" w:hAnsi="Arial" w:cs="Arial"/>
                <w:b/>
                <w:bCs/>
                <w:sz w:val="20"/>
                <w:szCs w:val="20"/>
              </w:rPr>
              <w:t xml:space="preserve">ATENCIÓN DEL PACIENTE </w:t>
            </w:r>
            <w:r w:rsidR="006465F4" w:rsidRPr="00477385">
              <w:rPr>
                <w:rFonts w:ascii="Arial" w:hAnsi="Arial" w:cs="Arial"/>
                <w:b/>
                <w:bCs/>
                <w:sz w:val="20"/>
                <w:szCs w:val="20"/>
              </w:rPr>
              <w:t>CON DIAGNÓSTICO DE GLAUCOMA</w:t>
            </w:r>
          </w:p>
        </w:tc>
      </w:tr>
      <w:tr w:rsidR="00A464CC" w14:paraId="3FFA4F12" w14:textId="77777777" w:rsidTr="00477385">
        <w:trPr>
          <w:trHeight w:val="1824"/>
        </w:trPr>
        <w:tc>
          <w:tcPr>
            <w:tcW w:w="440" w:type="dxa"/>
            <w:shd w:val="clear" w:color="auto" w:fill="FFFFFF" w:themeFill="background1"/>
            <w:vAlign w:val="center"/>
          </w:tcPr>
          <w:p w14:paraId="4E022480" w14:textId="77777777" w:rsidR="00A464CC" w:rsidRPr="00477385" w:rsidRDefault="00A464CC" w:rsidP="00C70EAF">
            <w:pPr>
              <w:jc w:val="center"/>
              <w:rPr>
                <w:rFonts w:ascii="Arial" w:hAnsi="Arial" w:cs="Arial"/>
                <w:b/>
                <w:bCs/>
                <w:sz w:val="20"/>
                <w:szCs w:val="20"/>
                <w:lang w:val="es-CO"/>
              </w:rPr>
            </w:pPr>
          </w:p>
        </w:tc>
        <w:tc>
          <w:tcPr>
            <w:tcW w:w="2532" w:type="dxa"/>
            <w:shd w:val="clear" w:color="auto" w:fill="FFFFFF" w:themeFill="background1"/>
          </w:tcPr>
          <w:p w14:paraId="433F1B84" w14:textId="0F89DEF9" w:rsidR="00A464CC" w:rsidRPr="003364C6" w:rsidRDefault="003E1775" w:rsidP="003364C6">
            <w:pPr>
              <w:spacing w:line="276" w:lineRule="auto"/>
              <w:rPr>
                <w:rFonts w:ascii="Arial" w:hAnsi="Arial" w:cs="Arial"/>
                <w:b/>
                <w:bCs/>
                <w:sz w:val="20"/>
                <w:szCs w:val="20"/>
                <w:lang w:val="es-CO"/>
              </w:rPr>
            </w:pPr>
            <w:r w:rsidRPr="003364C6">
              <w:rPr>
                <w:rFonts w:ascii="Arial" w:hAnsi="Arial" w:cs="Arial"/>
                <w:sz w:val="20"/>
                <w:szCs w:val="20"/>
              </w:rPr>
              <w:t>Se recomienda iniciar manejo médico oportuno en pacientes con diagnóstico confirmado de glaucoma o alto riesgo de progresión.</w:t>
            </w:r>
          </w:p>
        </w:tc>
        <w:tc>
          <w:tcPr>
            <w:tcW w:w="5387" w:type="dxa"/>
            <w:shd w:val="clear" w:color="auto" w:fill="FFFFFF" w:themeFill="background1"/>
          </w:tcPr>
          <w:p w14:paraId="7E959B04" w14:textId="53B6284A" w:rsidR="00A464CC" w:rsidRPr="003364C6" w:rsidRDefault="003E1775" w:rsidP="00390AC6">
            <w:pPr>
              <w:pStyle w:val="Prrafodelista"/>
              <w:numPr>
                <w:ilvl w:val="0"/>
                <w:numId w:val="5"/>
              </w:numPr>
              <w:spacing w:line="276" w:lineRule="auto"/>
              <w:ind w:left="360"/>
              <w:rPr>
                <w:rFonts w:ascii="Arial" w:hAnsi="Arial" w:cs="Arial"/>
                <w:b/>
                <w:bCs/>
                <w:sz w:val="20"/>
                <w:szCs w:val="20"/>
                <w:lang w:val="es-CO"/>
              </w:rPr>
            </w:pPr>
            <w:r w:rsidRPr="003364C6">
              <w:rPr>
                <w:rFonts w:ascii="Arial" w:hAnsi="Arial" w:cs="Arial"/>
                <w:sz w:val="20"/>
                <w:szCs w:val="20"/>
              </w:rPr>
              <w:t>Definir metas de presión intraocular e iniciar tratamiento tópico hipotensor según criterio clínico.</w:t>
            </w:r>
          </w:p>
          <w:p w14:paraId="0E3479B3" w14:textId="77777777" w:rsidR="003364C6" w:rsidRPr="003364C6" w:rsidRDefault="003364C6" w:rsidP="003364C6">
            <w:pPr>
              <w:pStyle w:val="Prrafodelista"/>
              <w:spacing w:line="276" w:lineRule="auto"/>
              <w:ind w:left="360"/>
              <w:rPr>
                <w:rFonts w:ascii="Arial" w:hAnsi="Arial" w:cs="Arial"/>
                <w:b/>
                <w:bCs/>
                <w:sz w:val="20"/>
                <w:szCs w:val="20"/>
                <w:lang w:val="es-CO"/>
              </w:rPr>
            </w:pPr>
          </w:p>
          <w:p w14:paraId="38208C13" w14:textId="77777777" w:rsidR="003364C6" w:rsidRPr="003364C6" w:rsidRDefault="003364C6" w:rsidP="00390AC6">
            <w:pPr>
              <w:pStyle w:val="Prrafodelista"/>
              <w:numPr>
                <w:ilvl w:val="0"/>
                <w:numId w:val="5"/>
              </w:numPr>
              <w:spacing w:line="276" w:lineRule="auto"/>
              <w:ind w:left="360"/>
              <w:rPr>
                <w:rFonts w:ascii="Arial" w:hAnsi="Arial" w:cs="Arial"/>
                <w:b/>
                <w:bCs/>
                <w:sz w:val="18"/>
                <w:szCs w:val="18"/>
                <w:lang w:val="es-CO"/>
              </w:rPr>
            </w:pPr>
            <w:r w:rsidRPr="003364C6">
              <w:rPr>
                <w:rFonts w:ascii="Arial" w:hAnsi="Arial" w:cs="Arial"/>
                <w:sz w:val="20"/>
                <w:szCs w:val="20"/>
                <w:shd w:val="clear" w:color="auto" w:fill="FFFFFF"/>
              </w:rPr>
              <w:t>El especialista de Oftalmología debe estadificar la enfermedad en</w:t>
            </w:r>
            <w:r>
              <w:rPr>
                <w:rFonts w:ascii="Arial" w:hAnsi="Arial" w:cs="Arial"/>
                <w:sz w:val="20"/>
                <w:szCs w:val="20"/>
                <w:shd w:val="clear" w:color="auto" w:fill="FFFFFF"/>
              </w:rPr>
              <w:t>:</w:t>
            </w:r>
          </w:p>
          <w:p w14:paraId="53AA9901" w14:textId="77777777" w:rsidR="003364C6" w:rsidRPr="003364C6" w:rsidRDefault="003364C6" w:rsidP="003364C6">
            <w:pPr>
              <w:pStyle w:val="Prrafodelista"/>
              <w:rPr>
                <w:rFonts w:ascii="Arial" w:hAnsi="Arial" w:cs="Arial"/>
                <w:sz w:val="20"/>
                <w:szCs w:val="20"/>
                <w:shd w:val="clear" w:color="auto" w:fill="FFFFFF"/>
              </w:rPr>
            </w:pPr>
          </w:p>
          <w:p w14:paraId="7C714494" w14:textId="1EED6285" w:rsidR="003364C6" w:rsidRDefault="003364C6" w:rsidP="00390AC6">
            <w:pPr>
              <w:pStyle w:val="Prrafodelista"/>
              <w:numPr>
                <w:ilvl w:val="0"/>
                <w:numId w:val="11"/>
              </w:numPr>
              <w:spacing w:line="276" w:lineRule="auto"/>
              <w:rPr>
                <w:rFonts w:ascii="Arial" w:hAnsi="Arial" w:cs="Arial"/>
                <w:sz w:val="20"/>
                <w:szCs w:val="20"/>
                <w:shd w:val="clear" w:color="auto" w:fill="FFFFFF"/>
              </w:rPr>
            </w:pPr>
            <w:r w:rsidRPr="003364C6">
              <w:rPr>
                <w:rFonts w:ascii="Arial" w:hAnsi="Arial" w:cs="Arial"/>
                <w:sz w:val="20"/>
                <w:szCs w:val="20"/>
                <w:shd w:val="clear" w:color="auto" w:fill="FFFFFF"/>
              </w:rPr>
              <w:t>Leve (campo visual normal)</w:t>
            </w:r>
          </w:p>
          <w:p w14:paraId="4073FFA9" w14:textId="77777777" w:rsidR="003364C6" w:rsidRDefault="003364C6" w:rsidP="00390AC6">
            <w:pPr>
              <w:pStyle w:val="Prrafodelista"/>
              <w:numPr>
                <w:ilvl w:val="0"/>
                <w:numId w:val="11"/>
              </w:numPr>
              <w:spacing w:line="276" w:lineRule="auto"/>
              <w:rPr>
                <w:rFonts w:ascii="Arial" w:hAnsi="Arial" w:cs="Arial"/>
                <w:sz w:val="20"/>
                <w:szCs w:val="20"/>
                <w:shd w:val="clear" w:color="auto" w:fill="FFFFFF"/>
              </w:rPr>
            </w:pPr>
            <w:r w:rsidRPr="003364C6">
              <w:rPr>
                <w:rFonts w:ascii="Arial" w:hAnsi="Arial" w:cs="Arial"/>
                <w:sz w:val="20"/>
                <w:szCs w:val="20"/>
                <w:shd w:val="clear" w:color="auto" w:fill="FFFFFF"/>
              </w:rPr>
              <w:t>Moderado (anormalidades en un hemicampo)</w:t>
            </w:r>
          </w:p>
          <w:p w14:paraId="2F745176" w14:textId="3D23BBEE" w:rsidR="003364C6" w:rsidRPr="003364C6" w:rsidRDefault="003364C6" w:rsidP="00390AC6">
            <w:pPr>
              <w:pStyle w:val="Prrafodelista"/>
              <w:numPr>
                <w:ilvl w:val="0"/>
                <w:numId w:val="11"/>
              </w:numPr>
              <w:spacing w:line="276" w:lineRule="auto"/>
              <w:rPr>
                <w:rFonts w:ascii="Arial" w:hAnsi="Arial" w:cs="Arial"/>
                <w:b/>
                <w:bCs/>
                <w:sz w:val="18"/>
                <w:szCs w:val="18"/>
                <w:lang w:val="es-CO"/>
              </w:rPr>
            </w:pPr>
            <w:r w:rsidRPr="003364C6">
              <w:rPr>
                <w:rFonts w:ascii="Arial" w:hAnsi="Arial" w:cs="Arial"/>
                <w:sz w:val="20"/>
                <w:szCs w:val="20"/>
                <w:shd w:val="clear" w:color="auto" w:fill="FFFFFF"/>
              </w:rPr>
              <w:t>Severo (daño en ambos hemicampos o cerca del punto de fijación)</w:t>
            </w:r>
          </w:p>
          <w:p w14:paraId="1C65EAD8" w14:textId="77777777" w:rsidR="003364C6" w:rsidRPr="003364C6" w:rsidRDefault="003364C6" w:rsidP="003364C6">
            <w:pPr>
              <w:pStyle w:val="Prrafodelista"/>
              <w:rPr>
                <w:rFonts w:ascii="Arial" w:hAnsi="Arial" w:cs="Arial"/>
                <w:sz w:val="20"/>
                <w:szCs w:val="20"/>
              </w:rPr>
            </w:pPr>
          </w:p>
          <w:p w14:paraId="670F68B3" w14:textId="4079A51A" w:rsidR="003364C6" w:rsidRPr="004C69F6" w:rsidRDefault="004C69F6" w:rsidP="00390AC6">
            <w:pPr>
              <w:pStyle w:val="Prrafodelista"/>
              <w:numPr>
                <w:ilvl w:val="0"/>
                <w:numId w:val="5"/>
              </w:numPr>
              <w:spacing w:line="276" w:lineRule="auto"/>
              <w:ind w:left="360"/>
              <w:rPr>
                <w:rFonts w:ascii="Arial" w:hAnsi="Arial" w:cs="Arial"/>
                <w:b/>
                <w:bCs/>
                <w:sz w:val="20"/>
                <w:szCs w:val="20"/>
                <w:lang w:val="es-CO"/>
              </w:rPr>
            </w:pPr>
            <w:r w:rsidRPr="004C69F6">
              <w:rPr>
                <w:rFonts w:ascii="Arial" w:hAnsi="Arial" w:cs="Arial"/>
                <w:sz w:val="20"/>
                <w:szCs w:val="20"/>
                <w:shd w:val="clear" w:color="auto" w:fill="FFFFFF"/>
              </w:rPr>
              <w:t>Como primera línea análogos de prostaglandinas o antagonistas beta-adrenérgicos, vigilando la toxicidad y la adherencia</w:t>
            </w:r>
            <w:r>
              <w:rPr>
                <w:rFonts w:ascii="Arial" w:hAnsi="Arial" w:cs="Arial"/>
                <w:sz w:val="20"/>
                <w:szCs w:val="20"/>
                <w:shd w:val="clear" w:color="auto" w:fill="FFFFFF"/>
              </w:rPr>
              <w:t xml:space="preserve">. </w:t>
            </w:r>
            <w:r>
              <w:rPr>
                <w:rFonts w:ascii="Google Sans Text" w:hAnsi="Google Sans Text"/>
                <w:color w:val="303030"/>
                <w:shd w:val="clear" w:color="auto" w:fill="FFFFFF"/>
              </w:rPr>
              <w:t xml:space="preserve"> </w:t>
            </w:r>
            <w:r w:rsidRPr="004C69F6">
              <w:rPr>
                <w:rFonts w:ascii="Arial" w:hAnsi="Arial" w:cs="Arial"/>
                <w:sz w:val="20"/>
                <w:szCs w:val="20"/>
                <w:shd w:val="clear" w:color="auto" w:fill="FFFFFF"/>
              </w:rPr>
              <w:t>Se sugiere iniciar tratamiento en un solo ojo para comparar la efectividad terapéutica respecto al ojo contralateral</w:t>
            </w:r>
            <w:r>
              <w:rPr>
                <w:rFonts w:ascii="Arial" w:hAnsi="Arial" w:cs="Arial"/>
                <w:sz w:val="20"/>
                <w:szCs w:val="20"/>
                <w:shd w:val="clear" w:color="auto" w:fill="FFFFFF"/>
              </w:rPr>
              <w:t>.</w:t>
            </w:r>
          </w:p>
        </w:tc>
        <w:tc>
          <w:tcPr>
            <w:tcW w:w="2409" w:type="dxa"/>
            <w:shd w:val="clear" w:color="auto" w:fill="FFFFFF" w:themeFill="background1"/>
          </w:tcPr>
          <w:p w14:paraId="736AEE41" w14:textId="77777777" w:rsidR="00A464CC" w:rsidRDefault="003364C6" w:rsidP="003364C6">
            <w:pPr>
              <w:spacing w:line="276" w:lineRule="auto"/>
              <w:jc w:val="center"/>
              <w:rPr>
                <w:rFonts w:ascii="Arial" w:hAnsi="Arial" w:cs="Arial"/>
                <w:sz w:val="20"/>
                <w:szCs w:val="20"/>
              </w:rPr>
            </w:pPr>
            <w:r w:rsidRPr="003364C6">
              <w:rPr>
                <w:rFonts w:ascii="Arial" w:hAnsi="Arial" w:cs="Arial"/>
                <w:sz w:val="20"/>
                <w:szCs w:val="20"/>
              </w:rPr>
              <w:t>La elección terapéutica debe individualizarse según severidad, factores de riesgo, adherencia y tolerancia al tratamiento.</w:t>
            </w:r>
          </w:p>
          <w:p w14:paraId="711FB906" w14:textId="77777777" w:rsidR="004C69F6" w:rsidRDefault="004C69F6" w:rsidP="003364C6">
            <w:pPr>
              <w:spacing w:line="276" w:lineRule="auto"/>
              <w:jc w:val="center"/>
              <w:rPr>
                <w:rFonts w:ascii="Arial" w:hAnsi="Arial" w:cs="Arial"/>
                <w:sz w:val="20"/>
                <w:szCs w:val="20"/>
              </w:rPr>
            </w:pPr>
          </w:p>
          <w:p w14:paraId="41370E0A" w14:textId="77777777" w:rsidR="004C69F6" w:rsidRDefault="004C69F6" w:rsidP="003364C6">
            <w:pPr>
              <w:spacing w:line="276" w:lineRule="auto"/>
              <w:jc w:val="center"/>
              <w:rPr>
                <w:rFonts w:ascii="Arial" w:hAnsi="Arial" w:cs="Arial"/>
                <w:sz w:val="20"/>
                <w:szCs w:val="20"/>
              </w:rPr>
            </w:pPr>
          </w:p>
          <w:p w14:paraId="5BD369DC" w14:textId="77777777" w:rsidR="004C69F6" w:rsidRDefault="004C69F6" w:rsidP="003364C6">
            <w:pPr>
              <w:spacing w:line="276" w:lineRule="auto"/>
              <w:jc w:val="center"/>
              <w:rPr>
                <w:rFonts w:ascii="Arial" w:hAnsi="Arial" w:cs="Arial"/>
                <w:sz w:val="20"/>
                <w:szCs w:val="20"/>
              </w:rPr>
            </w:pPr>
          </w:p>
          <w:p w14:paraId="55307B62" w14:textId="0BD446BC" w:rsidR="004C69F6" w:rsidRPr="004C69F6" w:rsidRDefault="004C69F6" w:rsidP="003364C6">
            <w:pPr>
              <w:spacing w:line="276" w:lineRule="auto"/>
              <w:jc w:val="center"/>
              <w:rPr>
                <w:rFonts w:ascii="Arial" w:hAnsi="Arial" w:cs="Arial"/>
                <w:b/>
                <w:bCs/>
                <w:sz w:val="20"/>
                <w:szCs w:val="20"/>
                <w:lang w:val="es-CO"/>
              </w:rPr>
            </w:pPr>
            <w:r w:rsidRPr="004C69F6">
              <w:rPr>
                <w:rFonts w:ascii="Arial" w:hAnsi="Arial" w:cs="Arial"/>
                <w:sz w:val="20"/>
                <w:szCs w:val="20"/>
              </w:rPr>
              <w:t>La adherencia al tratamiento y seguimiento reduce el riesgo de progresión y pérdida visual irreversible.</w:t>
            </w:r>
          </w:p>
        </w:tc>
      </w:tr>
      <w:tr w:rsidR="003364C6" w14:paraId="27E842F8" w14:textId="77777777" w:rsidTr="00477385">
        <w:trPr>
          <w:trHeight w:val="1824"/>
        </w:trPr>
        <w:tc>
          <w:tcPr>
            <w:tcW w:w="440" w:type="dxa"/>
            <w:shd w:val="clear" w:color="auto" w:fill="FFFFFF" w:themeFill="background1"/>
            <w:vAlign w:val="center"/>
          </w:tcPr>
          <w:p w14:paraId="63178633" w14:textId="77777777" w:rsidR="003364C6" w:rsidRPr="00477385" w:rsidRDefault="003364C6" w:rsidP="00C70EAF">
            <w:pPr>
              <w:jc w:val="center"/>
              <w:rPr>
                <w:rFonts w:ascii="Arial" w:hAnsi="Arial" w:cs="Arial"/>
                <w:b/>
                <w:bCs/>
                <w:sz w:val="20"/>
                <w:szCs w:val="20"/>
                <w:lang w:val="es-CO"/>
              </w:rPr>
            </w:pPr>
          </w:p>
        </w:tc>
        <w:tc>
          <w:tcPr>
            <w:tcW w:w="2532" w:type="dxa"/>
            <w:shd w:val="clear" w:color="auto" w:fill="FFFFFF" w:themeFill="background1"/>
          </w:tcPr>
          <w:p w14:paraId="18842FE4" w14:textId="3422F0D5" w:rsidR="003364C6" w:rsidRPr="003364C6" w:rsidRDefault="003364C6" w:rsidP="003364C6">
            <w:pPr>
              <w:spacing w:line="276" w:lineRule="auto"/>
              <w:rPr>
                <w:rFonts w:ascii="Arial" w:hAnsi="Arial" w:cs="Arial"/>
                <w:sz w:val="20"/>
                <w:szCs w:val="20"/>
              </w:rPr>
            </w:pPr>
            <w:r w:rsidRPr="003364C6">
              <w:rPr>
                <w:rFonts w:ascii="Arial" w:hAnsi="Arial" w:cs="Arial"/>
                <w:sz w:val="20"/>
                <w:szCs w:val="20"/>
              </w:rPr>
              <w:t>Se recomienda realizar seguimiento periódico clínico y paraclínico según severidad y riesgo de progresión.</w:t>
            </w:r>
          </w:p>
        </w:tc>
        <w:tc>
          <w:tcPr>
            <w:tcW w:w="5387" w:type="dxa"/>
            <w:shd w:val="clear" w:color="auto" w:fill="FFFFFF" w:themeFill="background1"/>
          </w:tcPr>
          <w:p w14:paraId="2AF008FF" w14:textId="4028054B" w:rsidR="003364C6" w:rsidRPr="003364C6" w:rsidRDefault="003364C6" w:rsidP="00390AC6">
            <w:pPr>
              <w:pStyle w:val="Prrafodelista"/>
              <w:numPr>
                <w:ilvl w:val="0"/>
                <w:numId w:val="5"/>
              </w:numPr>
              <w:spacing w:line="276" w:lineRule="auto"/>
              <w:ind w:left="360"/>
              <w:rPr>
                <w:rFonts w:ascii="Arial" w:hAnsi="Arial" w:cs="Arial"/>
                <w:sz w:val="20"/>
                <w:szCs w:val="20"/>
              </w:rPr>
            </w:pPr>
            <w:r w:rsidRPr="003364C6">
              <w:rPr>
                <w:rFonts w:ascii="Arial" w:hAnsi="Arial" w:cs="Arial"/>
                <w:sz w:val="20"/>
                <w:szCs w:val="20"/>
              </w:rPr>
              <w:t>Controlar presión intraocular, nervio óptico, campos visuales y adherencia terapéutica.</w:t>
            </w:r>
          </w:p>
          <w:p w14:paraId="5A5FE3AA" w14:textId="77777777" w:rsidR="003364C6" w:rsidRPr="003364C6" w:rsidRDefault="003364C6" w:rsidP="003364C6">
            <w:pPr>
              <w:pStyle w:val="Prrafodelista"/>
              <w:spacing w:line="276" w:lineRule="auto"/>
              <w:ind w:left="360"/>
              <w:rPr>
                <w:rFonts w:ascii="Arial" w:hAnsi="Arial" w:cs="Arial"/>
                <w:sz w:val="20"/>
                <w:szCs w:val="20"/>
              </w:rPr>
            </w:pPr>
          </w:p>
          <w:p w14:paraId="222DFDBE" w14:textId="272E98D3" w:rsidR="003364C6" w:rsidRPr="003364C6" w:rsidRDefault="003364C6" w:rsidP="00390AC6">
            <w:pPr>
              <w:pStyle w:val="Prrafodelista"/>
              <w:numPr>
                <w:ilvl w:val="0"/>
                <w:numId w:val="5"/>
              </w:numPr>
              <w:spacing w:line="276" w:lineRule="auto"/>
              <w:ind w:left="360"/>
              <w:rPr>
                <w:rFonts w:ascii="Arial" w:hAnsi="Arial" w:cs="Arial"/>
                <w:sz w:val="20"/>
                <w:szCs w:val="20"/>
              </w:rPr>
            </w:pPr>
            <w:r w:rsidRPr="003364C6">
              <w:rPr>
                <w:rFonts w:ascii="Arial" w:hAnsi="Arial" w:cs="Arial"/>
                <w:sz w:val="20"/>
                <w:szCs w:val="20"/>
              </w:rPr>
              <w:t>La periodicidad debe individualizarse según estabilidad clínica, factores de riesgo y progresión estructural o funciona</w:t>
            </w:r>
          </w:p>
        </w:tc>
        <w:tc>
          <w:tcPr>
            <w:tcW w:w="2409" w:type="dxa"/>
            <w:shd w:val="clear" w:color="auto" w:fill="FFFFFF" w:themeFill="background1"/>
          </w:tcPr>
          <w:p w14:paraId="596C398A" w14:textId="77777777" w:rsidR="003364C6" w:rsidRDefault="003364C6" w:rsidP="00171BDF"/>
        </w:tc>
      </w:tr>
      <w:tr w:rsidR="003364C6" w14:paraId="6C89975E" w14:textId="77777777" w:rsidTr="00477385">
        <w:trPr>
          <w:trHeight w:val="1824"/>
        </w:trPr>
        <w:tc>
          <w:tcPr>
            <w:tcW w:w="440" w:type="dxa"/>
            <w:shd w:val="clear" w:color="auto" w:fill="FFFFFF" w:themeFill="background1"/>
            <w:vAlign w:val="center"/>
          </w:tcPr>
          <w:p w14:paraId="1BF88DE5" w14:textId="77777777" w:rsidR="003364C6" w:rsidRPr="00477385" w:rsidRDefault="003364C6" w:rsidP="00C70EAF">
            <w:pPr>
              <w:jc w:val="center"/>
              <w:rPr>
                <w:rFonts w:ascii="Arial" w:hAnsi="Arial" w:cs="Arial"/>
                <w:b/>
                <w:bCs/>
                <w:sz w:val="20"/>
                <w:szCs w:val="20"/>
                <w:lang w:val="es-CO"/>
              </w:rPr>
            </w:pPr>
          </w:p>
        </w:tc>
        <w:tc>
          <w:tcPr>
            <w:tcW w:w="2532" w:type="dxa"/>
            <w:shd w:val="clear" w:color="auto" w:fill="FFFFFF" w:themeFill="background1"/>
          </w:tcPr>
          <w:p w14:paraId="29684948" w14:textId="2EF4F58F" w:rsidR="003364C6" w:rsidRPr="003364C6" w:rsidRDefault="003364C6" w:rsidP="003364C6">
            <w:pPr>
              <w:spacing w:line="276" w:lineRule="auto"/>
              <w:rPr>
                <w:rFonts w:ascii="Arial" w:hAnsi="Arial" w:cs="Arial"/>
                <w:sz w:val="20"/>
                <w:szCs w:val="20"/>
              </w:rPr>
            </w:pPr>
            <w:r w:rsidRPr="003364C6">
              <w:rPr>
                <w:rFonts w:ascii="Arial" w:hAnsi="Arial" w:cs="Arial"/>
                <w:sz w:val="20"/>
                <w:szCs w:val="20"/>
              </w:rPr>
              <w:t>Se recomienda remitir a subespecialidad de glaucoma pacientes con progresión, difícil control o alta complejidad</w:t>
            </w:r>
          </w:p>
        </w:tc>
        <w:tc>
          <w:tcPr>
            <w:tcW w:w="5387" w:type="dxa"/>
            <w:shd w:val="clear" w:color="auto" w:fill="FFFFFF" w:themeFill="background1"/>
          </w:tcPr>
          <w:p w14:paraId="7E8ADAAF" w14:textId="7102F623" w:rsidR="003364C6" w:rsidRDefault="003364C6" w:rsidP="00390AC6">
            <w:pPr>
              <w:pStyle w:val="Prrafodelista"/>
              <w:numPr>
                <w:ilvl w:val="0"/>
                <w:numId w:val="5"/>
              </w:numPr>
              <w:spacing w:line="276" w:lineRule="auto"/>
              <w:ind w:left="360"/>
              <w:rPr>
                <w:rFonts w:ascii="Arial" w:hAnsi="Arial" w:cs="Arial"/>
                <w:sz w:val="20"/>
                <w:szCs w:val="20"/>
              </w:rPr>
            </w:pPr>
            <w:r w:rsidRPr="003364C6">
              <w:rPr>
                <w:rFonts w:ascii="Arial" w:hAnsi="Arial" w:cs="Arial"/>
                <w:sz w:val="20"/>
                <w:szCs w:val="20"/>
              </w:rPr>
              <w:t>Remitir pacientes con progresión del daño glaucomatoso, PIO no controlada, necesidad de múltiples medicamentos, glaucoma severo, sospecha de cierre angular complejo o indicación quirúrgica.</w:t>
            </w:r>
          </w:p>
          <w:p w14:paraId="19A982D8" w14:textId="77777777" w:rsidR="003364C6" w:rsidRDefault="003364C6" w:rsidP="003364C6">
            <w:pPr>
              <w:pStyle w:val="Prrafodelista"/>
              <w:spacing w:line="276" w:lineRule="auto"/>
              <w:ind w:left="360"/>
              <w:rPr>
                <w:rFonts w:ascii="Arial" w:hAnsi="Arial" w:cs="Arial"/>
                <w:sz w:val="20"/>
                <w:szCs w:val="20"/>
              </w:rPr>
            </w:pPr>
          </w:p>
          <w:p w14:paraId="44A40967" w14:textId="77777777" w:rsidR="003364C6" w:rsidRPr="00D70389" w:rsidRDefault="003364C6" w:rsidP="00390AC6">
            <w:pPr>
              <w:pStyle w:val="Prrafodelista"/>
              <w:numPr>
                <w:ilvl w:val="0"/>
                <w:numId w:val="5"/>
              </w:numPr>
              <w:spacing w:line="276" w:lineRule="auto"/>
              <w:ind w:left="360"/>
              <w:rPr>
                <w:rStyle w:val="ng-star-inserted"/>
                <w:rFonts w:ascii="Arial" w:hAnsi="Arial" w:cs="Arial"/>
                <w:sz w:val="20"/>
                <w:szCs w:val="20"/>
              </w:rPr>
            </w:pPr>
            <w:r w:rsidRPr="00D70389">
              <w:rPr>
                <w:rStyle w:val="ng-star-inserted"/>
                <w:rFonts w:ascii="Arial" w:hAnsi="Arial" w:cs="Arial"/>
                <w:sz w:val="20"/>
                <w:szCs w:val="20"/>
                <w:shd w:val="clear" w:color="auto" w:fill="FFFFFF"/>
              </w:rPr>
              <w:t>El oftalmólogo general debe remitir al especialista en glaucoma si: la excavación es ≥ 0.8, no se alcanza la PIO meta, se usan ≥ 3 moléculas, hay progresión documentada o es glaucoma de ojo único</w:t>
            </w:r>
          </w:p>
          <w:p w14:paraId="640992E7" w14:textId="77777777" w:rsidR="004C69F6" w:rsidRPr="004C69F6" w:rsidRDefault="004C69F6" w:rsidP="004C69F6">
            <w:pPr>
              <w:pStyle w:val="Prrafodelista"/>
              <w:rPr>
                <w:rFonts w:ascii="Arial" w:hAnsi="Arial" w:cs="Arial"/>
                <w:sz w:val="20"/>
                <w:szCs w:val="20"/>
              </w:rPr>
            </w:pPr>
          </w:p>
          <w:p w14:paraId="20D026C0" w14:textId="01494E3B" w:rsidR="004C69F6" w:rsidRPr="004C69F6" w:rsidRDefault="004C69F6" w:rsidP="00390AC6">
            <w:pPr>
              <w:pStyle w:val="Prrafodelista"/>
              <w:numPr>
                <w:ilvl w:val="0"/>
                <w:numId w:val="5"/>
              </w:numPr>
              <w:spacing w:line="276" w:lineRule="auto"/>
              <w:ind w:left="360"/>
              <w:rPr>
                <w:rFonts w:ascii="Arial" w:hAnsi="Arial" w:cs="Arial"/>
                <w:sz w:val="20"/>
                <w:szCs w:val="20"/>
              </w:rPr>
            </w:pPr>
            <w:r w:rsidRPr="004C69F6">
              <w:rPr>
                <w:rFonts w:ascii="Arial" w:hAnsi="Arial" w:cs="Arial"/>
                <w:sz w:val="20"/>
                <w:szCs w:val="20"/>
                <w:shd w:val="clear" w:color="auto" w:fill="FFFFFF"/>
              </w:rPr>
              <w:t>Los glaucomas congénitos, infantiles y juveniles deben ser remitidos siempre, incluso si están controlados</w:t>
            </w:r>
          </w:p>
        </w:tc>
        <w:tc>
          <w:tcPr>
            <w:tcW w:w="2409" w:type="dxa"/>
            <w:shd w:val="clear" w:color="auto" w:fill="FFFFFF" w:themeFill="background1"/>
          </w:tcPr>
          <w:p w14:paraId="6C6B5430" w14:textId="77777777" w:rsidR="003364C6" w:rsidRDefault="003364C6" w:rsidP="00171BDF"/>
        </w:tc>
      </w:tr>
      <w:tr w:rsidR="003364C6" w14:paraId="50CFB8B4" w14:textId="77777777" w:rsidTr="00477385">
        <w:trPr>
          <w:trHeight w:val="1824"/>
        </w:trPr>
        <w:tc>
          <w:tcPr>
            <w:tcW w:w="440" w:type="dxa"/>
            <w:shd w:val="clear" w:color="auto" w:fill="FFFFFF" w:themeFill="background1"/>
            <w:vAlign w:val="center"/>
          </w:tcPr>
          <w:p w14:paraId="2849FB64" w14:textId="77777777" w:rsidR="003364C6" w:rsidRPr="00477385" w:rsidRDefault="003364C6" w:rsidP="00C70EAF">
            <w:pPr>
              <w:jc w:val="center"/>
              <w:rPr>
                <w:rFonts w:ascii="Arial" w:hAnsi="Arial" w:cs="Arial"/>
                <w:b/>
                <w:bCs/>
                <w:sz w:val="20"/>
                <w:szCs w:val="20"/>
                <w:lang w:val="es-CO"/>
              </w:rPr>
            </w:pPr>
          </w:p>
        </w:tc>
        <w:tc>
          <w:tcPr>
            <w:tcW w:w="2532" w:type="dxa"/>
            <w:shd w:val="clear" w:color="auto" w:fill="FFFFFF" w:themeFill="background1"/>
          </w:tcPr>
          <w:p w14:paraId="393DEBC4" w14:textId="221CFDCD" w:rsidR="003364C6" w:rsidRPr="003364C6" w:rsidRDefault="003364C6" w:rsidP="003364C6">
            <w:pPr>
              <w:spacing w:line="276" w:lineRule="auto"/>
              <w:rPr>
                <w:rFonts w:ascii="Arial" w:hAnsi="Arial" w:cs="Arial"/>
                <w:sz w:val="20"/>
                <w:szCs w:val="20"/>
              </w:rPr>
            </w:pPr>
            <w:r w:rsidRPr="003364C6">
              <w:rPr>
                <w:rFonts w:ascii="Arial" w:hAnsi="Arial" w:cs="Arial"/>
                <w:sz w:val="20"/>
                <w:szCs w:val="20"/>
              </w:rPr>
              <w:t>Se recomienda considerar manejo láser o quirúrgico en pacientes con glaucoma no controlado o progresión documentada</w:t>
            </w:r>
          </w:p>
        </w:tc>
        <w:tc>
          <w:tcPr>
            <w:tcW w:w="5387" w:type="dxa"/>
            <w:shd w:val="clear" w:color="auto" w:fill="FFFFFF" w:themeFill="background1"/>
          </w:tcPr>
          <w:p w14:paraId="19258CD8" w14:textId="1BE2294C" w:rsidR="003364C6" w:rsidRPr="00EB1A97" w:rsidRDefault="003364C6" w:rsidP="00390AC6">
            <w:pPr>
              <w:pStyle w:val="Prrafodelista"/>
              <w:numPr>
                <w:ilvl w:val="0"/>
                <w:numId w:val="5"/>
              </w:numPr>
              <w:spacing w:line="276" w:lineRule="auto"/>
              <w:ind w:left="360"/>
              <w:rPr>
                <w:rFonts w:ascii="Arial" w:hAnsi="Arial" w:cs="Arial"/>
                <w:sz w:val="20"/>
                <w:szCs w:val="20"/>
              </w:rPr>
            </w:pPr>
            <w:r w:rsidRPr="00EB1A97">
              <w:rPr>
                <w:rFonts w:ascii="Arial" w:hAnsi="Arial" w:cs="Arial"/>
                <w:sz w:val="20"/>
                <w:szCs w:val="20"/>
              </w:rPr>
              <w:t>Valorar necesidad de trabeculoplastia láser, trabeculectomía u otros procedimientos.</w:t>
            </w:r>
          </w:p>
          <w:p w14:paraId="4E5710C4" w14:textId="77777777" w:rsidR="003364C6" w:rsidRPr="00EB1A97" w:rsidRDefault="003364C6" w:rsidP="003364C6">
            <w:pPr>
              <w:pStyle w:val="Prrafodelista"/>
              <w:spacing w:line="276" w:lineRule="auto"/>
              <w:ind w:left="360"/>
              <w:rPr>
                <w:rFonts w:ascii="Arial" w:hAnsi="Arial" w:cs="Arial"/>
                <w:sz w:val="20"/>
                <w:szCs w:val="20"/>
              </w:rPr>
            </w:pPr>
          </w:p>
          <w:p w14:paraId="2966FA7E" w14:textId="77777777" w:rsidR="004C69F6" w:rsidRPr="00EB1A97" w:rsidRDefault="004C69F6" w:rsidP="004C69F6">
            <w:pPr>
              <w:pStyle w:val="Prrafodelista"/>
              <w:rPr>
                <w:rFonts w:ascii="Arial" w:hAnsi="Arial" w:cs="Arial"/>
                <w:sz w:val="20"/>
                <w:szCs w:val="20"/>
              </w:rPr>
            </w:pPr>
          </w:p>
          <w:p w14:paraId="5824F237" w14:textId="4F1E92EB" w:rsidR="004C69F6" w:rsidRPr="00EB1A97" w:rsidRDefault="004C69F6" w:rsidP="00390AC6">
            <w:pPr>
              <w:pStyle w:val="Prrafodelista"/>
              <w:numPr>
                <w:ilvl w:val="0"/>
                <w:numId w:val="5"/>
              </w:numPr>
              <w:spacing w:line="276" w:lineRule="auto"/>
              <w:ind w:left="360"/>
              <w:rPr>
                <w:rFonts w:ascii="Arial" w:hAnsi="Arial" w:cs="Arial"/>
                <w:sz w:val="18"/>
                <w:szCs w:val="18"/>
              </w:rPr>
            </w:pPr>
            <w:r w:rsidRPr="00EB1A97">
              <w:rPr>
                <w:rFonts w:ascii="Arial" w:hAnsi="Arial" w:cs="Arial"/>
                <w:sz w:val="20"/>
                <w:szCs w:val="20"/>
                <w:shd w:val="clear" w:color="auto" w:fill="FFFFFF"/>
              </w:rPr>
              <w:t>El especialista debe considerar la trabeculoplastia láser si hay falta de adherencia o intolerancia a gotas, o iridotomía en casos de ángulo ocluíble o estrecho</w:t>
            </w:r>
          </w:p>
          <w:p w14:paraId="62F71E35" w14:textId="77777777" w:rsidR="004C69F6" w:rsidRPr="00EB1A97" w:rsidRDefault="004C69F6" w:rsidP="004C69F6">
            <w:pPr>
              <w:pStyle w:val="Prrafodelista"/>
              <w:spacing w:line="276" w:lineRule="auto"/>
              <w:ind w:left="360"/>
              <w:rPr>
                <w:rFonts w:ascii="Arial" w:hAnsi="Arial" w:cs="Arial"/>
                <w:sz w:val="18"/>
                <w:szCs w:val="18"/>
              </w:rPr>
            </w:pPr>
          </w:p>
          <w:p w14:paraId="49E7F42C" w14:textId="70BD06CC" w:rsidR="004C69F6" w:rsidRPr="00EB1A97" w:rsidRDefault="004C69F6" w:rsidP="00390AC6">
            <w:pPr>
              <w:pStyle w:val="Prrafodelista"/>
              <w:numPr>
                <w:ilvl w:val="0"/>
                <w:numId w:val="5"/>
              </w:numPr>
              <w:spacing w:line="276" w:lineRule="auto"/>
              <w:ind w:left="360"/>
              <w:rPr>
                <w:rFonts w:ascii="Arial" w:hAnsi="Arial" w:cs="Arial"/>
                <w:sz w:val="18"/>
                <w:szCs w:val="18"/>
              </w:rPr>
            </w:pPr>
            <w:r w:rsidRPr="00EB1A97">
              <w:rPr>
                <w:rFonts w:ascii="Arial" w:hAnsi="Arial" w:cs="Arial"/>
                <w:sz w:val="20"/>
                <w:szCs w:val="20"/>
                <w:shd w:val="clear" w:color="auto" w:fill="FFFFFF"/>
              </w:rPr>
              <w:t>La cirugía filtrante (trabeculectomía) se reserva generalmente para casos donde la terapia médica o láser es insuficiente</w:t>
            </w:r>
          </w:p>
          <w:p w14:paraId="178AA023" w14:textId="18B44E1A" w:rsidR="004C69F6" w:rsidRPr="004C69F6" w:rsidRDefault="004C69F6" w:rsidP="004C69F6">
            <w:pPr>
              <w:spacing w:line="276" w:lineRule="auto"/>
              <w:rPr>
                <w:rFonts w:ascii="Arial" w:hAnsi="Arial" w:cs="Arial"/>
                <w:sz w:val="20"/>
                <w:szCs w:val="20"/>
              </w:rPr>
            </w:pPr>
          </w:p>
        </w:tc>
        <w:tc>
          <w:tcPr>
            <w:tcW w:w="2409" w:type="dxa"/>
            <w:shd w:val="clear" w:color="auto" w:fill="FFFFFF" w:themeFill="background1"/>
          </w:tcPr>
          <w:p w14:paraId="68B23BFD" w14:textId="726DC473" w:rsidR="004C69F6" w:rsidRPr="00EB1A97" w:rsidRDefault="004C69F6" w:rsidP="00EB1A97">
            <w:pPr>
              <w:spacing w:line="276" w:lineRule="auto"/>
              <w:jc w:val="center"/>
              <w:rPr>
                <w:rFonts w:ascii="Arial" w:hAnsi="Arial" w:cs="Arial"/>
                <w:sz w:val="20"/>
                <w:szCs w:val="20"/>
              </w:rPr>
            </w:pPr>
            <w:r w:rsidRPr="00EB1A97">
              <w:rPr>
                <w:rFonts w:ascii="Arial" w:hAnsi="Arial" w:cs="Arial"/>
                <w:sz w:val="20"/>
                <w:szCs w:val="20"/>
              </w:rPr>
              <w:t>La indicación</w:t>
            </w:r>
            <w:r w:rsidR="00EB1A97">
              <w:rPr>
                <w:rFonts w:ascii="Arial" w:hAnsi="Arial" w:cs="Arial"/>
                <w:sz w:val="20"/>
                <w:szCs w:val="20"/>
              </w:rPr>
              <w:t xml:space="preserve"> quirúrgica</w:t>
            </w:r>
            <w:r w:rsidRPr="00EB1A97">
              <w:rPr>
                <w:rFonts w:ascii="Arial" w:hAnsi="Arial" w:cs="Arial"/>
                <w:sz w:val="20"/>
                <w:szCs w:val="20"/>
              </w:rPr>
              <w:t xml:space="preserve"> depende del tipo de glaucoma, severidad, progresión y respuesta al tratamiento médico.</w:t>
            </w:r>
          </w:p>
          <w:p w14:paraId="3C2E21B4" w14:textId="77777777" w:rsidR="003364C6" w:rsidRDefault="003364C6" w:rsidP="00171BDF"/>
        </w:tc>
      </w:tr>
      <w:tr w:rsidR="00EB1A97" w14:paraId="58C8C153" w14:textId="77777777" w:rsidTr="00477385">
        <w:trPr>
          <w:trHeight w:val="1824"/>
        </w:trPr>
        <w:tc>
          <w:tcPr>
            <w:tcW w:w="440" w:type="dxa"/>
            <w:shd w:val="clear" w:color="auto" w:fill="FFFFFF" w:themeFill="background1"/>
            <w:vAlign w:val="center"/>
          </w:tcPr>
          <w:p w14:paraId="1D1ED1D0" w14:textId="77777777" w:rsidR="00EB1A97" w:rsidRPr="00EB1A97" w:rsidRDefault="00EB1A97" w:rsidP="00C70EAF">
            <w:pPr>
              <w:jc w:val="center"/>
              <w:rPr>
                <w:rFonts w:ascii="Arial" w:hAnsi="Arial" w:cs="Arial"/>
                <w:b/>
                <w:bCs/>
                <w:sz w:val="20"/>
                <w:szCs w:val="20"/>
                <w:lang w:val="es-CO"/>
              </w:rPr>
            </w:pPr>
          </w:p>
        </w:tc>
        <w:tc>
          <w:tcPr>
            <w:tcW w:w="2532" w:type="dxa"/>
            <w:shd w:val="clear" w:color="auto" w:fill="FFFFFF" w:themeFill="background1"/>
          </w:tcPr>
          <w:p w14:paraId="4263CF8F" w14:textId="52E914B6" w:rsidR="00EB1A97" w:rsidRPr="00EB1A97" w:rsidRDefault="00EB1A97" w:rsidP="003364C6">
            <w:pPr>
              <w:spacing w:line="276" w:lineRule="auto"/>
              <w:rPr>
                <w:rFonts w:ascii="Arial" w:hAnsi="Arial" w:cs="Arial"/>
                <w:sz w:val="20"/>
                <w:szCs w:val="20"/>
              </w:rPr>
            </w:pPr>
            <w:r w:rsidRPr="00EB1A97">
              <w:rPr>
                <w:rFonts w:ascii="Arial" w:hAnsi="Arial" w:cs="Arial"/>
                <w:sz w:val="20"/>
                <w:szCs w:val="20"/>
                <w:shd w:val="clear" w:color="auto" w:fill="FFFFFF"/>
              </w:rPr>
              <w:t>Se recomienda</w:t>
            </w:r>
            <w:r w:rsidRPr="00EB1A97">
              <w:rPr>
                <w:rFonts w:ascii="Arial" w:hAnsi="Arial" w:cs="Arial"/>
                <w:b/>
                <w:bCs/>
                <w:sz w:val="20"/>
                <w:szCs w:val="20"/>
                <w:shd w:val="clear" w:color="auto" w:fill="FFFFFF"/>
              </w:rPr>
              <w:t xml:space="preserve"> </w:t>
            </w:r>
            <w:r w:rsidRPr="00EB1A97">
              <w:rPr>
                <w:rStyle w:val="ng-star-inserted"/>
                <w:rFonts w:ascii="Arial" w:hAnsi="Arial" w:cs="Arial"/>
                <w:sz w:val="20"/>
                <w:szCs w:val="20"/>
                <w:shd w:val="clear" w:color="auto" w:fill="FFFFFF"/>
              </w:rPr>
              <w:t>el monitoreo periódico de la PIO y la progresión del daño estructural y funcional</w:t>
            </w:r>
          </w:p>
        </w:tc>
        <w:tc>
          <w:tcPr>
            <w:tcW w:w="5387" w:type="dxa"/>
            <w:shd w:val="clear" w:color="auto" w:fill="FFFFFF" w:themeFill="background1"/>
          </w:tcPr>
          <w:p w14:paraId="2F4CDCC6" w14:textId="125EF736" w:rsidR="00EB1A97" w:rsidRPr="00EB1A97" w:rsidRDefault="00EB1A97" w:rsidP="00390AC6">
            <w:pPr>
              <w:pStyle w:val="Prrafodelista"/>
              <w:numPr>
                <w:ilvl w:val="0"/>
                <w:numId w:val="5"/>
              </w:numPr>
              <w:spacing w:line="276" w:lineRule="auto"/>
              <w:ind w:left="360"/>
              <w:rPr>
                <w:rFonts w:ascii="Arial" w:hAnsi="Arial" w:cs="Arial"/>
                <w:sz w:val="20"/>
                <w:szCs w:val="20"/>
              </w:rPr>
            </w:pPr>
            <w:r w:rsidRPr="00EB1A97">
              <w:rPr>
                <w:rFonts w:ascii="Arial" w:hAnsi="Arial" w:cs="Arial"/>
                <w:sz w:val="20"/>
                <w:szCs w:val="20"/>
                <w:shd w:val="clear" w:color="auto" w:fill="FFFFFF"/>
              </w:rPr>
              <w:t>El médico debe realizar campos visuales 1 o 2 veces al año y OCT cada 2 años para detectar evidencia de progresión.</w:t>
            </w:r>
          </w:p>
          <w:p w14:paraId="603E8378" w14:textId="77777777" w:rsidR="00EB1A97" w:rsidRPr="00EB1A97" w:rsidRDefault="00EB1A97" w:rsidP="00EB1A97">
            <w:pPr>
              <w:pStyle w:val="Prrafodelista"/>
              <w:spacing w:line="276" w:lineRule="auto"/>
              <w:ind w:left="360"/>
              <w:rPr>
                <w:rFonts w:ascii="Arial" w:hAnsi="Arial" w:cs="Arial"/>
                <w:sz w:val="20"/>
                <w:szCs w:val="20"/>
              </w:rPr>
            </w:pPr>
          </w:p>
          <w:p w14:paraId="6FBC25B0" w14:textId="0033138C" w:rsidR="00EB1A97" w:rsidRPr="00EB1A97" w:rsidRDefault="00EB1A97" w:rsidP="00390AC6">
            <w:pPr>
              <w:pStyle w:val="Prrafodelista"/>
              <w:numPr>
                <w:ilvl w:val="0"/>
                <w:numId w:val="5"/>
              </w:numPr>
              <w:spacing w:line="276" w:lineRule="auto"/>
              <w:ind w:left="360"/>
              <w:rPr>
                <w:rFonts w:ascii="Arial" w:hAnsi="Arial" w:cs="Arial"/>
                <w:sz w:val="20"/>
                <w:szCs w:val="20"/>
              </w:rPr>
            </w:pPr>
            <w:r w:rsidRPr="00EB1A97">
              <w:rPr>
                <w:rFonts w:ascii="Arial" w:hAnsi="Arial" w:cs="Arial"/>
                <w:sz w:val="20"/>
                <w:szCs w:val="20"/>
                <w:shd w:val="clear" w:color="auto" w:fill="FFFFFF"/>
              </w:rPr>
              <w:t>Si ocurre progresión del daño incluso estando en la PIO meta, esta última debe bajarse inmediatamente.</w:t>
            </w:r>
          </w:p>
          <w:p w14:paraId="0255FE62" w14:textId="77777777" w:rsidR="00EB1A97" w:rsidRPr="00EB1A97" w:rsidRDefault="00EB1A97" w:rsidP="00EB1A97">
            <w:pPr>
              <w:pStyle w:val="Prrafodelista"/>
              <w:rPr>
                <w:rFonts w:ascii="Arial" w:hAnsi="Arial" w:cs="Arial"/>
                <w:sz w:val="20"/>
                <w:szCs w:val="20"/>
              </w:rPr>
            </w:pPr>
          </w:p>
          <w:p w14:paraId="4281A2F9" w14:textId="6540F9DE" w:rsidR="00EB1A97" w:rsidRPr="00EB1A97" w:rsidRDefault="00EB1A97" w:rsidP="00390AC6">
            <w:pPr>
              <w:pStyle w:val="Prrafodelista"/>
              <w:numPr>
                <w:ilvl w:val="0"/>
                <w:numId w:val="5"/>
              </w:numPr>
              <w:spacing w:line="276" w:lineRule="auto"/>
              <w:ind w:left="360"/>
              <w:rPr>
                <w:rFonts w:ascii="Arial" w:hAnsi="Arial" w:cs="Arial"/>
                <w:sz w:val="20"/>
                <w:szCs w:val="20"/>
              </w:rPr>
            </w:pPr>
            <w:r w:rsidRPr="00EB1A97">
              <w:rPr>
                <w:rFonts w:ascii="Arial" w:hAnsi="Arial" w:cs="Arial"/>
                <w:sz w:val="20"/>
                <w:szCs w:val="20"/>
                <w:shd w:val="clear" w:color="auto" w:fill="FFFFFF"/>
              </w:rPr>
              <w:t>El médico debe ajustar la terapia si no se obtiene la PIO meta, si el paciente no tolera los medicamentos o si existen contraindicaciones sistémica</w:t>
            </w:r>
            <w:r w:rsidR="000925E8">
              <w:rPr>
                <w:rFonts w:ascii="Arial" w:hAnsi="Arial" w:cs="Arial"/>
                <w:sz w:val="20"/>
                <w:szCs w:val="20"/>
                <w:shd w:val="clear" w:color="auto" w:fill="FFFFFF"/>
              </w:rPr>
              <w:t>s.</w:t>
            </w:r>
          </w:p>
          <w:p w14:paraId="0A1E873B" w14:textId="449550E3" w:rsidR="00EB1A97" w:rsidRPr="00EB1A97" w:rsidRDefault="00EB1A97" w:rsidP="00EB1A97">
            <w:pPr>
              <w:spacing w:line="276" w:lineRule="auto"/>
              <w:rPr>
                <w:rFonts w:ascii="Arial" w:hAnsi="Arial" w:cs="Arial"/>
                <w:sz w:val="20"/>
                <w:szCs w:val="20"/>
              </w:rPr>
            </w:pPr>
          </w:p>
        </w:tc>
        <w:tc>
          <w:tcPr>
            <w:tcW w:w="2409" w:type="dxa"/>
            <w:shd w:val="clear" w:color="auto" w:fill="FFFFFF" w:themeFill="background1"/>
          </w:tcPr>
          <w:p w14:paraId="50369396" w14:textId="77777777" w:rsidR="00EB1A97" w:rsidRPr="00EB1A97" w:rsidRDefault="00EB1A97" w:rsidP="00EB1A97">
            <w:pPr>
              <w:spacing w:line="276" w:lineRule="auto"/>
              <w:jc w:val="center"/>
              <w:rPr>
                <w:rFonts w:ascii="Arial" w:hAnsi="Arial" w:cs="Arial"/>
                <w:sz w:val="20"/>
                <w:szCs w:val="20"/>
              </w:rPr>
            </w:pPr>
          </w:p>
        </w:tc>
      </w:tr>
    </w:tbl>
    <w:p w14:paraId="0866607E" w14:textId="568AEF59" w:rsidR="007F1512" w:rsidRDefault="007F1512" w:rsidP="008F298E">
      <w:pPr>
        <w:ind w:left="360"/>
        <w:rPr>
          <w:rFonts w:cstheme="minorHAnsi"/>
          <w:color w:val="FF0000"/>
          <w:lang w:val="es-CO"/>
        </w:rPr>
      </w:pPr>
    </w:p>
    <w:p w14:paraId="2B0D0C04" w14:textId="099FAC02" w:rsidR="003E1775" w:rsidRDefault="003E1775" w:rsidP="008F298E">
      <w:pPr>
        <w:ind w:left="360"/>
        <w:rPr>
          <w:rFonts w:cstheme="minorHAnsi"/>
          <w:color w:val="FF0000"/>
          <w:lang w:val="es-CO"/>
        </w:rPr>
      </w:pPr>
    </w:p>
    <w:p w14:paraId="22BCF654" w14:textId="0A26A7DA" w:rsidR="0050133D" w:rsidRPr="0050133D" w:rsidRDefault="0050133D" w:rsidP="00390AC6">
      <w:pPr>
        <w:pStyle w:val="Ttulo1"/>
        <w:numPr>
          <w:ilvl w:val="0"/>
          <w:numId w:val="1"/>
        </w:numPr>
        <w:rPr>
          <w:rFonts w:ascii="Arial" w:hAnsi="Arial" w:cs="Arial"/>
          <w:sz w:val="22"/>
          <w:szCs w:val="22"/>
          <w:lang w:val="es-ES"/>
        </w:rPr>
      </w:pPr>
      <w:r>
        <w:rPr>
          <w:rFonts w:cstheme="minorHAnsi"/>
          <w:noProof/>
          <w:color w:val="FF0000"/>
          <w:lang w:val="es-CO"/>
        </w:rPr>
        <w:lastRenderedPageBreak/>
        <w:drawing>
          <wp:anchor distT="0" distB="0" distL="114300" distR="114300" simplePos="0" relativeHeight="251670528" behindDoc="0" locked="0" layoutInCell="1" allowOverlap="1" wp14:anchorId="738E3A10" wp14:editId="77BDAB9F">
            <wp:simplePos x="0" y="0"/>
            <wp:positionH relativeFrom="column">
              <wp:posOffset>761365</wp:posOffset>
            </wp:positionH>
            <wp:positionV relativeFrom="paragraph">
              <wp:posOffset>238125</wp:posOffset>
            </wp:positionV>
            <wp:extent cx="4565650" cy="6847840"/>
            <wp:effectExtent l="0" t="0" r="635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4">
                      <a:extLst>
                        <a:ext uri="{28A0092B-C50C-407E-A947-70E740481C1C}">
                          <a14:useLocalDpi xmlns:a14="http://schemas.microsoft.com/office/drawing/2010/main" val="0"/>
                        </a:ext>
                      </a:extLst>
                    </a:blip>
                    <a:stretch>
                      <a:fillRect/>
                    </a:stretch>
                  </pic:blipFill>
                  <pic:spPr>
                    <a:xfrm>
                      <a:off x="0" y="0"/>
                      <a:ext cx="4565650" cy="6847840"/>
                    </a:xfrm>
                    <a:prstGeom prst="rect">
                      <a:avLst/>
                    </a:prstGeom>
                  </pic:spPr>
                </pic:pic>
              </a:graphicData>
            </a:graphic>
            <wp14:sizeRelH relativeFrom="margin">
              <wp14:pctWidth>0</wp14:pctWidth>
            </wp14:sizeRelH>
            <wp14:sizeRelV relativeFrom="margin">
              <wp14:pctHeight>0</wp14:pctHeight>
            </wp14:sizeRelV>
          </wp:anchor>
        </w:drawing>
      </w:r>
      <w:r w:rsidRPr="0050133D">
        <w:rPr>
          <w:rFonts w:ascii="Arial" w:eastAsiaTheme="minorHAnsi" w:hAnsi="Arial" w:cs="Arial"/>
          <w:bCs/>
          <w:caps w:val="0"/>
          <w:sz w:val="22"/>
          <w:szCs w:val="22"/>
          <w:lang w:val="es-ES"/>
        </w:rPr>
        <w:t>ALGORITMO</w:t>
      </w:r>
    </w:p>
    <w:p w14:paraId="4D9686C4" w14:textId="74D0D274" w:rsidR="0050133D" w:rsidRDefault="0050133D" w:rsidP="008F298E">
      <w:pPr>
        <w:ind w:left="360"/>
        <w:rPr>
          <w:rFonts w:cstheme="minorHAnsi"/>
          <w:color w:val="FF0000"/>
          <w:lang w:val="es-CO"/>
        </w:rPr>
      </w:pPr>
    </w:p>
    <w:p w14:paraId="24600A92" w14:textId="77777777" w:rsidR="00171BDF" w:rsidRPr="00287FB3" w:rsidRDefault="00171BDF" w:rsidP="008F298E">
      <w:pPr>
        <w:ind w:left="360"/>
        <w:rPr>
          <w:rFonts w:cstheme="minorHAnsi"/>
          <w:color w:val="FF0000"/>
          <w:lang w:val="es-CO"/>
        </w:rPr>
      </w:pPr>
    </w:p>
    <w:bookmarkStart w:id="6" w:name="_Toc228445695" w:displacedByCustomXml="next"/>
    <w:sdt>
      <w:sdtPr>
        <w:rPr>
          <w:rFonts w:ascii="Arial" w:eastAsiaTheme="minorHAnsi" w:hAnsi="Arial" w:cs="Arial"/>
          <w:b w:val="0"/>
          <w:caps w:val="0"/>
          <w:sz w:val="20"/>
          <w:szCs w:val="20"/>
          <w:lang w:val="es-ES"/>
        </w:rPr>
        <w:id w:val="1464460613"/>
        <w:docPartObj>
          <w:docPartGallery w:val="Bibliographies"/>
          <w:docPartUnique/>
        </w:docPartObj>
      </w:sdtPr>
      <w:sdtEndPr>
        <w:rPr>
          <w:rFonts w:eastAsiaTheme="minorEastAsia"/>
          <w:sz w:val="22"/>
          <w:szCs w:val="22"/>
          <w:lang w:val="en-US"/>
        </w:rPr>
      </w:sdtEndPr>
      <w:sdtContent>
        <w:p w14:paraId="7D8544F7" w14:textId="72D6606D" w:rsidR="00EA08C7" w:rsidRPr="0050133D" w:rsidRDefault="00EA08C7" w:rsidP="0050133D">
          <w:pPr>
            <w:pStyle w:val="Ttulo1"/>
            <w:ind w:left="720"/>
            <w:jc w:val="both"/>
            <w:rPr>
              <w:rFonts w:ascii="Arial" w:hAnsi="Arial" w:cs="Arial"/>
              <w:sz w:val="22"/>
              <w:szCs w:val="22"/>
              <w:lang w:val="es-ES"/>
            </w:rPr>
          </w:pPr>
        </w:p>
        <w:p w14:paraId="06A15056" w14:textId="1DA4C91A" w:rsidR="00655986" w:rsidRPr="0050133D" w:rsidRDefault="00CE7BA4" w:rsidP="00390AC6">
          <w:pPr>
            <w:pStyle w:val="Ttulo1"/>
            <w:numPr>
              <w:ilvl w:val="0"/>
              <w:numId w:val="1"/>
            </w:numPr>
            <w:rPr>
              <w:rFonts w:ascii="Arial" w:hAnsi="Arial" w:cs="Arial"/>
              <w:sz w:val="22"/>
              <w:szCs w:val="22"/>
            </w:rPr>
          </w:pPr>
          <w:r w:rsidRPr="0050133D">
            <w:rPr>
              <w:rFonts w:ascii="Arial" w:hAnsi="Arial" w:cs="Arial"/>
              <w:sz w:val="22"/>
              <w:szCs w:val="22"/>
              <w:lang w:val="es-ES"/>
            </w:rPr>
            <w:t>BIBLIOGRAFÍA</w:t>
          </w:r>
          <w:bookmarkEnd w:id="6"/>
        </w:p>
        <w:sdt>
          <w:sdtPr>
            <w:rPr>
              <w:rFonts w:ascii="Arial" w:eastAsiaTheme="minorHAnsi" w:hAnsi="Arial" w:cs="Arial"/>
              <w:lang w:val="es-419"/>
            </w:rPr>
            <w:id w:val="111145805"/>
            <w:bibliography/>
          </w:sdtPr>
          <w:sdtEndPr>
            <w:rPr>
              <w:rFonts w:eastAsiaTheme="minorEastAsia"/>
              <w:lang w:val="en-US"/>
            </w:rPr>
          </w:sdtEndPr>
          <w:sdtContent>
            <w:p w14:paraId="69C60739"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lang w:val="es-419"/>
                </w:rPr>
                <w:t xml:space="preserve">Academia Americana de Oftalmología (AAO). </w:t>
              </w:r>
              <w:r w:rsidRPr="0050133D">
                <w:rPr>
                  <w:rFonts w:ascii="Arial" w:eastAsiaTheme="minorHAnsi" w:hAnsi="Arial" w:cs="Arial"/>
                </w:rPr>
                <w:t>Preferred Practice Pattern®: Primary Open</w:t>
              </w:r>
              <w:r w:rsidRPr="0050133D">
                <w:rPr>
                  <w:rFonts w:ascii="Cambria Math" w:eastAsiaTheme="minorHAnsi" w:hAnsi="Cambria Math" w:cs="Cambria Math"/>
                </w:rPr>
                <w:t>‑</w:t>
              </w:r>
              <w:r w:rsidRPr="0050133D">
                <w:rPr>
                  <w:rFonts w:ascii="Arial" w:eastAsiaTheme="minorHAnsi" w:hAnsi="Arial" w:cs="Arial"/>
                </w:rPr>
                <w:t xml:space="preserve">Angle Glaucoma. </w:t>
              </w:r>
              <w:r w:rsidRPr="0050133D">
                <w:rPr>
                  <w:rFonts w:ascii="Arial" w:eastAsiaTheme="minorHAnsi" w:hAnsi="Arial" w:cs="Arial"/>
                  <w:lang w:val="es-419"/>
                </w:rPr>
                <w:t>San Francisco, CA: American Academy of Ophthalmology; última actualización vigente.</w:t>
              </w:r>
            </w:p>
            <w:p w14:paraId="6D0FF46A" w14:textId="77777777" w:rsidR="006C38A5" w:rsidRPr="0050133D" w:rsidRDefault="006C38A5" w:rsidP="00A464CC">
              <w:pPr>
                <w:pStyle w:val="Listaconnmeros"/>
                <w:rPr>
                  <w:rFonts w:ascii="Arial" w:eastAsiaTheme="minorHAnsi" w:hAnsi="Arial" w:cs="Arial"/>
                </w:rPr>
              </w:pPr>
              <w:r w:rsidRPr="0050133D">
                <w:rPr>
                  <w:rFonts w:ascii="Arial" w:eastAsiaTheme="minorHAnsi" w:hAnsi="Arial" w:cs="Arial"/>
                  <w:lang w:val="es-419"/>
                </w:rPr>
                <w:t xml:space="preserve">Academia Americana de Oftalmología (AAO). </w:t>
              </w:r>
              <w:r w:rsidRPr="0050133D">
                <w:rPr>
                  <w:rFonts w:ascii="Arial" w:eastAsiaTheme="minorHAnsi" w:hAnsi="Arial" w:cs="Arial"/>
                </w:rPr>
                <w:t>Primary Open</w:t>
              </w:r>
              <w:r w:rsidRPr="0050133D">
                <w:rPr>
                  <w:rFonts w:ascii="Cambria Math" w:eastAsiaTheme="minorHAnsi" w:hAnsi="Cambria Math" w:cs="Cambria Math"/>
                </w:rPr>
                <w:t>‑</w:t>
              </w:r>
              <w:r w:rsidRPr="0050133D">
                <w:rPr>
                  <w:rFonts w:ascii="Arial" w:eastAsiaTheme="minorHAnsi" w:hAnsi="Arial" w:cs="Arial"/>
                </w:rPr>
                <w:t>Angle Glaucoma Suspect – Preferred Practice Pattern®.</w:t>
              </w:r>
            </w:p>
            <w:p w14:paraId="18207721"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rPr>
                <w:t xml:space="preserve">European Glaucoma Society (EGS). Terminology and Guidelines for Glaucoma. </w:t>
              </w:r>
              <w:r w:rsidRPr="0050133D">
                <w:rPr>
                  <w:rFonts w:ascii="Arial" w:eastAsiaTheme="minorHAnsi" w:hAnsi="Arial" w:cs="Arial"/>
                  <w:lang w:val="es-419"/>
                </w:rPr>
                <w:t>5th Edition. Savona, Italia; European Glaucoma Society.</w:t>
              </w:r>
            </w:p>
            <w:p w14:paraId="3086E0C4" w14:textId="77777777" w:rsidR="006C38A5" w:rsidRPr="0050133D" w:rsidRDefault="006C38A5" w:rsidP="00A464CC">
              <w:pPr>
                <w:pStyle w:val="Listaconnmeros"/>
                <w:rPr>
                  <w:rFonts w:ascii="Arial" w:eastAsiaTheme="minorHAnsi" w:hAnsi="Arial" w:cs="Arial"/>
                </w:rPr>
              </w:pPr>
              <w:r w:rsidRPr="0050133D">
                <w:rPr>
                  <w:rFonts w:ascii="Arial" w:eastAsiaTheme="minorHAnsi" w:hAnsi="Arial" w:cs="Arial"/>
                  <w:lang w:val="es-419"/>
                </w:rPr>
                <w:t xml:space="preserve">Organización Mundial de la Salud (OMS). </w:t>
              </w:r>
              <w:r w:rsidRPr="0050133D">
                <w:rPr>
                  <w:rFonts w:ascii="Arial" w:eastAsiaTheme="minorHAnsi" w:hAnsi="Arial" w:cs="Arial"/>
                </w:rPr>
                <w:t>Blindness and Vision Impairment. OMS; actualizaciones vigentes.</w:t>
              </w:r>
            </w:p>
            <w:p w14:paraId="41698663"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lang w:val="es-419"/>
                </w:rPr>
                <w:t>Ministerio de Salud y Protección Social de Colombia. Sistema Obligatorio de Garantía de la Calidad en Salud (SOGCS).</w:t>
              </w:r>
            </w:p>
            <w:p w14:paraId="08554CE0"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lang w:val="es-419"/>
                </w:rPr>
                <w:t>Ministerio de Salud y Protección Social de Colombia. Decreto 780 de 2016 – Decreto Único Reglamentario del Sector Salud y Protección Social.</w:t>
              </w:r>
            </w:p>
            <w:p w14:paraId="4B72D6BC"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lang w:val="es-419"/>
                </w:rPr>
                <w:t>Ministerio de Salud y Protección Social de Colombia. Resolución 3100 de 2019 – Manual de Inscripción de Prestadores y Habilitación de Servicios de Salud.</w:t>
              </w:r>
            </w:p>
            <w:p w14:paraId="0FA4CE54"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lang w:val="es-419"/>
                </w:rPr>
                <w:t>Instituto de Evaluación Tecnológica en Salud (IETS). Manual metodológico para la elaboración de Guías de Práctica Clínica en Colombia.</w:t>
              </w:r>
            </w:p>
            <w:p w14:paraId="408C32CC" w14:textId="77777777" w:rsidR="006C38A5" w:rsidRPr="0050133D" w:rsidRDefault="006C38A5" w:rsidP="00A464CC">
              <w:pPr>
                <w:pStyle w:val="Listaconnmeros"/>
                <w:rPr>
                  <w:rFonts w:ascii="Arial" w:eastAsiaTheme="minorHAnsi" w:hAnsi="Arial" w:cs="Arial"/>
                  <w:lang w:val="es-419"/>
                </w:rPr>
              </w:pPr>
              <w:r w:rsidRPr="0050133D">
                <w:rPr>
                  <w:rFonts w:ascii="Arial" w:eastAsiaTheme="minorHAnsi" w:hAnsi="Arial" w:cs="Arial"/>
                  <w:lang w:val="es-419"/>
                </w:rPr>
                <w:t>Sociedad Panamericana de Glaucoma. Recomendaciones para el diagnóstico y manejo del glaucoma en Latinoamérica.</w:t>
              </w:r>
            </w:p>
            <w:p w14:paraId="08030535" w14:textId="3D124A1D" w:rsidR="00655986" w:rsidRPr="0050133D" w:rsidRDefault="006C38A5" w:rsidP="00A464CC">
              <w:pPr>
                <w:pStyle w:val="Listaconnmeros"/>
                <w:numPr>
                  <w:ilvl w:val="0"/>
                  <w:numId w:val="0"/>
                </w:numPr>
                <w:rPr>
                  <w:rFonts w:ascii="Arial" w:eastAsiaTheme="minorHAnsi" w:hAnsi="Arial" w:cs="Arial"/>
                  <w:lang w:val="es-419"/>
                </w:rPr>
              </w:pPr>
              <w:r w:rsidRPr="0050133D">
                <w:rPr>
                  <w:rFonts w:ascii="Arial" w:eastAsiaTheme="minorHAnsi" w:hAnsi="Arial" w:cs="Arial"/>
                  <w:lang w:val="pt-PT"/>
                </w:rPr>
                <w:t xml:space="preserve">Weinreb RN, Aung T, Medeiros FA. The pathophysiology and treatment of glaucoma. </w:t>
              </w:r>
              <w:r w:rsidRPr="0050133D">
                <w:rPr>
                  <w:rFonts w:ascii="Arial" w:eastAsiaTheme="minorHAnsi" w:hAnsi="Arial" w:cs="Arial"/>
                  <w:lang w:val="es-419"/>
                </w:rPr>
                <w:t>The New England Journal of Medicine.</w:t>
              </w:r>
            </w:p>
          </w:sdtContent>
        </w:sdt>
      </w:sdtContent>
    </w:sdt>
    <w:p w14:paraId="20E8BE57" w14:textId="09E9E342" w:rsidR="001E42C8" w:rsidRPr="00A464CC" w:rsidRDefault="00A464CC" w:rsidP="00390AC6">
      <w:pPr>
        <w:pStyle w:val="Ttulo1"/>
        <w:numPr>
          <w:ilvl w:val="0"/>
          <w:numId w:val="1"/>
        </w:numPr>
        <w:rPr>
          <w:rFonts w:asciiTheme="minorHAnsi" w:hAnsiTheme="minorHAnsi" w:cstheme="minorHAnsi"/>
          <w:lang w:val="es-CO"/>
        </w:rPr>
      </w:pPr>
      <w:bookmarkStart w:id="7" w:name="_Toc228445696"/>
      <w:r>
        <w:rPr>
          <w:rFonts w:asciiTheme="minorHAnsi" w:hAnsiTheme="minorHAnsi" w:cstheme="minorHAnsi"/>
          <w:lang w:val="es-CO"/>
        </w:rPr>
        <w:t xml:space="preserve">ANEXOS </w:t>
      </w:r>
      <w:bookmarkEnd w:id="7"/>
    </w:p>
    <w:p w14:paraId="14A84CBB" w14:textId="49F8C367" w:rsidR="008C3448" w:rsidRPr="0050133D" w:rsidRDefault="0050133D" w:rsidP="008C3448">
      <w:pPr>
        <w:rPr>
          <w:rFonts w:ascii="Arial" w:hAnsi="Arial" w:cs="Arial"/>
          <w:sz w:val="24"/>
          <w:szCs w:val="24"/>
          <w:lang w:val="es-CO"/>
        </w:rPr>
      </w:pPr>
      <w:r w:rsidRPr="0050133D">
        <w:rPr>
          <w:rFonts w:ascii="Arial" w:hAnsi="Arial" w:cs="Arial"/>
          <w:sz w:val="24"/>
          <w:szCs w:val="24"/>
          <w:lang w:val="es-CO"/>
        </w:rPr>
        <w:t>No aplica</w:t>
      </w:r>
    </w:p>
    <w:sectPr w:rsidR="008C3448" w:rsidRPr="0050133D">
      <w:footerReference w:type="defaul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EF842" w14:textId="77777777" w:rsidR="00EC23C6" w:rsidRDefault="00EC23C6" w:rsidP="009939A6">
      <w:pPr>
        <w:spacing w:after="0" w:line="240" w:lineRule="auto"/>
      </w:pPr>
      <w:r>
        <w:separator/>
      </w:r>
    </w:p>
  </w:endnote>
  <w:endnote w:type="continuationSeparator" w:id="0">
    <w:p w14:paraId="182B3E31" w14:textId="77777777" w:rsidR="00EC23C6" w:rsidRDefault="00EC23C6"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66A1" w14:textId="77777777" w:rsidR="001373F0" w:rsidRPr="00041935" w:rsidRDefault="001373F0" w:rsidP="001373F0">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6FD2E303" w14:textId="77777777" w:rsidR="001373F0" w:rsidRPr="00041935" w:rsidRDefault="001373F0" w:rsidP="001373F0">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AB0C25">
      <w:rPr>
        <w:b/>
        <w:bCs/>
        <w:noProof/>
        <w:sz w:val="16"/>
        <w:szCs w:val="16"/>
      </w:rPr>
      <w:t>7</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AB0C25">
      <w:rPr>
        <w:b/>
        <w:bCs/>
        <w:noProof/>
        <w:sz w:val="16"/>
        <w:szCs w:val="16"/>
      </w:rPr>
      <w:t>8</w:t>
    </w:r>
    <w:r w:rsidRPr="00041935">
      <w:rPr>
        <w:b/>
        <w:bCs/>
        <w:sz w:val="16"/>
        <w:szCs w:val="16"/>
      </w:rPr>
      <w:fldChar w:fldCharType="end"/>
    </w:r>
  </w:p>
  <w:p w14:paraId="085BD098" w14:textId="77777777" w:rsidR="001373F0" w:rsidRPr="00041935" w:rsidRDefault="001373F0" w:rsidP="001373F0">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1D2CF" w14:textId="77777777" w:rsidR="00EC23C6" w:rsidRDefault="00EC23C6" w:rsidP="009939A6">
      <w:pPr>
        <w:spacing w:after="0" w:line="240" w:lineRule="auto"/>
      </w:pPr>
      <w:r>
        <w:separator/>
      </w:r>
    </w:p>
  </w:footnote>
  <w:footnote w:type="continuationSeparator" w:id="0">
    <w:p w14:paraId="5FD4DE14" w14:textId="77777777" w:rsidR="00EC23C6" w:rsidRDefault="00EC23C6"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6" w:type="dxa"/>
      <w:tblInd w:w="-572" w:type="dxa"/>
      <w:tblLook w:val="04A0" w:firstRow="1" w:lastRow="0" w:firstColumn="1" w:lastColumn="0" w:noHBand="0" w:noVBand="1"/>
    </w:tblPr>
    <w:tblGrid>
      <w:gridCol w:w="2196"/>
      <w:gridCol w:w="6451"/>
      <w:gridCol w:w="1559"/>
    </w:tblGrid>
    <w:tr w:rsidR="00BC69C1" w14:paraId="5C648FA9" w14:textId="77777777" w:rsidTr="009A0182">
      <w:tc>
        <w:tcPr>
          <w:tcW w:w="2196" w:type="dxa"/>
          <w:vMerge w:val="restart"/>
        </w:tcPr>
        <w:p w14:paraId="4AF6C107" w14:textId="77777777" w:rsidR="00BC69C1" w:rsidRPr="009A0182" w:rsidRDefault="00BC69C1" w:rsidP="00BC69C1">
          <w:pPr>
            <w:pStyle w:val="Encabezado"/>
            <w:jc w:val="center"/>
            <w:rPr>
              <w:rFonts w:ascii="Arial" w:hAnsi="Arial" w:cs="Arial"/>
              <w:sz w:val="18"/>
              <w:szCs w:val="18"/>
            </w:rPr>
          </w:pPr>
          <w:r w:rsidRPr="009A0182">
            <w:rPr>
              <w:rFonts w:ascii="Arial" w:hAnsi="Arial" w:cs="Arial"/>
              <w:noProof/>
              <w:sz w:val="18"/>
              <w:szCs w:val="18"/>
            </w:rPr>
            <w:drawing>
              <wp:inline distT="0" distB="0" distL="0" distR="0" wp14:anchorId="37287D85" wp14:editId="4D525F87">
                <wp:extent cx="1196340" cy="762000"/>
                <wp:effectExtent l="0" t="0" r="3810" b="0"/>
                <wp:docPr id="4"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4452"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0426" r="13194"/>
                        <a:stretch>
                          <a:fillRect/>
                        </a:stretch>
                      </pic:blipFill>
                      <pic:spPr bwMode="auto">
                        <a:xfrm>
                          <a:off x="0" y="0"/>
                          <a:ext cx="1233717" cy="785807"/>
                        </a:xfrm>
                        <a:prstGeom prst="rect">
                          <a:avLst/>
                        </a:prstGeom>
                        <a:ln>
                          <a:noFill/>
                        </a:ln>
                        <a:extLst>
                          <a:ext uri="{53640926-AAD7-44D8-BBD7-CCE9431645EC}">
                            <a14:shadowObscured xmlns:a14="http://schemas.microsoft.com/office/drawing/2010/main"/>
                          </a:ext>
                        </a:extLst>
                      </pic:spPr>
                    </pic:pic>
                  </a:graphicData>
                </a:graphic>
              </wp:inline>
            </w:drawing>
          </w:r>
        </w:p>
        <w:p w14:paraId="6A9C093B" w14:textId="3F3763A7" w:rsidR="009A0182" w:rsidRPr="009A0182" w:rsidRDefault="009A0182" w:rsidP="00BC69C1">
          <w:pPr>
            <w:pStyle w:val="Encabezado"/>
            <w:jc w:val="center"/>
            <w:rPr>
              <w:rFonts w:ascii="Arial" w:hAnsi="Arial" w:cs="Arial"/>
              <w:sz w:val="18"/>
              <w:szCs w:val="18"/>
            </w:rPr>
          </w:pPr>
        </w:p>
      </w:tc>
      <w:tc>
        <w:tcPr>
          <w:tcW w:w="6451" w:type="dxa"/>
        </w:tcPr>
        <w:p w14:paraId="7F1B15F7" w14:textId="7BFE46CE" w:rsidR="00BC69C1" w:rsidRPr="009A0182" w:rsidRDefault="00BC69C1" w:rsidP="009A0182">
          <w:pPr>
            <w:pStyle w:val="Encabezado"/>
            <w:jc w:val="center"/>
            <w:rPr>
              <w:rFonts w:ascii="Arial" w:hAnsi="Arial" w:cs="Arial"/>
              <w:b/>
              <w:bCs/>
              <w:sz w:val="18"/>
              <w:szCs w:val="18"/>
              <w:lang w:val="pt-PT"/>
            </w:rPr>
          </w:pPr>
          <w:r w:rsidRPr="009A0182">
            <w:rPr>
              <w:rFonts w:ascii="Arial" w:hAnsi="Arial" w:cs="Arial"/>
              <w:b/>
              <w:bCs/>
              <w:sz w:val="18"/>
              <w:szCs w:val="18"/>
              <w:lang w:val="pt-PT"/>
            </w:rPr>
            <w:t>HOSPITAL REGIONAL DE MONIQUIRA E.S.E</w:t>
          </w:r>
        </w:p>
      </w:tc>
      <w:tc>
        <w:tcPr>
          <w:tcW w:w="1559" w:type="dxa"/>
        </w:tcPr>
        <w:p w14:paraId="4D269665" w14:textId="46E20849" w:rsidR="00BC69C1" w:rsidRPr="009A0182" w:rsidRDefault="00BC69C1" w:rsidP="00BC69C1">
          <w:pPr>
            <w:pStyle w:val="Encabezado"/>
            <w:jc w:val="center"/>
            <w:rPr>
              <w:rFonts w:ascii="Arial" w:hAnsi="Arial" w:cs="Arial"/>
              <w:b/>
              <w:bCs/>
              <w:sz w:val="18"/>
              <w:szCs w:val="18"/>
            </w:rPr>
          </w:pPr>
          <w:r w:rsidRPr="009A0182">
            <w:rPr>
              <w:rFonts w:ascii="Arial" w:hAnsi="Arial" w:cs="Arial"/>
              <w:b/>
              <w:bCs/>
              <w:sz w:val="18"/>
              <w:szCs w:val="18"/>
            </w:rPr>
            <w:t>CÓDIGO:</w:t>
          </w:r>
        </w:p>
      </w:tc>
    </w:tr>
    <w:tr w:rsidR="00BC69C1" w14:paraId="1DD64DCA" w14:textId="77777777" w:rsidTr="009A0182">
      <w:trPr>
        <w:trHeight w:val="595"/>
      </w:trPr>
      <w:tc>
        <w:tcPr>
          <w:tcW w:w="2196" w:type="dxa"/>
          <w:vMerge/>
        </w:tcPr>
        <w:p w14:paraId="18E8209C" w14:textId="77777777" w:rsidR="00BC69C1" w:rsidRPr="009A0182" w:rsidRDefault="00BC69C1" w:rsidP="00BC69C1">
          <w:pPr>
            <w:pStyle w:val="Encabezado"/>
            <w:rPr>
              <w:rFonts w:ascii="Arial" w:hAnsi="Arial" w:cs="Arial"/>
              <w:sz w:val="18"/>
              <w:szCs w:val="18"/>
            </w:rPr>
          </w:pPr>
        </w:p>
      </w:tc>
      <w:tc>
        <w:tcPr>
          <w:tcW w:w="6451" w:type="dxa"/>
        </w:tcPr>
        <w:p w14:paraId="1C37CED3" w14:textId="2AD1B2C4" w:rsidR="00BC69C1" w:rsidRPr="009A0182" w:rsidRDefault="006468F9" w:rsidP="009A0182">
          <w:pPr>
            <w:pStyle w:val="Encabezado"/>
            <w:jc w:val="center"/>
            <w:rPr>
              <w:rFonts w:ascii="Arial" w:hAnsi="Arial" w:cs="Arial"/>
              <w:b/>
              <w:bCs/>
              <w:sz w:val="18"/>
              <w:szCs w:val="18"/>
            </w:rPr>
          </w:pPr>
          <w:r w:rsidRPr="009A0182">
            <w:rPr>
              <w:rFonts w:ascii="Arial" w:hAnsi="Arial" w:cs="Arial"/>
              <w:b/>
              <w:bCs/>
              <w:sz w:val="18"/>
              <w:szCs w:val="18"/>
            </w:rPr>
            <w:t>PROTOCOLO CLÍNICO SOSPECHA, DIAGNÓSTICO Y TRATAMIENTO DE GLAUCOMA</w:t>
          </w:r>
        </w:p>
      </w:tc>
      <w:tc>
        <w:tcPr>
          <w:tcW w:w="1559" w:type="dxa"/>
        </w:tcPr>
        <w:p w14:paraId="24063970" w14:textId="5D475153" w:rsidR="00BC69C1" w:rsidRPr="009A0182" w:rsidRDefault="00BC69C1" w:rsidP="00BC69C1">
          <w:pPr>
            <w:pStyle w:val="Encabezado"/>
            <w:jc w:val="center"/>
            <w:rPr>
              <w:rFonts w:ascii="Arial" w:hAnsi="Arial" w:cs="Arial"/>
              <w:sz w:val="18"/>
              <w:szCs w:val="18"/>
            </w:rPr>
          </w:pPr>
          <w:r w:rsidRPr="009A0182">
            <w:rPr>
              <w:rFonts w:ascii="Arial" w:hAnsi="Arial" w:cs="Arial"/>
              <w:sz w:val="18"/>
              <w:szCs w:val="18"/>
            </w:rPr>
            <w:t>XX-X-X-XXX</w:t>
          </w:r>
        </w:p>
      </w:tc>
    </w:tr>
    <w:tr w:rsidR="00BC69C1" w14:paraId="383BB718" w14:textId="77777777" w:rsidTr="009A0182">
      <w:trPr>
        <w:trHeight w:val="304"/>
      </w:trPr>
      <w:tc>
        <w:tcPr>
          <w:tcW w:w="2196" w:type="dxa"/>
          <w:vMerge/>
        </w:tcPr>
        <w:p w14:paraId="4172F887" w14:textId="77777777" w:rsidR="00BC69C1" w:rsidRPr="009A0182" w:rsidRDefault="00BC69C1" w:rsidP="00BC69C1">
          <w:pPr>
            <w:pStyle w:val="Encabezado"/>
            <w:rPr>
              <w:rFonts w:ascii="Arial" w:hAnsi="Arial" w:cs="Arial"/>
              <w:sz w:val="18"/>
              <w:szCs w:val="18"/>
            </w:rPr>
          </w:pPr>
        </w:p>
      </w:tc>
      <w:tc>
        <w:tcPr>
          <w:tcW w:w="6451" w:type="dxa"/>
        </w:tcPr>
        <w:p w14:paraId="72B52B15" w14:textId="397420E9" w:rsidR="00BC69C1" w:rsidRPr="009A0182" w:rsidRDefault="00BC69C1" w:rsidP="009A0182">
          <w:pPr>
            <w:pStyle w:val="Encabezado"/>
            <w:jc w:val="center"/>
            <w:rPr>
              <w:rFonts w:ascii="Arial" w:hAnsi="Arial" w:cs="Arial"/>
              <w:sz w:val="18"/>
              <w:szCs w:val="18"/>
            </w:rPr>
          </w:pPr>
          <w:r w:rsidRPr="009A0182">
            <w:rPr>
              <w:rFonts w:ascii="Arial" w:hAnsi="Arial" w:cs="Arial"/>
              <w:b/>
              <w:bCs/>
              <w:sz w:val="18"/>
              <w:szCs w:val="18"/>
            </w:rPr>
            <w:t xml:space="preserve">PROCESO: </w:t>
          </w:r>
          <w:r w:rsidR="00AC787E" w:rsidRPr="009A0182">
            <w:rPr>
              <w:rFonts w:ascii="Arial" w:hAnsi="Arial" w:cs="Arial"/>
              <w:b/>
              <w:bCs/>
              <w:sz w:val="18"/>
              <w:szCs w:val="18"/>
            </w:rPr>
            <w:t>GESTIÓN DEL CONOCIMIENTO E INNOVACIÓN</w:t>
          </w:r>
        </w:p>
      </w:tc>
      <w:tc>
        <w:tcPr>
          <w:tcW w:w="1559" w:type="dxa"/>
        </w:tcPr>
        <w:p w14:paraId="2B42AEE1" w14:textId="2832FB5E" w:rsidR="00BC69C1" w:rsidRPr="009A0182" w:rsidRDefault="00BC69C1" w:rsidP="00BC69C1">
          <w:pPr>
            <w:pStyle w:val="Encabezado"/>
            <w:jc w:val="center"/>
            <w:rPr>
              <w:rFonts w:ascii="Arial" w:hAnsi="Arial" w:cs="Arial"/>
              <w:sz w:val="18"/>
              <w:szCs w:val="18"/>
            </w:rPr>
          </w:pPr>
          <w:r w:rsidRPr="009A0182">
            <w:rPr>
              <w:rFonts w:ascii="Arial" w:hAnsi="Arial" w:cs="Arial"/>
              <w:b/>
              <w:bCs/>
              <w:sz w:val="18"/>
              <w:szCs w:val="18"/>
            </w:rPr>
            <w:t>VERSIÓN:</w:t>
          </w:r>
        </w:p>
      </w:tc>
    </w:tr>
    <w:tr w:rsidR="00BC69C1" w14:paraId="00B5B55A" w14:textId="77777777" w:rsidTr="009A0182">
      <w:trPr>
        <w:trHeight w:val="266"/>
      </w:trPr>
      <w:tc>
        <w:tcPr>
          <w:tcW w:w="2196" w:type="dxa"/>
          <w:vMerge/>
        </w:tcPr>
        <w:p w14:paraId="65EBE6E3" w14:textId="77777777" w:rsidR="00BC69C1" w:rsidRPr="009A0182" w:rsidRDefault="00BC69C1" w:rsidP="00BC69C1">
          <w:pPr>
            <w:pStyle w:val="Encabezado"/>
            <w:rPr>
              <w:rFonts w:ascii="Arial" w:hAnsi="Arial" w:cs="Arial"/>
              <w:sz w:val="18"/>
              <w:szCs w:val="18"/>
            </w:rPr>
          </w:pPr>
        </w:p>
      </w:tc>
      <w:tc>
        <w:tcPr>
          <w:tcW w:w="6451" w:type="dxa"/>
        </w:tcPr>
        <w:p w14:paraId="26058422" w14:textId="47012A7B" w:rsidR="00AC787E" w:rsidRPr="009A0182" w:rsidRDefault="00BC69C1" w:rsidP="009A0182">
          <w:pPr>
            <w:pStyle w:val="Encabezado"/>
            <w:jc w:val="center"/>
            <w:rPr>
              <w:rFonts w:ascii="Arial" w:hAnsi="Arial" w:cs="Arial"/>
              <w:sz w:val="18"/>
              <w:szCs w:val="18"/>
            </w:rPr>
          </w:pPr>
          <w:r w:rsidRPr="009A0182">
            <w:rPr>
              <w:rFonts w:ascii="Arial" w:hAnsi="Arial" w:cs="Arial"/>
              <w:b/>
              <w:bCs/>
              <w:sz w:val="18"/>
              <w:szCs w:val="18"/>
            </w:rPr>
            <w:t xml:space="preserve">SUBPROCESO: </w:t>
          </w:r>
          <w:r w:rsidR="00AC787E" w:rsidRPr="009A0182">
            <w:rPr>
              <w:rFonts w:ascii="Arial" w:hAnsi="Arial" w:cs="Arial"/>
              <w:b/>
              <w:bCs/>
              <w:sz w:val="18"/>
              <w:szCs w:val="18"/>
            </w:rPr>
            <w:t>GUÍAS DE PRÁCTICA CLÍNICA Y PROTOCOLOS</w:t>
          </w:r>
        </w:p>
      </w:tc>
      <w:tc>
        <w:tcPr>
          <w:tcW w:w="1559" w:type="dxa"/>
        </w:tcPr>
        <w:p w14:paraId="3CAAD4E2" w14:textId="77777777" w:rsidR="00BC69C1" w:rsidRPr="009A0182" w:rsidRDefault="00BC69C1" w:rsidP="00BC69C1">
          <w:pPr>
            <w:pStyle w:val="Encabezado"/>
            <w:jc w:val="center"/>
            <w:rPr>
              <w:rFonts w:ascii="Arial" w:hAnsi="Arial" w:cs="Arial"/>
              <w:sz w:val="18"/>
              <w:szCs w:val="18"/>
            </w:rPr>
          </w:pPr>
        </w:p>
      </w:tc>
    </w:tr>
  </w:tbl>
  <w:p w14:paraId="0C9D9C7F" w14:textId="77777777" w:rsidR="002B7E41" w:rsidRDefault="002B7E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D7AEA58"/>
    <w:lvl w:ilvl="0">
      <w:start w:val="1"/>
      <w:numFmt w:val="decimal"/>
      <w:pStyle w:val="Listaconnmeros"/>
      <w:lvlText w:val="%1."/>
      <w:lvlJc w:val="left"/>
      <w:pPr>
        <w:tabs>
          <w:tab w:val="num" w:pos="360"/>
        </w:tabs>
        <w:ind w:left="360" w:hanging="360"/>
      </w:pPr>
      <w:rPr>
        <w:rFonts w:asciiTheme="minorHAnsi" w:eastAsiaTheme="minorEastAsia" w:hAnsiTheme="minorHAnsi" w:cstheme="minorHAnsi"/>
      </w:rPr>
    </w:lvl>
  </w:abstractNum>
  <w:abstractNum w:abstractNumId="1" w15:restartNumberingAfterBreak="0">
    <w:nsid w:val="06CB5D15"/>
    <w:multiLevelType w:val="hybridMultilevel"/>
    <w:tmpl w:val="F8EC0BE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C5142E4"/>
    <w:multiLevelType w:val="hybridMultilevel"/>
    <w:tmpl w:val="C26AD31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6C08DE"/>
    <w:multiLevelType w:val="hybridMultilevel"/>
    <w:tmpl w:val="E266246A"/>
    <w:lvl w:ilvl="0" w:tplc="FAB0F484">
      <w:start w:val="1"/>
      <w:numFmt w:val="decimal"/>
      <w:lvlText w:val="%1."/>
      <w:lvlJc w:val="left"/>
      <w:pPr>
        <w:ind w:left="720" w:hanging="360"/>
      </w:pPr>
      <w:rPr>
        <w:rFonts w:hint="default"/>
        <w:b/>
        <w:bCs/>
        <w:color w:val="auto"/>
      </w:rPr>
    </w:lvl>
    <w:lvl w:ilvl="1" w:tplc="4E5EDACC">
      <w:numFmt w:val="bullet"/>
      <w:lvlText w:val="•"/>
      <w:lvlJc w:val="left"/>
      <w:pPr>
        <w:ind w:left="1800" w:hanging="720"/>
      </w:pPr>
      <w:rPr>
        <w:rFonts w:ascii="Calibri" w:eastAsiaTheme="minorHAnsi" w:hAnsi="Calibri" w:cstheme="minorBid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592052"/>
    <w:multiLevelType w:val="hybridMultilevel"/>
    <w:tmpl w:val="387669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0E3E65"/>
    <w:multiLevelType w:val="hybridMultilevel"/>
    <w:tmpl w:val="DE54C74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693F21"/>
    <w:multiLevelType w:val="hybridMultilevel"/>
    <w:tmpl w:val="4858DCB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C594293"/>
    <w:multiLevelType w:val="multilevel"/>
    <w:tmpl w:val="87B231F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A62A0"/>
    <w:multiLevelType w:val="hybridMultilevel"/>
    <w:tmpl w:val="808273E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A166E9"/>
    <w:multiLevelType w:val="hybridMultilevel"/>
    <w:tmpl w:val="9300009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785959"/>
    <w:multiLevelType w:val="multilevel"/>
    <w:tmpl w:val="D75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8580A"/>
    <w:multiLevelType w:val="hybridMultilevel"/>
    <w:tmpl w:val="72ACBB0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F46FB"/>
    <w:multiLevelType w:val="multilevel"/>
    <w:tmpl w:val="8480AD9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bCs/>
        <w:u w:val="single"/>
      </w:rPr>
    </w:lvl>
    <w:lvl w:ilvl="2">
      <w:start w:val="1"/>
      <w:numFmt w:val="upperRoman"/>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F14E15"/>
    <w:multiLevelType w:val="hybridMultilevel"/>
    <w:tmpl w:val="A120D2D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AA027EB"/>
    <w:multiLevelType w:val="hybridMultilevel"/>
    <w:tmpl w:val="28E4FAC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86D0803"/>
    <w:multiLevelType w:val="multilevel"/>
    <w:tmpl w:val="02E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71C2D"/>
    <w:multiLevelType w:val="hybridMultilevel"/>
    <w:tmpl w:val="5204B5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6BE16F14"/>
    <w:multiLevelType w:val="hybridMultilevel"/>
    <w:tmpl w:val="9E7C703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4261C31"/>
    <w:multiLevelType w:val="hybridMultilevel"/>
    <w:tmpl w:val="927039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59F30E1"/>
    <w:multiLevelType w:val="hybridMultilevel"/>
    <w:tmpl w:val="C9FC7EC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8CF7CC1"/>
    <w:multiLevelType w:val="multilevel"/>
    <w:tmpl w:val="D6587C7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3"/>
  </w:num>
  <w:num w:numId="4">
    <w:abstractNumId w:val="21"/>
  </w:num>
  <w:num w:numId="5">
    <w:abstractNumId w:val="4"/>
  </w:num>
  <w:num w:numId="6">
    <w:abstractNumId w:val="9"/>
  </w:num>
  <w:num w:numId="7">
    <w:abstractNumId w:val="12"/>
  </w:num>
  <w:num w:numId="8">
    <w:abstractNumId w:val="16"/>
  </w:num>
  <w:num w:numId="9">
    <w:abstractNumId w:val="10"/>
  </w:num>
  <w:num w:numId="10">
    <w:abstractNumId w:val="15"/>
  </w:num>
  <w:num w:numId="11">
    <w:abstractNumId w:val="19"/>
  </w:num>
  <w:num w:numId="12">
    <w:abstractNumId w:val="20"/>
  </w:num>
  <w:num w:numId="13">
    <w:abstractNumId w:val="8"/>
  </w:num>
  <w:num w:numId="14">
    <w:abstractNumId w:val="1"/>
  </w:num>
  <w:num w:numId="15">
    <w:abstractNumId w:val="17"/>
  </w:num>
  <w:num w:numId="16">
    <w:abstractNumId w:val="6"/>
  </w:num>
  <w:num w:numId="17">
    <w:abstractNumId w:val="7"/>
  </w:num>
  <w:num w:numId="18">
    <w:abstractNumId w:val="13"/>
  </w:num>
  <w:num w:numId="19">
    <w:abstractNumId w:val="5"/>
  </w:num>
  <w:num w:numId="20">
    <w:abstractNumId w:val="2"/>
  </w:num>
  <w:num w:numId="21">
    <w:abstractNumId w:val="18"/>
  </w:num>
  <w:num w:numId="2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56E"/>
    <w:rsid w:val="00000BCC"/>
    <w:rsid w:val="000068D5"/>
    <w:rsid w:val="00006A65"/>
    <w:rsid w:val="00011DDF"/>
    <w:rsid w:val="00021CEF"/>
    <w:rsid w:val="00050962"/>
    <w:rsid w:val="000825C9"/>
    <w:rsid w:val="000925BC"/>
    <w:rsid w:val="000925E8"/>
    <w:rsid w:val="00092653"/>
    <w:rsid w:val="000B23CA"/>
    <w:rsid w:val="000B2BC9"/>
    <w:rsid w:val="000B2F3B"/>
    <w:rsid w:val="000C5344"/>
    <w:rsid w:val="000D3956"/>
    <w:rsid w:val="000F2D9C"/>
    <w:rsid w:val="00105E2C"/>
    <w:rsid w:val="001232F4"/>
    <w:rsid w:val="001336C8"/>
    <w:rsid w:val="001373F0"/>
    <w:rsid w:val="0014020E"/>
    <w:rsid w:val="00140A38"/>
    <w:rsid w:val="00157374"/>
    <w:rsid w:val="00165240"/>
    <w:rsid w:val="00171BDF"/>
    <w:rsid w:val="00181CCC"/>
    <w:rsid w:val="00190550"/>
    <w:rsid w:val="001A3AE6"/>
    <w:rsid w:val="001B0590"/>
    <w:rsid w:val="001B27AB"/>
    <w:rsid w:val="001C3132"/>
    <w:rsid w:val="001C5AAB"/>
    <w:rsid w:val="001E42C8"/>
    <w:rsid w:val="001E4788"/>
    <w:rsid w:val="001F326A"/>
    <w:rsid w:val="001F7688"/>
    <w:rsid w:val="00201DA6"/>
    <w:rsid w:val="002072D6"/>
    <w:rsid w:val="00207CFE"/>
    <w:rsid w:val="002101B9"/>
    <w:rsid w:val="00211C36"/>
    <w:rsid w:val="002155C7"/>
    <w:rsid w:val="00242261"/>
    <w:rsid w:val="00287FB3"/>
    <w:rsid w:val="00293EEE"/>
    <w:rsid w:val="002B7E41"/>
    <w:rsid w:val="002E0246"/>
    <w:rsid w:val="002E4FBF"/>
    <w:rsid w:val="002F78AF"/>
    <w:rsid w:val="00314B44"/>
    <w:rsid w:val="00315AB7"/>
    <w:rsid w:val="003364C6"/>
    <w:rsid w:val="003425F2"/>
    <w:rsid w:val="00344C29"/>
    <w:rsid w:val="00347977"/>
    <w:rsid w:val="00352F2C"/>
    <w:rsid w:val="0035565B"/>
    <w:rsid w:val="0036745B"/>
    <w:rsid w:val="003725C6"/>
    <w:rsid w:val="00390AC6"/>
    <w:rsid w:val="003A64BC"/>
    <w:rsid w:val="003B2257"/>
    <w:rsid w:val="003B3EFF"/>
    <w:rsid w:val="003D4084"/>
    <w:rsid w:val="003E1775"/>
    <w:rsid w:val="003E2754"/>
    <w:rsid w:val="003E6F72"/>
    <w:rsid w:val="003F7863"/>
    <w:rsid w:val="00424F2C"/>
    <w:rsid w:val="00433535"/>
    <w:rsid w:val="00435C3C"/>
    <w:rsid w:val="00444B19"/>
    <w:rsid w:val="004656EF"/>
    <w:rsid w:val="0046684D"/>
    <w:rsid w:val="00471404"/>
    <w:rsid w:val="0047210F"/>
    <w:rsid w:val="00476E04"/>
    <w:rsid w:val="00477385"/>
    <w:rsid w:val="004779AD"/>
    <w:rsid w:val="004958A6"/>
    <w:rsid w:val="004B1FAE"/>
    <w:rsid w:val="004B64C4"/>
    <w:rsid w:val="004B7806"/>
    <w:rsid w:val="004C2B36"/>
    <w:rsid w:val="004C30FB"/>
    <w:rsid w:val="004C69F6"/>
    <w:rsid w:val="004F1571"/>
    <w:rsid w:val="004F1681"/>
    <w:rsid w:val="004F611F"/>
    <w:rsid w:val="0050133D"/>
    <w:rsid w:val="00502281"/>
    <w:rsid w:val="005075E1"/>
    <w:rsid w:val="00533DE1"/>
    <w:rsid w:val="00540235"/>
    <w:rsid w:val="0059629E"/>
    <w:rsid w:val="005B1AB8"/>
    <w:rsid w:val="005C426F"/>
    <w:rsid w:val="005D00D6"/>
    <w:rsid w:val="005E0C20"/>
    <w:rsid w:val="005E2221"/>
    <w:rsid w:val="005E5533"/>
    <w:rsid w:val="006113E8"/>
    <w:rsid w:val="00616A98"/>
    <w:rsid w:val="00617558"/>
    <w:rsid w:val="006400A3"/>
    <w:rsid w:val="006465F4"/>
    <w:rsid w:val="006468F9"/>
    <w:rsid w:val="00653997"/>
    <w:rsid w:val="00655986"/>
    <w:rsid w:val="00655C13"/>
    <w:rsid w:val="0066512E"/>
    <w:rsid w:val="006747A4"/>
    <w:rsid w:val="00681484"/>
    <w:rsid w:val="00682DBE"/>
    <w:rsid w:val="00685B98"/>
    <w:rsid w:val="006A5302"/>
    <w:rsid w:val="006C30FC"/>
    <w:rsid w:val="006C38A5"/>
    <w:rsid w:val="006C69B5"/>
    <w:rsid w:val="006D4A83"/>
    <w:rsid w:val="006D6771"/>
    <w:rsid w:val="006E7B7C"/>
    <w:rsid w:val="006F3615"/>
    <w:rsid w:val="00702002"/>
    <w:rsid w:val="00711ABB"/>
    <w:rsid w:val="00714617"/>
    <w:rsid w:val="00743372"/>
    <w:rsid w:val="00771D13"/>
    <w:rsid w:val="00772BB9"/>
    <w:rsid w:val="007734A3"/>
    <w:rsid w:val="0078192C"/>
    <w:rsid w:val="007830F2"/>
    <w:rsid w:val="00796546"/>
    <w:rsid w:val="007B43CF"/>
    <w:rsid w:val="007D3CB5"/>
    <w:rsid w:val="007D41ED"/>
    <w:rsid w:val="007F097F"/>
    <w:rsid w:val="007F1512"/>
    <w:rsid w:val="008311C5"/>
    <w:rsid w:val="00852BE2"/>
    <w:rsid w:val="00853575"/>
    <w:rsid w:val="00860D36"/>
    <w:rsid w:val="00863800"/>
    <w:rsid w:val="008666FA"/>
    <w:rsid w:val="008706D1"/>
    <w:rsid w:val="00897C98"/>
    <w:rsid w:val="008A48FD"/>
    <w:rsid w:val="008A6881"/>
    <w:rsid w:val="008B42AE"/>
    <w:rsid w:val="008C3448"/>
    <w:rsid w:val="008F166F"/>
    <w:rsid w:val="008F298E"/>
    <w:rsid w:val="008F7D5B"/>
    <w:rsid w:val="00900F22"/>
    <w:rsid w:val="00901D72"/>
    <w:rsid w:val="00910B5B"/>
    <w:rsid w:val="00921ED7"/>
    <w:rsid w:val="0092581B"/>
    <w:rsid w:val="0093426C"/>
    <w:rsid w:val="0094425D"/>
    <w:rsid w:val="00963537"/>
    <w:rsid w:val="009939A6"/>
    <w:rsid w:val="00996985"/>
    <w:rsid w:val="009A0182"/>
    <w:rsid w:val="009A0B5B"/>
    <w:rsid w:val="009B2A71"/>
    <w:rsid w:val="009C2181"/>
    <w:rsid w:val="009C26B7"/>
    <w:rsid w:val="009E3394"/>
    <w:rsid w:val="009F3441"/>
    <w:rsid w:val="009F3EC1"/>
    <w:rsid w:val="00A019A7"/>
    <w:rsid w:val="00A02FBF"/>
    <w:rsid w:val="00A03A55"/>
    <w:rsid w:val="00A052F2"/>
    <w:rsid w:val="00A10AF4"/>
    <w:rsid w:val="00A205A8"/>
    <w:rsid w:val="00A2068A"/>
    <w:rsid w:val="00A251CC"/>
    <w:rsid w:val="00A454B3"/>
    <w:rsid w:val="00A464CC"/>
    <w:rsid w:val="00A55AF4"/>
    <w:rsid w:val="00A60925"/>
    <w:rsid w:val="00A616B4"/>
    <w:rsid w:val="00A6314D"/>
    <w:rsid w:val="00A65146"/>
    <w:rsid w:val="00A75FB6"/>
    <w:rsid w:val="00A77C57"/>
    <w:rsid w:val="00A85847"/>
    <w:rsid w:val="00A90B2E"/>
    <w:rsid w:val="00AA0A1B"/>
    <w:rsid w:val="00AA4CC9"/>
    <w:rsid w:val="00AB0C25"/>
    <w:rsid w:val="00AC482F"/>
    <w:rsid w:val="00AC787E"/>
    <w:rsid w:val="00AD1EFA"/>
    <w:rsid w:val="00AD26CD"/>
    <w:rsid w:val="00AD50CC"/>
    <w:rsid w:val="00B04EB2"/>
    <w:rsid w:val="00B141B5"/>
    <w:rsid w:val="00B26E9E"/>
    <w:rsid w:val="00B442CB"/>
    <w:rsid w:val="00B47C09"/>
    <w:rsid w:val="00B623AB"/>
    <w:rsid w:val="00B63486"/>
    <w:rsid w:val="00B6387C"/>
    <w:rsid w:val="00B64640"/>
    <w:rsid w:val="00B7083F"/>
    <w:rsid w:val="00B90AF5"/>
    <w:rsid w:val="00B93BDE"/>
    <w:rsid w:val="00BA0698"/>
    <w:rsid w:val="00BA50FB"/>
    <w:rsid w:val="00BC69C1"/>
    <w:rsid w:val="00BD3CA9"/>
    <w:rsid w:val="00BD6F29"/>
    <w:rsid w:val="00BE56CD"/>
    <w:rsid w:val="00BE61EC"/>
    <w:rsid w:val="00BE7374"/>
    <w:rsid w:val="00BF57D6"/>
    <w:rsid w:val="00BF5DD6"/>
    <w:rsid w:val="00C101DA"/>
    <w:rsid w:val="00C12D83"/>
    <w:rsid w:val="00C25004"/>
    <w:rsid w:val="00C2776F"/>
    <w:rsid w:val="00C616CE"/>
    <w:rsid w:val="00C64CF2"/>
    <w:rsid w:val="00C72247"/>
    <w:rsid w:val="00C8153F"/>
    <w:rsid w:val="00CA0E28"/>
    <w:rsid w:val="00CE08FF"/>
    <w:rsid w:val="00CE2CB4"/>
    <w:rsid w:val="00CE7BA4"/>
    <w:rsid w:val="00CF01AE"/>
    <w:rsid w:val="00D00D5A"/>
    <w:rsid w:val="00D024D5"/>
    <w:rsid w:val="00D04AA4"/>
    <w:rsid w:val="00D05897"/>
    <w:rsid w:val="00D06035"/>
    <w:rsid w:val="00D17851"/>
    <w:rsid w:val="00D20199"/>
    <w:rsid w:val="00D25834"/>
    <w:rsid w:val="00D26703"/>
    <w:rsid w:val="00D3372F"/>
    <w:rsid w:val="00D36AD4"/>
    <w:rsid w:val="00D518F6"/>
    <w:rsid w:val="00D70389"/>
    <w:rsid w:val="00D7157F"/>
    <w:rsid w:val="00D80005"/>
    <w:rsid w:val="00D85761"/>
    <w:rsid w:val="00D9647A"/>
    <w:rsid w:val="00DB46E3"/>
    <w:rsid w:val="00DC1B45"/>
    <w:rsid w:val="00DF4B91"/>
    <w:rsid w:val="00DF62E5"/>
    <w:rsid w:val="00E1132A"/>
    <w:rsid w:val="00E12713"/>
    <w:rsid w:val="00E22FDA"/>
    <w:rsid w:val="00E3272A"/>
    <w:rsid w:val="00E338A7"/>
    <w:rsid w:val="00E37580"/>
    <w:rsid w:val="00E42993"/>
    <w:rsid w:val="00E51B0B"/>
    <w:rsid w:val="00E52120"/>
    <w:rsid w:val="00E52CB2"/>
    <w:rsid w:val="00E54899"/>
    <w:rsid w:val="00E55FC2"/>
    <w:rsid w:val="00E61D0B"/>
    <w:rsid w:val="00EA08C7"/>
    <w:rsid w:val="00EA2749"/>
    <w:rsid w:val="00EB1112"/>
    <w:rsid w:val="00EB1A97"/>
    <w:rsid w:val="00EB46AF"/>
    <w:rsid w:val="00EB5490"/>
    <w:rsid w:val="00EC094E"/>
    <w:rsid w:val="00EC23C6"/>
    <w:rsid w:val="00EC3F86"/>
    <w:rsid w:val="00ED5F4B"/>
    <w:rsid w:val="00EF1F77"/>
    <w:rsid w:val="00F01F82"/>
    <w:rsid w:val="00F31B88"/>
    <w:rsid w:val="00F43480"/>
    <w:rsid w:val="00F51A8E"/>
    <w:rsid w:val="00FC2B3A"/>
    <w:rsid w:val="00FC4439"/>
    <w:rsid w:val="00FD757D"/>
    <w:rsid w:val="00FE4CB6"/>
    <w:rsid w:val="00FF2BE9"/>
    <w:rsid w:val="00FF5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3F0"/>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4C2B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3725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1"/>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character" w:styleId="Refdecomentario">
    <w:name w:val="annotation reference"/>
    <w:basedOn w:val="Fuentedeprrafopredeter"/>
    <w:uiPriority w:val="99"/>
    <w:semiHidden/>
    <w:unhideWhenUsed/>
    <w:rsid w:val="00BA50FB"/>
    <w:rPr>
      <w:sz w:val="16"/>
      <w:szCs w:val="16"/>
    </w:rPr>
  </w:style>
  <w:style w:type="paragraph" w:styleId="Textocomentario">
    <w:name w:val="annotation text"/>
    <w:basedOn w:val="Normal"/>
    <w:link w:val="TextocomentarioCar"/>
    <w:uiPriority w:val="99"/>
    <w:semiHidden/>
    <w:unhideWhenUsed/>
    <w:rsid w:val="00BA50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A50FB"/>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BA50FB"/>
    <w:rPr>
      <w:b/>
      <w:bCs/>
    </w:rPr>
  </w:style>
  <w:style w:type="character" w:customStyle="1" w:styleId="AsuntodelcomentarioCar">
    <w:name w:val="Asunto del comentario Car"/>
    <w:basedOn w:val="TextocomentarioCar"/>
    <w:link w:val="Asuntodelcomentario"/>
    <w:uiPriority w:val="99"/>
    <w:semiHidden/>
    <w:rsid w:val="00BA50FB"/>
    <w:rPr>
      <w:b/>
      <w:bCs/>
      <w:sz w:val="20"/>
      <w:szCs w:val="20"/>
      <w:lang w:val="es-419"/>
    </w:rPr>
  </w:style>
  <w:style w:type="paragraph" w:styleId="Textodeglobo">
    <w:name w:val="Balloon Text"/>
    <w:basedOn w:val="Normal"/>
    <w:link w:val="TextodegloboCar"/>
    <w:uiPriority w:val="99"/>
    <w:semiHidden/>
    <w:unhideWhenUsed/>
    <w:rsid w:val="00BA50F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50FB"/>
    <w:rPr>
      <w:rFonts w:ascii="Segoe UI" w:hAnsi="Segoe UI" w:cs="Segoe UI"/>
      <w:sz w:val="18"/>
      <w:szCs w:val="18"/>
      <w:lang w:val="es-419"/>
    </w:rPr>
  </w:style>
  <w:style w:type="character" w:customStyle="1" w:styleId="Mencinsinresolver1">
    <w:name w:val="Mención sin resolver1"/>
    <w:basedOn w:val="Fuentedeprrafopredeter"/>
    <w:uiPriority w:val="99"/>
    <w:semiHidden/>
    <w:unhideWhenUsed/>
    <w:rsid w:val="00D36AD4"/>
    <w:rPr>
      <w:color w:val="605E5C"/>
      <w:shd w:val="clear" w:color="auto" w:fill="E1DFDD"/>
    </w:rPr>
  </w:style>
  <w:style w:type="character" w:customStyle="1" w:styleId="Ttulo3Car">
    <w:name w:val="Título 3 Car"/>
    <w:basedOn w:val="Fuentedeprrafopredeter"/>
    <w:link w:val="Ttulo3"/>
    <w:uiPriority w:val="9"/>
    <w:semiHidden/>
    <w:rsid w:val="004C2B36"/>
    <w:rPr>
      <w:rFonts w:asciiTheme="majorHAnsi" w:eastAsiaTheme="majorEastAsia" w:hAnsiTheme="majorHAnsi" w:cstheme="majorBidi"/>
      <w:color w:val="1F3763" w:themeColor="accent1" w:themeShade="7F"/>
      <w:sz w:val="24"/>
      <w:szCs w:val="24"/>
      <w:lang w:val="es-419"/>
    </w:rPr>
  </w:style>
  <w:style w:type="paragraph" w:styleId="Listaconnmeros">
    <w:name w:val="List Number"/>
    <w:basedOn w:val="Normal"/>
    <w:uiPriority w:val="99"/>
    <w:unhideWhenUsed/>
    <w:rsid w:val="001E4788"/>
    <w:pPr>
      <w:numPr>
        <w:numId w:val="2"/>
      </w:numPr>
      <w:tabs>
        <w:tab w:val="clear" w:pos="360"/>
      </w:tabs>
      <w:spacing w:after="200" w:line="276" w:lineRule="auto"/>
      <w:ind w:left="0" w:firstLine="0"/>
      <w:contextualSpacing/>
      <w:jc w:val="left"/>
    </w:pPr>
    <w:rPr>
      <w:rFonts w:eastAsiaTheme="minorEastAsia"/>
      <w:lang w:val="en-US"/>
    </w:rPr>
  </w:style>
  <w:style w:type="paragraph" w:styleId="NormalWeb">
    <w:name w:val="Normal (Web)"/>
    <w:basedOn w:val="Normal"/>
    <w:uiPriority w:val="99"/>
    <w:semiHidden/>
    <w:unhideWhenUsed/>
    <w:rsid w:val="00AC787E"/>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customStyle="1" w:styleId="whitespace-normal">
    <w:name w:val="whitespace-normal"/>
    <w:basedOn w:val="Fuentedeprrafopredeter"/>
    <w:rsid w:val="00AC787E"/>
  </w:style>
  <w:style w:type="character" w:styleId="Textoennegrita">
    <w:name w:val="Strong"/>
    <w:basedOn w:val="Fuentedeprrafopredeter"/>
    <w:uiPriority w:val="22"/>
    <w:qFormat/>
    <w:rsid w:val="00A464CC"/>
    <w:rPr>
      <w:b/>
      <w:bCs/>
    </w:rPr>
  </w:style>
  <w:style w:type="paragraph" w:styleId="Sinespaciado">
    <w:name w:val="No Spacing"/>
    <w:uiPriority w:val="1"/>
    <w:qFormat/>
    <w:rsid w:val="00A464CC"/>
    <w:pPr>
      <w:spacing w:after="0" w:line="240" w:lineRule="auto"/>
      <w:jc w:val="both"/>
    </w:pPr>
    <w:rPr>
      <w:lang w:val="es-419"/>
    </w:rPr>
  </w:style>
  <w:style w:type="character" w:customStyle="1" w:styleId="ng-star-inserted">
    <w:name w:val="ng-star-inserted"/>
    <w:basedOn w:val="Fuentedeprrafopredeter"/>
    <w:rsid w:val="00C12D83"/>
  </w:style>
  <w:style w:type="paragraph" w:customStyle="1" w:styleId="paragraph">
    <w:name w:val="paragraph"/>
    <w:basedOn w:val="Normal"/>
    <w:rsid w:val="00C12D83"/>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customStyle="1" w:styleId="Ttulo4Car">
    <w:name w:val="Título 4 Car"/>
    <w:basedOn w:val="Fuentedeprrafopredeter"/>
    <w:link w:val="Ttulo4"/>
    <w:uiPriority w:val="9"/>
    <w:semiHidden/>
    <w:rsid w:val="003725C6"/>
    <w:rPr>
      <w:rFonts w:asciiTheme="majorHAnsi" w:eastAsiaTheme="majorEastAsia" w:hAnsiTheme="majorHAnsi" w:cstheme="majorBidi"/>
      <w:i/>
      <w:iCs/>
      <w:color w:val="2F5496" w:themeColor="accent1" w:themeShade="BF"/>
      <w:lang w:val="es-419"/>
    </w:rPr>
  </w:style>
  <w:style w:type="character" w:styleId="nfasis">
    <w:name w:val="Emphasis"/>
    <w:basedOn w:val="Fuentedeprrafopredeter"/>
    <w:uiPriority w:val="20"/>
    <w:qFormat/>
    <w:rsid w:val="00860D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4402">
      <w:bodyDiv w:val="1"/>
      <w:marLeft w:val="0"/>
      <w:marRight w:val="0"/>
      <w:marTop w:val="0"/>
      <w:marBottom w:val="0"/>
      <w:divBdr>
        <w:top w:val="none" w:sz="0" w:space="0" w:color="auto"/>
        <w:left w:val="none" w:sz="0" w:space="0" w:color="auto"/>
        <w:bottom w:val="none" w:sz="0" w:space="0" w:color="auto"/>
        <w:right w:val="none" w:sz="0" w:space="0" w:color="auto"/>
      </w:divBdr>
      <w:divsChild>
        <w:div w:id="143134046">
          <w:marLeft w:val="0"/>
          <w:marRight w:val="0"/>
          <w:marTop w:val="0"/>
          <w:marBottom w:val="0"/>
          <w:divBdr>
            <w:top w:val="none" w:sz="0" w:space="0" w:color="auto"/>
            <w:left w:val="none" w:sz="0" w:space="0" w:color="auto"/>
            <w:bottom w:val="none" w:sz="0" w:space="0" w:color="auto"/>
            <w:right w:val="none" w:sz="0" w:space="0" w:color="auto"/>
          </w:divBdr>
        </w:div>
        <w:div w:id="1101032112">
          <w:marLeft w:val="0"/>
          <w:marRight w:val="0"/>
          <w:marTop w:val="0"/>
          <w:marBottom w:val="0"/>
          <w:divBdr>
            <w:top w:val="none" w:sz="0" w:space="0" w:color="auto"/>
            <w:left w:val="none" w:sz="0" w:space="0" w:color="auto"/>
            <w:bottom w:val="none" w:sz="0" w:space="0" w:color="auto"/>
            <w:right w:val="none" w:sz="0" w:space="0" w:color="auto"/>
          </w:divBdr>
        </w:div>
      </w:divsChild>
    </w:div>
    <w:div w:id="610016423">
      <w:bodyDiv w:val="1"/>
      <w:marLeft w:val="0"/>
      <w:marRight w:val="0"/>
      <w:marTop w:val="0"/>
      <w:marBottom w:val="0"/>
      <w:divBdr>
        <w:top w:val="none" w:sz="0" w:space="0" w:color="auto"/>
        <w:left w:val="none" w:sz="0" w:space="0" w:color="auto"/>
        <w:bottom w:val="none" w:sz="0" w:space="0" w:color="auto"/>
        <w:right w:val="none" w:sz="0" w:space="0" w:color="auto"/>
      </w:divBdr>
    </w:div>
    <w:div w:id="741605873">
      <w:bodyDiv w:val="1"/>
      <w:marLeft w:val="0"/>
      <w:marRight w:val="0"/>
      <w:marTop w:val="0"/>
      <w:marBottom w:val="0"/>
      <w:divBdr>
        <w:top w:val="none" w:sz="0" w:space="0" w:color="auto"/>
        <w:left w:val="none" w:sz="0" w:space="0" w:color="auto"/>
        <w:bottom w:val="none" w:sz="0" w:space="0" w:color="auto"/>
        <w:right w:val="none" w:sz="0" w:space="0" w:color="auto"/>
      </w:divBdr>
    </w:div>
    <w:div w:id="795610777">
      <w:bodyDiv w:val="1"/>
      <w:marLeft w:val="0"/>
      <w:marRight w:val="0"/>
      <w:marTop w:val="0"/>
      <w:marBottom w:val="0"/>
      <w:divBdr>
        <w:top w:val="none" w:sz="0" w:space="0" w:color="auto"/>
        <w:left w:val="none" w:sz="0" w:space="0" w:color="auto"/>
        <w:bottom w:val="none" w:sz="0" w:space="0" w:color="auto"/>
        <w:right w:val="none" w:sz="0" w:space="0" w:color="auto"/>
      </w:divBdr>
    </w:div>
    <w:div w:id="915020296">
      <w:bodyDiv w:val="1"/>
      <w:marLeft w:val="0"/>
      <w:marRight w:val="0"/>
      <w:marTop w:val="0"/>
      <w:marBottom w:val="0"/>
      <w:divBdr>
        <w:top w:val="none" w:sz="0" w:space="0" w:color="auto"/>
        <w:left w:val="none" w:sz="0" w:space="0" w:color="auto"/>
        <w:bottom w:val="none" w:sz="0" w:space="0" w:color="auto"/>
        <w:right w:val="none" w:sz="0" w:space="0" w:color="auto"/>
      </w:divBdr>
    </w:div>
    <w:div w:id="978337653">
      <w:bodyDiv w:val="1"/>
      <w:marLeft w:val="0"/>
      <w:marRight w:val="0"/>
      <w:marTop w:val="0"/>
      <w:marBottom w:val="0"/>
      <w:divBdr>
        <w:top w:val="none" w:sz="0" w:space="0" w:color="auto"/>
        <w:left w:val="none" w:sz="0" w:space="0" w:color="auto"/>
        <w:bottom w:val="none" w:sz="0" w:space="0" w:color="auto"/>
        <w:right w:val="none" w:sz="0" w:space="0" w:color="auto"/>
      </w:divBdr>
    </w:div>
    <w:div w:id="1137795379">
      <w:bodyDiv w:val="1"/>
      <w:marLeft w:val="0"/>
      <w:marRight w:val="0"/>
      <w:marTop w:val="0"/>
      <w:marBottom w:val="0"/>
      <w:divBdr>
        <w:top w:val="none" w:sz="0" w:space="0" w:color="auto"/>
        <w:left w:val="none" w:sz="0" w:space="0" w:color="auto"/>
        <w:bottom w:val="none" w:sz="0" w:space="0" w:color="auto"/>
        <w:right w:val="none" w:sz="0" w:space="0" w:color="auto"/>
      </w:divBdr>
    </w:div>
    <w:div w:id="1161386974">
      <w:bodyDiv w:val="1"/>
      <w:marLeft w:val="0"/>
      <w:marRight w:val="0"/>
      <w:marTop w:val="0"/>
      <w:marBottom w:val="0"/>
      <w:divBdr>
        <w:top w:val="none" w:sz="0" w:space="0" w:color="auto"/>
        <w:left w:val="none" w:sz="0" w:space="0" w:color="auto"/>
        <w:bottom w:val="none" w:sz="0" w:space="0" w:color="auto"/>
        <w:right w:val="none" w:sz="0" w:space="0" w:color="auto"/>
      </w:divBdr>
    </w:div>
    <w:div w:id="1930846275">
      <w:bodyDiv w:val="1"/>
      <w:marLeft w:val="0"/>
      <w:marRight w:val="0"/>
      <w:marTop w:val="0"/>
      <w:marBottom w:val="0"/>
      <w:divBdr>
        <w:top w:val="none" w:sz="0" w:space="0" w:color="auto"/>
        <w:left w:val="none" w:sz="0" w:space="0" w:color="auto"/>
        <w:bottom w:val="none" w:sz="0" w:space="0" w:color="auto"/>
        <w:right w:val="none" w:sz="0" w:space="0" w:color="auto"/>
      </w:divBdr>
    </w:div>
    <w:div w:id="2037002858">
      <w:bodyDiv w:val="1"/>
      <w:marLeft w:val="0"/>
      <w:marRight w:val="0"/>
      <w:marTop w:val="0"/>
      <w:marBottom w:val="0"/>
      <w:divBdr>
        <w:top w:val="none" w:sz="0" w:space="0" w:color="auto"/>
        <w:left w:val="none" w:sz="0" w:space="0" w:color="auto"/>
        <w:bottom w:val="none" w:sz="0" w:space="0" w:color="auto"/>
        <w:right w:val="none" w:sz="0" w:space="0" w:color="auto"/>
      </w:divBdr>
      <w:divsChild>
        <w:div w:id="360976468">
          <w:marLeft w:val="0"/>
          <w:marRight w:val="0"/>
          <w:marTop w:val="0"/>
          <w:marBottom w:val="0"/>
          <w:divBdr>
            <w:top w:val="none" w:sz="0" w:space="0" w:color="auto"/>
            <w:left w:val="none" w:sz="0" w:space="0" w:color="auto"/>
            <w:bottom w:val="none" w:sz="0" w:space="0" w:color="auto"/>
            <w:right w:val="none" w:sz="0" w:space="0" w:color="auto"/>
          </w:divBdr>
        </w:div>
        <w:div w:id="9519779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afp.org/pubs/afp/issues/2023/0300/glaucoma.html?utm_source=chatgpt.com" TargetMode="External"/><Relationship Id="rId18" Type="http://schemas.openxmlformats.org/officeDocument/2006/relationships/hyperlink" Target="https://www.aao.org/eyenet/article/diagnosis-treatment-of-normal-tension-glaucoma?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s://www.aao.org/eyenet/article/diagnosis-treatment-of-normal-tension-glaucoma?utm_source=chatgpt.com" TargetMode="External"/><Relationship Id="rId17" Type="http://schemas.openxmlformats.org/officeDocument/2006/relationships/hyperlink" Target="https://www.aafp.org/pubs/afp/issues/2023/0300/glaucoma.html?utm_source=chatgpt.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ao.org/eyenet/article/diagnosis-treatment-of-normal-tension-glaucoma?utm_source=chatgpt.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aafp.org/pubs/afp/issues/2023/0300/glaucoma.html?utm_source=chatgpt.com" TargetMode="External"/><Relationship Id="rId23"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yperlink" Target="https://www.aafp.org/pubs/afp/issues/2023/0300/glaucoma.html?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aao.org/eyenet/article/diagnosis-treatment-of-normal-tension-glaucoma?utm_source=chatgpt.com" TargetMode="External"/><Relationship Id="rId22" Type="http://schemas.openxmlformats.org/officeDocument/2006/relationships/image" Target="media/image6.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8D9AC-3BA4-4C88-9234-FB06BF26B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22</Pages>
  <Words>5234</Words>
  <Characters>28791</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9</cp:revision>
  <cp:lastPrinted>2020-09-21T19:11:00Z</cp:lastPrinted>
  <dcterms:created xsi:type="dcterms:W3CDTF">2026-05-19T15:06:00Z</dcterms:created>
  <dcterms:modified xsi:type="dcterms:W3CDTF">2026-05-20T20:27:00Z</dcterms:modified>
</cp:coreProperties>
</file>