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9EEA" w14:textId="77777777" w:rsidR="00AC72C9" w:rsidRPr="00C429EA" w:rsidRDefault="00DD79E4">
      <w:pPr>
        <w:spacing w:line="240" w:lineRule="auto"/>
        <w:jc w:val="center"/>
        <w:rPr>
          <w:rFonts w:asciiTheme="majorHAnsi" w:hAnsiTheme="majorHAnsi" w:cstheme="majorHAnsi"/>
          <w:b/>
          <w:bCs/>
          <w:color w:val="385623"/>
          <w:sz w:val="40"/>
          <w:szCs w:val="40"/>
        </w:rPr>
      </w:pPr>
      <w:r w:rsidRPr="00C429EA">
        <w:rPr>
          <w:rFonts w:asciiTheme="majorHAnsi" w:hAnsiTheme="majorHAnsi" w:cstheme="majorHAnsi"/>
          <w:b/>
          <w:bCs/>
          <w:color w:val="385623"/>
          <w:sz w:val="40"/>
          <w:szCs w:val="40"/>
        </w:rPr>
        <w:t xml:space="preserve">RECOMENDACIONES TRAZADORAS </w:t>
      </w:r>
    </w:p>
    <w:p w14:paraId="6A4960BB" w14:textId="17D42028" w:rsidR="00AC72C9" w:rsidRPr="00C429EA" w:rsidRDefault="00DD79E4">
      <w:pPr>
        <w:spacing w:line="240" w:lineRule="auto"/>
        <w:jc w:val="center"/>
        <w:rPr>
          <w:rFonts w:asciiTheme="majorHAnsi" w:hAnsiTheme="majorHAnsi" w:cstheme="majorHAnsi"/>
          <w:b/>
          <w:bCs/>
          <w:color w:val="385623"/>
          <w:sz w:val="40"/>
          <w:szCs w:val="40"/>
        </w:rPr>
      </w:pPr>
      <w:r w:rsidRPr="00C429EA">
        <w:rPr>
          <w:rFonts w:asciiTheme="majorHAnsi" w:hAnsiTheme="majorHAnsi" w:cstheme="majorHAnsi"/>
          <w:b/>
          <w:bCs/>
          <w:color w:val="385623"/>
          <w:sz w:val="40"/>
          <w:szCs w:val="40"/>
        </w:rPr>
        <w:t xml:space="preserve">Guía De Práctica Clínica </w:t>
      </w:r>
      <w:r w:rsidR="00C429EA" w:rsidRPr="00C429EA">
        <w:rPr>
          <w:rFonts w:asciiTheme="majorHAnsi" w:hAnsiTheme="majorHAnsi" w:cstheme="majorHAnsi"/>
          <w:b/>
          <w:bCs/>
          <w:color w:val="385623"/>
          <w:sz w:val="40"/>
          <w:szCs w:val="40"/>
        </w:rPr>
        <w:t>Crisis Hipertensiva</w:t>
      </w:r>
    </w:p>
    <w:p w14:paraId="6988CD23" w14:textId="127C3DEC" w:rsidR="00C429EA" w:rsidRPr="00C429EA" w:rsidRDefault="00C429EA" w:rsidP="00C429EA">
      <w:pPr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 xml:space="preserve">Se elaboran recomendaciones basadas en la guía </w:t>
      </w:r>
      <w:r w:rsidRPr="00C429EA">
        <w:rPr>
          <w:rStyle w:val="whitespace-normal"/>
          <w:rFonts w:ascii="Calibri Light" w:hAnsi="Calibri Light" w:cs="Calibri Light"/>
          <w:sz w:val="24"/>
          <w:szCs w:val="24"/>
        </w:rPr>
        <w:t>American Heart Association</w:t>
      </w:r>
      <w:r w:rsidRPr="00C429EA">
        <w:rPr>
          <w:rFonts w:ascii="Calibri Light" w:hAnsi="Calibri Light" w:cs="Calibri Light"/>
          <w:sz w:val="24"/>
          <w:szCs w:val="24"/>
        </w:rPr>
        <w:t>/</w:t>
      </w:r>
      <w:r w:rsidRPr="00C429EA">
        <w:rPr>
          <w:rStyle w:val="whitespace-normal"/>
          <w:rFonts w:ascii="Calibri Light" w:hAnsi="Calibri Light" w:cs="Calibri Light"/>
          <w:sz w:val="24"/>
          <w:szCs w:val="24"/>
        </w:rPr>
        <w:t>American College of Cardiology</w:t>
      </w:r>
      <w:r w:rsidRPr="00C429EA">
        <w:rPr>
          <w:rFonts w:ascii="Calibri Light" w:hAnsi="Calibri Light" w:cs="Calibri Light"/>
          <w:sz w:val="24"/>
          <w:szCs w:val="24"/>
        </w:rPr>
        <w:t xml:space="preserve"> </w:t>
      </w:r>
      <w:r w:rsidRPr="00C429EA">
        <w:rPr>
          <w:rStyle w:val="nfasis"/>
          <w:rFonts w:ascii="Calibri Light" w:hAnsi="Calibri Light" w:cs="Calibri Light"/>
          <w:sz w:val="24"/>
          <w:szCs w:val="24"/>
        </w:rPr>
        <w:t>“2017 ACC/AHA/AAPA/ABC/ACPM/AGS/APhA/ASH/ASPC/NMA/PCNA Guideline for the Prevention, Detection, Evaluation, and Management of High Blood Pressure in Adults”</w:t>
      </w:r>
      <w:r w:rsidRPr="00C429EA">
        <w:rPr>
          <w:rFonts w:ascii="Calibri Light" w:hAnsi="Calibri Light" w:cs="Calibri Light"/>
          <w:sz w:val="24"/>
          <w:szCs w:val="24"/>
        </w:rPr>
        <w:t xml:space="preserve">, específicamente en la </w:t>
      </w:r>
      <w:r w:rsidRPr="00C429EA">
        <w:rPr>
          <w:rStyle w:val="Textoennegrita"/>
          <w:rFonts w:ascii="Calibri Light" w:hAnsi="Calibri Light" w:cs="Calibri Light"/>
          <w:sz w:val="24"/>
          <w:szCs w:val="24"/>
        </w:rPr>
        <w:t>Section 11.2 — “Hypertensive Crises: Emergencies and Urgencies”</w:t>
      </w:r>
      <w:r w:rsidRPr="00C429EA">
        <w:rPr>
          <w:rFonts w:ascii="Calibri Light" w:hAnsi="Calibri Light" w:cs="Calibri Light"/>
          <w:sz w:val="24"/>
          <w:szCs w:val="24"/>
        </w:rPr>
        <w:t xml:space="preserve">, así como en el documento </w:t>
      </w:r>
      <w:r w:rsidRPr="00C429EA">
        <w:rPr>
          <w:rStyle w:val="nfasis"/>
          <w:rFonts w:ascii="Calibri Light" w:hAnsi="Calibri Light" w:cs="Calibri Light"/>
          <w:sz w:val="24"/>
          <w:szCs w:val="24"/>
        </w:rPr>
        <w:t>“The Management of Elevated Blood Pressure in the Acute Care Setting: A Scientific Statement From the American Heart Association”</w:t>
      </w:r>
      <w:r w:rsidRPr="00C429EA">
        <w:rPr>
          <w:rFonts w:ascii="Calibri Light" w:hAnsi="Calibri Light" w:cs="Calibri Light"/>
          <w:sz w:val="24"/>
          <w:szCs w:val="24"/>
        </w:rPr>
        <w:t xml:space="preserve"> publicado en 2024, adaptando sus recomendaciones al contexto institucional para el abordaje integral de la crisis hipertensiva desde los servicios de consulta externa, urgencias y hospitalización.</w:t>
      </w:r>
    </w:p>
    <w:p w14:paraId="155AF838" w14:textId="77777777" w:rsidR="00C429EA" w:rsidRPr="00C429EA" w:rsidRDefault="00C429EA" w:rsidP="00C429EA">
      <w:pPr>
        <w:pStyle w:val="Sinespaciado"/>
        <w:jc w:val="both"/>
        <w:rPr>
          <w:rFonts w:ascii="Calibri Light" w:hAnsi="Calibri Light" w:cs="Calibri Light"/>
          <w:sz w:val="24"/>
          <w:szCs w:val="24"/>
        </w:rPr>
      </w:pPr>
    </w:p>
    <w:p w14:paraId="3AD2C2D3" w14:textId="4B02027E" w:rsidR="00AC72C9" w:rsidRPr="00C429EA" w:rsidRDefault="00DD79E4">
      <w:pPr>
        <w:rPr>
          <w:rFonts w:asciiTheme="majorHAnsi" w:hAnsiTheme="majorHAnsi" w:cstheme="majorHAnsi"/>
          <w:b/>
          <w:bCs/>
          <w:color w:val="C00000"/>
          <w:sz w:val="24"/>
          <w:szCs w:val="24"/>
        </w:rPr>
      </w:pPr>
      <w:r w:rsidRPr="00C429EA">
        <w:rPr>
          <w:rFonts w:asciiTheme="majorHAnsi" w:hAnsiTheme="majorHAnsi" w:cstheme="majorHAnsi"/>
          <w:b/>
          <w:bCs/>
          <w:color w:val="C00000"/>
          <w:sz w:val="24"/>
          <w:szCs w:val="24"/>
        </w:rPr>
        <w:t>DETECCIÓN Y DIAGNÓSTICO INICIAL DE</w:t>
      </w:r>
      <w:r w:rsidR="00C429EA" w:rsidRPr="00C429EA">
        <w:rPr>
          <w:rFonts w:asciiTheme="majorHAnsi" w:hAnsiTheme="majorHAnsi" w:cstheme="majorHAnsi"/>
          <w:b/>
          <w:bCs/>
          <w:color w:val="C00000"/>
          <w:sz w:val="24"/>
          <w:szCs w:val="24"/>
        </w:rPr>
        <w:t xml:space="preserve"> EMERGENCIA HIPERTENSIVA</w:t>
      </w:r>
    </w:p>
    <w:p w14:paraId="4288F916" w14:textId="57E9E87C" w:rsidR="00AC72C9" w:rsidRPr="00C429EA" w:rsidRDefault="00DD79E4">
      <w:pPr>
        <w:spacing w:before="280" w:after="28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Recomendación 1: </w:t>
      </w:r>
      <w:r w:rsidR="00C429EA"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>Identificación de emergencia hipertensiva</w:t>
      </w:r>
    </w:p>
    <w:p w14:paraId="0EDFA531" w14:textId="77777777" w:rsidR="00C429EA" w:rsidRPr="00C429EA" w:rsidRDefault="00C429EA" w:rsidP="00C429EA">
      <w:pPr>
        <w:pStyle w:val="NormalWeb"/>
        <w:jc w:val="both"/>
        <w:rPr>
          <w:rFonts w:ascii="Calibri Light" w:hAnsi="Calibri Light" w:cs="Calibri Light"/>
          <w:b/>
          <w:bCs/>
        </w:rPr>
      </w:pPr>
      <w:bookmarkStart w:id="0" w:name="_heading=h.31i86xgnwn0u" w:colFirst="0" w:colLast="0"/>
      <w:bookmarkEnd w:id="0"/>
      <w:r w:rsidRPr="00C429EA">
        <w:rPr>
          <w:rFonts w:ascii="Calibri Light" w:hAnsi="Calibri Light" w:cs="Calibri Light"/>
          <w:b/>
          <w:bCs/>
        </w:rPr>
        <w:t>Se recomienda realizar y registrar una evaluación inicial orientada a identificar emergencia hipertensiva mediante la detección de cifras severamente elevadas de presión arterial y signos o síntomas de daño agudo a órgano blanco. En ausencia de compromiso agudo de órgano blanco, debe considerarse como una marcada elevación de la presión arterial y orientar su manejo según el contexto clínico.</w:t>
      </w:r>
    </w:p>
    <w:p w14:paraId="78985E2E" w14:textId="4533983A" w:rsidR="00AC72C9" w:rsidRDefault="00DD79E4" w:rsidP="00C429EA">
      <w:pPr>
        <w:pBdr>
          <w:top w:val="nil"/>
          <w:left w:val="nil"/>
          <w:bottom w:val="nil"/>
          <w:right w:val="nil"/>
          <w:between w:val="nil"/>
        </w:pBdr>
        <w:spacing w:before="280" w:after="200" w:line="240" w:lineRule="auto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 xml:space="preserve">Responsable: 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Médico general o Medicina de </w:t>
      </w:r>
      <w:r w:rsidR="00C429EA">
        <w:rPr>
          <w:rFonts w:ascii="Calibri Light" w:hAnsi="Calibri Light" w:cs="Calibri Light"/>
          <w:color w:val="000000"/>
          <w:sz w:val="24"/>
          <w:szCs w:val="24"/>
        </w:rPr>
        <w:t>Urgencias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 o Medicina Interna.</w:t>
      </w:r>
    </w:p>
    <w:p w14:paraId="4FDE9EC2" w14:textId="77777777" w:rsidR="00EA7943" w:rsidRDefault="00C429EA" w:rsidP="00C429EA">
      <w:pPr>
        <w:pBdr>
          <w:top w:val="nil"/>
          <w:left w:val="nil"/>
          <w:bottom w:val="nil"/>
          <w:right w:val="nil"/>
          <w:between w:val="nil"/>
        </w:pBdr>
        <w:spacing w:before="280" w:after="200" w:line="240" w:lineRule="auto"/>
        <w:jc w:val="both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>¿Cómo?</w:t>
      </w:r>
    </w:p>
    <w:p w14:paraId="2C23FD6C" w14:textId="77777777" w:rsidR="00EA7943" w:rsidRPr="00EA7943" w:rsidRDefault="00EA7943" w:rsidP="00EA7943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80" w:after="200" w:line="240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 w:rsidRPr="00EA7943">
        <w:rPr>
          <w:rFonts w:ascii="Calibri Light" w:hAnsi="Calibri Light" w:cs="Calibri Light"/>
          <w:b/>
          <w:bCs/>
          <w:sz w:val="24"/>
          <w:szCs w:val="24"/>
        </w:rPr>
        <w:t>Toma correcta de presión arterial</w:t>
      </w:r>
    </w:p>
    <w:p w14:paraId="6DF555BD" w14:textId="6FB27449" w:rsidR="00C429EA" w:rsidRPr="00EA7943" w:rsidRDefault="00C429EA" w:rsidP="00EA794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0" w:after="200" w:line="240" w:lineRule="auto"/>
        <w:jc w:val="both"/>
        <w:rPr>
          <w:rFonts w:ascii="Calibri Light" w:hAnsi="Calibri Light" w:cs="Calibri Light"/>
        </w:rPr>
      </w:pPr>
      <w:r w:rsidRPr="00EA7943">
        <w:rPr>
          <w:rFonts w:ascii="Calibri Light" w:hAnsi="Calibri Light" w:cs="Calibri Light"/>
        </w:rPr>
        <w:t>A</w:t>
      </w:r>
      <w:r w:rsidRPr="00EA7943">
        <w:rPr>
          <w:rFonts w:ascii="Calibri Light" w:hAnsi="Calibri Light" w:cs="Calibri Light"/>
          <w:sz w:val="24"/>
          <w:szCs w:val="24"/>
        </w:rPr>
        <w:t>nte cifras de presión arterial ≥180/110 mmHg se realice búsqueda activa de signos y síntomas sugestivos de emergencia hipertensiva descritos en la Tabla 1. En pacientes identificados en consulta externa, se debe derivar oportunamente al servicio de urgencias.</w:t>
      </w:r>
    </w:p>
    <w:p w14:paraId="20F5A801" w14:textId="2E1EE12C" w:rsidR="00C429EA" w:rsidRDefault="00C429EA" w:rsidP="00EA7943">
      <w:pPr>
        <w:pStyle w:val="NormalWeb"/>
        <w:numPr>
          <w:ilvl w:val="0"/>
          <w:numId w:val="19"/>
        </w:numPr>
        <w:jc w:val="both"/>
        <w:rPr>
          <w:rFonts w:ascii="Calibri Light" w:hAnsi="Calibri Light" w:cs="Calibri Light"/>
        </w:rPr>
      </w:pPr>
      <w:r w:rsidRPr="00C429EA">
        <w:rPr>
          <w:rFonts w:ascii="Calibri Light" w:hAnsi="Calibri Light" w:cs="Calibri Light"/>
        </w:rPr>
        <w:t>En pacientes atendidos en urgencias u hospitalización, se deben solicitar paraclínicos pertinentes de manera oportuna e iniciar manejo según el compromiso de órgano blanco y el contexto clínico.</w:t>
      </w:r>
    </w:p>
    <w:tbl>
      <w:tblPr>
        <w:tblStyle w:val="a"/>
        <w:tblW w:w="88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552"/>
        <w:gridCol w:w="1620"/>
        <w:gridCol w:w="1889"/>
        <w:gridCol w:w="1640"/>
      </w:tblGrid>
      <w:tr w:rsidR="00AC72C9" w:rsidRPr="00C429EA" w14:paraId="164A5047" w14:textId="77777777">
        <w:trPr>
          <w:trHeight w:val="424"/>
        </w:trPr>
        <w:tc>
          <w:tcPr>
            <w:tcW w:w="1134" w:type="dxa"/>
            <w:shd w:val="clear" w:color="auto" w:fill="D0CECE"/>
            <w:vAlign w:val="center"/>
          </w:tcPr>
          <w:p w14:paraId="72204903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Órgano</w:t>
            </w:r>
          </w:p>
        </w:tc>
        <w:tc>
          <w:tcPr>
            <w:tcW w:w="2552" w:type="dxa"/>
            <w:shd w:val="clear" w:color="auto" w:fill="D0CECE"/>
            <w:vAlign w:val="center"/>
          </w:tcPr>
          <w:p w14:paraId="5B9DF67E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Cerebro</w:t>
            </w:r>
          </w:p>
        </w:tc>
        <w:tc>
          <w:tcPr>
            <w:tcW w:w="1620" w:type="dxa"/>
            <w:shd w:val="clear" w:color="auto" w:fill="D0CECE"/>
            <w:vAlign w:val="center"/>
          </w:tcPr>
          <w:p w14:paraId="56062A18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Corazón</w:t>
            </w:r>
          </w:p>
        </w:tc>
        <w:tc>
          <w:tcPr>
            <w:tcW w:w="1889" w:type="dxa"/>
            <w:shd w:val="clear" w:color="auto" w:fill="D0CECE"/>
            <w:vAlign w:val="center"/>
          </w:tcPr>
          <w:p w14:paraId="4589D141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Riñón</w:t>
            </w:r>
          </w:p>
        </w:tc>
        <w:tc>
          <w:tcPr>
            <w:tcW w:w="1640" w:type="dxa"/>
            <w:shd w:val="clear" w:color="auto" w:fill="D0CECE"/>
            <w:vAlign w:val="center"/>
          </w:tcPr>
          <w:p w14:paraId="532D9217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Sistema arterial periférico</w:t>
            </w:r>
          </w:p>
        </w:tc>
      </w:tr>
      <w:tr w:rsidR="00AC72C9" w:rsidRPr="00C429EA" w14:paraId="686C4574" w14:textId="77777777">
        <w:tc>
          <w:tcPr>
            <w:tcW w:w="1134" w:type="dxa"/>
          </w:tcPr>
          <w:p w14:paraId="3BF6780E" w14:textId="77777777" w:rsidR="00AC72C9" w:rsidRPr="00EA7943" w:rsidRDefault="00DD79E4" w:rsidP="00C429EA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Signos y síntomas</w:t>
            </w:r>
          </w:p>
        </w:tc>
        <w:tc>
          <w:tcPr>
            <w:tcW w:w="2552" w:type="dxa"/>
          </w:tcPr>
          <w:p w14:paraId="796876C4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Cefalea</w:t>
            </w:r>
          </w:p>
          <w:p w14:paraId="37A13A8F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Vértigo y/o mareo</w:t>
            </w:r>
          </w:p>
          <w:p w14:paraId="3F505571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Visión borrosa o pérdida súbita de la visión</w:t>
            </w:r>
          </w:p>
          <w:p w14:paraId="07EAB38F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lastRenderedPageBreak/>
              <w:t>Déficit neurológico o sensitivo agudo</w:t>
            </w:r>
          </w:p>
          <w:p w14:paraId="51F730D1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Alteración mental: confusión, desorientación, alteración de conciencia</w:t>
            </w:r>
          </w:p>
        </w:tc>
        <w:tc>
          <w:tcPr>
            <w:tcW w:w="1620" w:type="dxa"/>
          </w:tcPr>
          <w:p w14:paraId="1318A0CA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lastRenderedPageBreak/>
              <w:t>Dolor torácico</w:t>
            </w:r>
          </w:p>
          <w:p w14:paraId="32DD1736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Disnea (reposo y esfuerzo)</w:t>
            </w:r>
          </w:p>
          <w:p w14:paraId="66D04470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Palpitaciones</w:t>
            </w:r>
          </w:p>
          <w:p w14:paraId="5EDE6403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lastRenderedPageBreak/>
              <w:t>Signos de falla cardíaca</w:t>
            </w:r>
          </w:p>
        </w:tc>
        <w:tc>
          <w:tcPr>
            <w:tcW w:w="1889" w:type="dxa"/>
          </w:tcPr>
          <w:p w14:paraId="14AFB370" w14:textId="3CC53AF8" w:rsidR="00AC72C9" w:rsidRDefault="00EA7943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lastRenderedPageBreak/>
              <w:t>Oliguria</w:t>
            </w:r>
          </w:p>
          <w:p w14:paraId="33839C31" w14:textId="3A02AC43" w:rsidR="00AC72C9" w:rsidRPr="00EA7943" w:rsidRDefault="00EA7943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Anuria</w:t>
            </w:r>
          </w:p>
          <w:p w14:paraId="5B0BC8BC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Hematuria</w:t>
            </w:r>
          </w:p>
          <w:p w14:paraId="6E20B254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lastRenderedPageBreak/>
              <w:t>Elevación de creatinina y/o disminución de tasa de filtración glomerular (TFG).</w:t>
            </w:r>
          </w:p>
        </w:tc>
        <w:tc>
          <w:tcPr>
            <w:tcW w:w="1640" w:type="dxa"/>
          </w:tcPr>
          <w:p w14:paraId="77663F24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lastRenderedPageBreak/>
              <w:t>Pulsos periféricos disminuidos o ausentes</w:t>
            </w:r>
          </w:p>
          <w:p w14:paraId="28914762" w14:textId="77777777" w:rsidR="00AC72C9" w:rsidRPr="00EA7943" w:rsidRDefault="00DD79E4" w:rsidP="00EA7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lastRenderedPageBreak/>
              <w:t>Extremidades frías</w:t>
            </w:r>
          </w:p>
        </w:tc>
      </w:tr>
    </w:tbl>
    <w:p w14:paraId="1CB15E97" w14:textId="77777777" w:rsidR="00AC72C9" w:rsidRPr="00EA7943" w:rsidRDefault="00DD79E4">
      <w:pPr>
        <w:spacing w:before="10" w:after="280" w:line="240" w:lineRule="auto"/>
        <w:jc w:val="center"/>
        <w:rPr>
          <w:rFonts w:ascii="Calibri Light" w:hAnsi="Calibri Light" w:cs="Calibri Light"/>
          <w:sz w:val="20"/>
          <w:szCs w:val="20"/>
        </w:rPr>
      </w:pPr>
      <w:r w:rsidRPr="00EA7943">
        <w:rPr>
          <w:rFonts w:ascii="Calibri Light" w:hAnsi="Calibri Light" w:cs="Calibri Light"/>
          <w:b/>
          <w:bCs/>
          <w:sz w:val="20"/>
          <w:szCs w:val="20"/>
        </w:rPr>
        <w:lastRenderedPageBreak/>
        <w:t>Tabla 1.</w:t>
      </w:r>
      <w:r w:rsidRPr="00EA7943">
        <w:rPr>
          <w:rFonts w:ascii="Calibri Light" w:hAnsi="Calibri Light" w:cs="Calibri Light"/>
          <w:sz w:val="20"/>
          <w:szCs w:val="20"/>
        </w:rPr>
        <w:t xml:space="preserve"> Signos y síntomas sugestivos de daño a órgano diana</w:t>
      </w:r>
    </w:p>
    <w:p w14:paraId="000011BC" w14:textId="77777777" w:rsidR="00C429EA" w:rsidRPr="00C429EA" w:rsidRDefault="00C429EA" w:rsidP="00C429EA">
      <w:pPr>
        <w:numPr>
          <w:ilvl w:val="0"/>
          <w:numId w:val="14"/>
        </w:numPr>
        <w:spacing w:after="200" w:line="240" w:lineRule="auto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sz w:val="24"/>
          <w:szCs w:val="24"/>
        </w:rPr>
        <w:t>Registrar en</w:t>
      </w:r>
      <w:r w:rsidRPr="00C429EA">
        <w:rPr>
          <w:rFonts w:ascii="Calibri Light" w:hAnsi="Calibri Light" w:cs="Calibri Light"/>
          <w:sz w:val="24"/>
          <w:szCs w:val="24"/>
        </w:rPr>
        <w:t xml:space="preserve"> 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>historia clínica:</w:t>
      </w:r>
    </w:p>
    <w:p w14:paraId="1DB4F8EB" w14:textId="77777777" w:rsidR="00C429EA" w:rsidRPr="00C429EA" w:rsidRDefault="00C429EA" w:rsidP="00C429EA">
      <w:pPr>
        <w:numPr>
          <w:ilvl w:val="1"/>
          <w:numId w:val="10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 xml:space="preserve">Antecedentes médicos, incluyendo Hipertensión Crónica preexistente, régimen antihipertensivo, adherencia al mismo, además de manejo no farmacológico (estilo de vida) y registro de PA ambulatorios, si los hay. </w:t>
      </w:r>
    </w:p>
    <w:p w14:paraId="12403319" w14:textId="0CC9A21B" w:rsidR="00C429EA" w:rsidRPr="00C429EA" w:rsidRDefault="00EA7943" w:rsidP="00C429EA">
      <w:pPr>
        <w:numPr>
          <w:ilvl w:val="1"/>
          <w:numId w:val="10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D</w:t>
      </w:r>
      <w:r w:rsidR="00C429EA" w:rsidRPr="00C429EA">
        <w:rPr>
          <w:rFonts w:ascii="Calibri Light" w:hAnsi="Calibri Light" w:cs="Calibri Light"/>
          <w:sz w:val="24"/>
          <w:szCs w:val="24"/>
        </w:rPr>
        <w:t>eterminar entidades y hallazgos diagnósticos indicadores de Emergencia hipertensiva</w:t>
      </w:r>
      <w:r w:rsidR="00C429EA" w:rsidRPr="00C429EA">
        <w:rPr>
          <w:rFonts w:ascii="Calibri Light" w:hAnsi="Calibri Light" w:cs="Calibri Light"/>
          <w:i/>
          <w:iCs/>
          <w:sz w:val="24"/>
          <w:szCs w:val="24"/>
        </w:rPr>
        <w:t xml:space="preserve"> (Ver Tabla 2).</w:t>
      </w:r>
    </w:p>
    <w:tbl>
      <w:tblPr>
        <w:tblStyle w:val="a0"/>
        <w:tblW w:w="94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"/>
        <w:gridCol w:w="1766"/>
        <w:gridCol w:w="1374"/>
        <w:gridCol w:w="1889"/>
        <w:gridCol w:w="1640"/>
        <w:gridCol w:w="1962"/>
      </w:tblGrid>
      <w:tr w:rsidR="00AC72C9" w:rsidRPr="00C429EA" w14:paraId="1809E8C6" w14:textId="77777777" w:rsidTr="00C429EA">
        <w:trPr>
          <w:jc w:val="center"/>
        </w:trPr>
        <w:tc>
          <w:tcPr>
            <w:tcW w:w="852" w:type="dxa"/>
            <w:shd w:val="clear" w:color="auto" w:fill="D0CECE"/>
            <w:vAlign w:val="center"/>
          </w:tcPr>
          <w:p w14:paraId="53C78141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Órgano</w:t>
            </w:r>
          </w:p>
        </w:tc>
        <w:tc>
          <w:tcPr>
            <w:tcW w:w="1766" w:type="dxa"/>
            <w:shd w:val="clear" w:color="auto" w:fill="D0CECE"/>
            <w:vAlign w:val="center"/>
          </w:tcPr>
          <w:p w14:paraId="27B67428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Cerebro</w:t>
            </w:r>
          </w:p>
        </w:tc>
        <w:tc>
          <w:tcPr>
            <w:tcW w:w="1374" w:type="dxa"/>
            <w:shd w:val="clear" w:color="auto" w:fill="D0CECE"/>
            <w:vAlign w:val="center"/>
          </w:tcPr>
          <w:p w14:paraId="1D92D855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Corazón</w:t>
            </w:r>
          </w:p>
        </w:tc>
        <w:tc>
          <w:tcPr>
            <w:tcW w:w="1889" w:type="dxa"/>
            <w:shd w:val="clear" w:color="auto" w:fill="D0CECE"/>
            <w:vAlign w:val="center"/>
          </w:tcPr>
          <w:p w14:paraId="2581F864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Riñón</w:t>
            </w:r>
          </w:p>
        </w:tc>
        <w:tc>
          <w:tcPr>
            <w:tcW w:w="1640" w:type="dxa"/>
            <w:shd w:val="clear" w:color="auto" w:fill="D0CECE"/>
            <w:vAlign w:val="center"/>
          </w:tcPr>
          <w:p w14:paraId="0622E10F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Grandes vasos</w:t>
            </w:r>
          </w:p>
        </w:tc>
        <w:tc>
          <w:tcPr>
            <w:tcW w:w="1962" w:type="dxa"/>
            <w:shd w:val="clear" w:color="auto" w:fill="D0CECE"/>
            <w:vAlign w:val="center"/>
          </w:tcPr>
          <w:p w14:paraId="0320AFEE" w14:textId="77777777" w:rsidR="00AC72C9" w:rsidRPr="00EA7943" w:rsidRDefault="00DD79E4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Microvasculatura</w:t>
            </w:r>
          </w:p>
        </w:tc>
      </w:tr>
      <w:tr w:rsidR="00AC72C9" w:rsidRPr="00C429EA" w14:paraId="23CF3C75" w14:textId="77777777" w:rsidTr="00C429EA">
        <w:trPr>
          <w:jc w:val="center"/>
        </w:trPr>
        <w:tc>
          <w:tcPr>
            <w:tcW w:w="852" w:type="dxa"/>
          </w:tcPr>
          <w:p w14:paraId="4F33A6F5" w14:textId="77777777" w:rsidR="00AC72C9" w:rsidRPr="00EA7943" w:rsidRDefault="00DD79E4">
            <w:pPr>
              <w:jc w:val="both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1766" w:type="dxa"/>
          </w:tcPr>
          <w:p w14:paraId="0B98EA3C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Encefalopatía hipertensiva</w:t>
            </w:r>
          </w:p>
          <w:p w14:paraId="045EC27D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Hemorragia intracraneal</w:t>
            </w:r>
          </w:p>
          <w:p w14:paraId="4257DBD9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ACV isquémico agudo</w:t>
            </w:r>
          </w:p>
        </w:tc>
        <w:tc>
          <w:tcPr>
            <w:tcW w:w="1374" w:type="dxa"/>
          </w:tcPr>
          <w:p w14:paraId="3F99F4A4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Infarto agudo de miocardio</w:t>
            </w:r>
          </w:p>
          <w:p w14:paraId="104B0522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Síndrome coronario agudo</w:t>
            </w:r>
          </w:p>
          <w:p w14:paraId="29109CC1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Falla cardíaca aguda </w:t>
            </w:r>
          </w:p>
          <w:p w14:paraId="7D5A62D0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Edema pulmonar</w:t>
            </w:r>
          </w:p>
        </w:tc>
        <w:tc>
          <w:tcPr>
            <w:tcW w:w="1889" w:type="dxa"/>
          </w:tcPr>
          <w:p w14:paraId="0F8DC971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Lesión renal aguda</w:t>
            </w:r>
          </w:p>
          <w:p w14:paraId="4D759B8A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Microangiopatía trombótica</w:t>
            </w:r>
          </w:p>
        </w:tc>
        <w:tc>
          <w:tcPr>
            <w:tcW w:w="1640" w:type="dxa"/>
          </w:tcPr>
          <w:p w14:paraId="33DCCC68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Disección de aneurisma aórtico</w:t>
            </w:r>
          </w:p>
          <w:p w14:paraId="389A925D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Preeclampsia o Eclampsia</w:t>
            </w:r>
          </w:p>
          <w:p w14:paraId="1CEDD8CC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Síndrome de HELLP</w:t>
            </w:r>
          </w:p>
          <w:p w14:paraId="6BA2C9DF" w14:textId="77777777" w:rsidR="00AC72C9" w:rsidRPr="00EA7943" w:rsidRDefault="00AC72C9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62" w:type="dxa"/>
          </w:tcPr>
          <w:p w14:paraId="5F275FF4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Retinopatía de alto grado (III/IV)</w:t>
            </w:r>
          </w:p>
          <w:p w14:paraId="0498FBDF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Anemia hemolítica microangiopática</w:t>
            </w:r>
          </w:p>
          <w:p w14:paraId="7C034086" w14:textId="77777777" w:rsidR="00AC72C9" w:rsidRPr="00EA7943" w:rsidRDefault="00DD7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EA7943">
              <w:rPr>
                <w:rFonts w:ascii="Calibri Light" w:hAnsi="Calibri Light" w:cs="Calibri Light"/>
                <w:color w:val="000000"/>
                <w:sz w:val="20"/>
                <w:szCs w:val="20"/>
              </w:rPr>
              <w:t>Trombocitopenia</w:t>
            </w:r>
          </w:p>
        </w:tc>
      </w:tr>
    </w:tbl>
    <w:p w14:paraId="604F1E02" w14:textId="77777777" w:rsidR="00AC72C9" w:rsidRPr="00EA7943" w:rsidRDefault="00DD79E4">
      <w:pPr>
        <w:spacing w:after="280" w:line="240" w:lineRule="auto"/>
        <w:jc w:val="center"/>
        <w:rPr>
          <w:rFonts w:ascii="Calibri Light" w:hAnsi="Calibri Light" w:cs="Calibri Light"/>
          <w:sz w:val="20"/>
          <w:szCs w:val="20"/>
        </w:rPr>
      </w:pPr>
      <w:r w:rsidRPr="00EA7943">
        <w:rPr>
          <w:rFonts w:ascii="Calibri Light" w:hAnsi="Calibri Light" w:cs="Calibri Light"/>
          <w:b/>
          <w:bCs/>
          <w:sz w:val="20"/>
          <w:szCs w:val="20"/>
        </w:rPr>
        <w:t>Tabla 2.</w:t>
      </w:r>
      <w:r w:rsidRPr="00EA7943">
        <w:rPr>
          <w:rFonts w:ascii="Calibri Light" w:hAnsi="Calibri Light" w:cs="Calibri Light"/>
          <w:sz w:val="20"/>
          <w:szCs w:val="20"/>
        </w:rPr>
        <w:t xml:space="preserve"> Entidades y hallazgos diagnósticos indicadores de Emergencia Hipertensiva</w:t>
      </w:r>
    </w:p>
    <w:p w14:paraId="4D426D2B" w14:textId="6B8DFC09" w:rsidR="00AC72C9" w:rsidRPr="00EA7943" w:rsidRDefault="00DD79E4">
      <w:pPr>
        <w:numPr>
          <w:ilvl w:val="0"/>
          <w:numId w:val="10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 xml:space="preserve">Evaluar la calidad y precisión de la medición de la PA, corregir las prácticas y verificar y realizar una nueva medición para 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>confirmar la medición y clasificar la severidad.</w:t>
      </w:r>
    </w:p>
    <w:p w14:paraId="410AE120" w14:textId="4933CAFB" w:rsidR="00EA7943" w:rsidRDefault="00EA7943" w:rsidP="00EA7943">
      <w:pPr>
        <w:spacing w:after="200" w:line="240" w:lineRule="auto"/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C429EA">
        <w:rPr>
          <w:rFonts w:ascii="Calibri Light" w:hAnsi="Calibri Light" w:cs="Calibri Light"/>
          <w:noProof/>
          <w:sz w:val="24"/>
          <w:szCs w:val="24"/>
        </w:rPr>
        <w:drawing>
          <wp:inline distT="0" distB="0" distL="0" distR="0" wp14:anchorId="62FEE695" wp14:editId="00F7D61C">
            <wp:extent cx="4015740" cy="2042160"/>
            <wp:effectExtent l="0" t="0" r="381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27591"/>
                    <a:stretch/>
                  </pic:blipFill>
                  <pic:spPr bwMode="auto">
                    <a:xfrm>
                      <a:off x="0" y="0"/>
                      <a:ext cx="4016847" cy="2042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F198F" w14:textId="06F8E923" w:rsidR="00EA7943" w:rsidRPr="00C429EA" w:rsidRDefault="00EA7943" w:rsidP="00EA7943">
      <w:pPr>
        <w:spacing w:before="280" w:after="280" w:line="240" w:lineRule="auto"/>
        <w:ind w:left="1080"/>
        <w:jc w:val="center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sz w:val="24"/>
          <w:szCs w:val="24"/>
        </w:rPr>
        <w:t xml:space="preserve">Figura </w:t>
      </w:r>
      <w:r>
        <w:rPr>
          <w:rFonts w:ascii="Calibri Light" w:hAnsi="Calibri Light" w:cs="Calibri Light"/>
          <w:b/>
          <w:bCs/>
          <w:sz w:val="24"/>
          <w:szCs w:val="24"/>
        </w:rPr>
        <w:t>1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>.</w:t>
      </w:r>
      <w:r w:rsidRPr="00C429EA">
        <w:rPr>
          <w:rFonts w:ascii="Calibri Light" w:hAnsi="Calibri Light" w:cs="Calibri Light"/>
          <w:sz w:val="24"/>
          <w:szCs w:val="24"/>
        </w:rPr>
        <w:t xml:space="preserve"> Clasificación del paciente con Presión Arterial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Pr="00C429EA">
        <w:rPr>
          <w:rFonts w:ascii="Calibri Light" w:hAnsi="Calibri Light" w:cs="Calibri Light"/>
          <w:sz w:val="24"/>
          <w:szCs w:val="24"/>
        </w:rPr>
        <w:t>Elevada</w:t>
      </w:r>
    </w:p>
    <w:p w14:paraId="080123A0" w14:textId="77777777" w:rsidR="00EA7943" w:rsidRDefault="00EA7943">
      <w:pPr>
        <w:spacing w:after="20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546D79D7" w14:textId="78E86F42" w:rsidR="00AC72C9" w:rsidRDefault="00DD79E4">
      <w:pPr>
        <w:spacing w:after="20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lastRenderedPageBreak/>
        <w:t xml:space="preserve">Recomendación </w:t>
      </w:r>
      <w:r w:rsidR="00EA7943">
        <w:rPr>
          <w:rFonts w:ascii="Calibri Light" w:hAnsi="Calibri Light" w:cs="Calibri Light"/>
          <w:b/>
          <w:bCs/>
          <w:sz w:val="24"/>
          <w:szCs w:val="24"/>
          <w:u w:val="single"/>
        </w:rPr>
        <w:t>2</w:t>
      </w: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>: Solicitar los exámenes complementarios</w:t>
      </w:r>
      <w:r w:rsidR="00EA7943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si hay criterios de EMERGENCIA HIPERTENSIVA</w:t>
      </w:r>
    </w:p>
    <w:p w14:paraId="568A1E3A" w14:textId="5A3BBF6F" w:rsidR="00EA7943" w:rsidRDefault="00EA7943">
      <w:pPr>
        <w:spacing w:after="200" w:line="240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 w:rsidRPr="00EA7943">
        <w:rPr>
          <w:rFonts w:ascii="Calibri Light" w:hAnsi="Calibri Light" w:cs="Calibri Light"/>
          <w:b/>
          <w:bCs/>
          <w:sz w:val="24"/>
          <w:szCs w:val="24"/>
        </w:rPr>
        <w:t>Se recomienda solicitar de manera oportuna los exámenes complementarios pertinentes en pacientes con criterios clínicos de emergencia hipertensiva, orientados a identificar y evaluar el compromiso agudo de órgano blanco según la presentación clínica.</w:t>
      </w:r>
    </w:p>
    <w:p w14:paraId="4D95837A" w14:textId="1F945408" w:rsidR="00EA7943" w:rsidRDefault="00EA7943" w:rsidP="00EA7943">
      <w:pPr>
        <w:pBdr>
          <w:top w:val="nil"/>
          <w:left w:val="nil"/>
          <w:bottom w:val="nil"/>
          <w:right w:val="nil"/>
          <w:between w:val="nil"/>
        </w:pBdr>
        <w:spacing w:before="280" w:after="200" w:line="240" w:lineRule="auto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 xml:space="preserve">Responsable: 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Médico general o Medicina de </w:t>
      </w:r>
      <w:r>
        <w:rPr>
          <w:rFonts w:ascii="Calibri Light" w:hAnsi="Calibri Light" w:cs="Calibri Light"/>
          <w:color w:val="000000"/>
          <w:sz w:val="24"/>
          <w:szCs w:val="24"/>
        </w:rPr>
        <w:t>Urgencias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 o Medicina Interna.</w:t>
      </w:r>
    </w:p>
    <w:p w14:paraId="7BE1C6CB" w14:textId="77777777" w:rsidR="00EA7943" w:rsidRDefault="00EA7943" w:rsidP="00EA7943">
      <w:pPr>
        <w:pBdr>
          <w:top w:val="nil"/>
          <w:left w:val="nil"/>
          <w:bottom w:val="nil"/>
          <w:right w:val="nil"/>
          <w:between w:val="nil"/>
        </w:pBdr>
        <w:spacing w:before="280" w:after="200" w:line="240" w:lineRule="auto"/>
        <w:jc w:val="both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>¿Cómo?</w:t>
      </w:r>
    </w:p>
    <w:p w14:paraId="06E81602" w14:textId="02EADC04" w:rsidR="00AC72C9" w:rsidRPr="00C429EA" w:rsidRDefault="00DD79E4" w:rsidP="00EA7943">
      <w:pPr>
        <w:numPr>
          <w:ilvl w:val="0"/>
          <w:numId w:val="20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>Solicitar exámenes complementarios que permitan c</w:t>
      </w:r>
      <w:r w:rsidRPr="00C429EA">
        <w:rPr>
          <w:rFonts w:ascii="Calibri Light" w:hAnsi="Calibri Light" w:cs="Calibri Light"/>
          <w:sz w:val="24"/>
          <w:szCs w:val="24"/>
        </w:rPr>
        <w:t xml:space="preserve">omplementar la evaluación de probable inicio o empeoramiento en órganos diana; 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 xml:space="preserve">electrocardiograma </w:t>
      </w:r>
      <w:r w:rsidRPr="00C429EA">
        <w:rPr>
          <w:rFonts w:ascii="Calibri Light" w:hAnsi="Calibri Light" w:cs="Calibri Light"/>
          <w:sz w:val="24"/>
          <w:szCs w:val="24"/>
        </w:rPr>
        <w:t xml:space="preserve">de 12 derivaciones, radiografía de tórax. </w:t>
      </w:r>
    </w:p>
    <w:p w14:paraId="10A10998" w14:textId="77777777" w:rsidR="00AC72C9" w:rsidRPr="00C429EA" w:rsidRDefault="00DD79E4" w:rsidP="00EA7943">
      <w:pPr>
        <w:numPr>
          <w:ilvl w:val="0"/>
          <w:numId w:val="20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 xml:space="preserve">Solicitar 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>laboratorios básicos</w:t>
      </w:r>
      <w:r w:rsidRPr="00C429EA">
        <w:rPr>
          <w:rFonts w:ascii="Calibri Light" w:hAnsi="Calibri Light" w:cs="Calibri Light"/>
          <w:sz w:val="24"/>
          <w:szCs w:val="24"/>
        </w:rPr>
        <w:t>:</w:t>
      </w:r>
    </w:p>
    <w:p w14:paraId="0CF9CEE9" w14:textId="77777777" w:rsidR="00AC72C9" w:rsidRPr="00C429EA" w:rsidRDefault="00DD79E4" w:rsidP="00EA7943">
      <w:pPr>
        <w:numPr>
          <w:ilvl w:val="0"/>
          <w:numId w:val="21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>Función tiroides (si no tenía previamente)</w:t>
      </w:r>
    </w:p>
    <w:p w14:paraId="66836715" w14:textId="77777777" w:rsidR="00AC72C9" w:rsidRPr="00C429EA" w:rsidRDefault="00DD79E4" w:rsidP="00EA7943">
      <w:pPr>
        <w:numPr>
          <w:ilvl w:val="0"/>
          <w:numId w:val="21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>Función renal (creatinina, BUN)</w:t>
      </w:r>
    </w:p>
    <w:p w14:paraId="5A16716F" w14:textId="77777777" w:rsidR="00AC72C9" w:rsidRPr="00C429EA" w:rsidRDefault="00DD79E4" w:rsidP="00EA7943">
      <w:pPr>
        <w:numPr>
          <w:ilvl w:val="0"/>
          <w:numId w:val="21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>Hemogra</w:t>
      </w:r>
      <w:r w:rsidRPr="00C429EA">
        <w:rPr>
          <w:rFonts w:ascii="Calibri Light" w:hAnsi="Calibri Light" w:cs="Calibri Light"/>
          <w:sz w:val="24"/>
          <w:szCs w:val="24"/>
        </w:rPr>
        <w:t>ma tipo IV</w:t>
      </w:r>
    </w:p>
    <w:p w14:paraId="2A0AA33D" w14:textId="5394156B" w:rsidR="00AC72C9" w:rsidRPr="00C429EA" w:rsidRDefault="00DD79E4">
      <w:pPr>
        <w:spacing w:before="280" w:after="28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Recomendación </w:t>
      </w:r>
      <w:r w:rsidR="00EA7943">
        <w:rPr>
          <w:rFonts w:ascii="Calibri Light" w:hAnsi="Calibri Light" w:cs="Calibri Light"/>
          <w:b/>
          <w:bCs/>
          <w:sz w:val="24"/>
          <w:szCs w:val="24"/>
          <w:u w:val="single"/>
        </w:rPr>
        <w:t>3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 xml:space="preserve">: </w:t>
      </w:r>
      <w:r w:rsidR="00EA7943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Evaluar </w:t>
      </w: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la elevación de la PA </w:t>
      </w:r>
      <w:r w:rsidR="00EA7943">
        <w:rPr>
          <w:rFonts w:ascii="Calibri Light" w:hAnsi="Calibri Light" w:cs="Calibri Light"/>
          <w:b/>
          <w:bCs/>
          <w:sz w:val="24"/>
          <w:szCs w:val="24"/>
          <w:u w:val="single"/>
        </w:rPr>
        <w:t>en el contexto de hospitalización</w:t>
      </w:r>
    </w:p>
    <w:p w14:paraId="752534EC" w14:textId="77777777" w:rsidR="00AC72C9" w:rsidRPr="00EA7943" w:rsidRDefault="00DD79E4" w:rsidP="00EA7943">
      <w:pPr>
        <w:spacing w:before="280" w:after="200" w:line="240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 w:rsidRPr="00EA7943">
        <w:rPr>
          <w:rFonts w:ascii="Calibri Light" w:hAnsi="Calibri Light" w:cs="Calibri Light"/>
          <w:b/>
          <w:bCs/>
          <w:sz w:val="24"/>
          <w:szCs w:val="24"/>
        </w:rPr>
        <w:t>Se debe realizar la clasificación de la severidad de la elevación de la presión arterial hospitalaria, según los hallazgos en las mediciones y la co</w:t>
      </w:r>
      <w:r w:rsidRPr="00EA7943">
        <w:rPr>
          <w:rFonts w:ascii="Calibri Light" w:hAnsi="Calibri Light" w:cs="Calibri Light"/>
          <w:b/>
          <w:bCs/>
          <w:sz w:val="24"/>
          <w:szCs w:val="24"/>
        </w:rPr>
        <w:t>rrección de los factores prevenibles y adecuada técnica de medición</w:t>
      </w:r>
    </w:p>
    <w:p w14:paraId="2F6C32CD" w14:textId="4548E673" w:rsidR="00AC72C9" w:rsidRDefault="00DD79E4" w:rsidP="00EA79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 xml:space="preserve">Responsable: 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 Médico general o Medicina de Emergencia o Medicina Interna</w:t>
      </w:r>
    </w:p>
    <w:p w14:paraId="18BD98D4" w14:textId="2B958BB0" w:rsidR="00EA7943" w:rsidRPr="00EA7943" w:rsidRDefault="00EA7943" w:rsidP="00EA79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r w:rsidRPr="00EA7943">
        <w:rPr>
          <w:rFonts w:ascii="Calibri Light" w:hAnsi="Calibri Light" w:cs="Calibri Light"/>
          <w:b/>
          <w:bCs/>
          <w:color w:val="000000"/>
          <w:sz w:val="24"/>
          <w:szCs w:val="24"/>
        </w:rPr>
        <w:t>¿Cómo?</w:t>
      </w:r>
    </w:p>
    <w:p w14:paraId="64E5C00E" w14:textId="77777777" w:rsidR="00AC72C9" w:rsidRPr="00EA7943" w:rsidRDefault="00DD79E4" w:rsidP="00EA7943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 w:rsidRPr="00EA7943">
        <w:rPr>
          <w:rFonts w:ascii="Calibri Light" w:hAnsi="Calibri Light" w:cs="Calibri Light"/>
          <w:color w:val="000000"/>
          <w:sz w:val="24"/>
          <w:szCs w:val="24"/>
        </w:rPr>
        <w:t>Realizar la correspondiente clasificación del paciente con PA hospitalaria elevada, teniendo en cuenta valores obtenidos, antecedente de hipertensión crónica y daño a órgano diana.</w:t>
      </w:r>
    </w:p>
    <w:p w14:paraId="5D05D444" w14:textId="2813A045" w:rsidR="00AC72C9" w:rsidRPr="00C429EA" w:rsidRDefault="00DD79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color w:val="000000"/>
          <w:sz w:val="24"/>
          <w:szCs w:val="24"/>
        </w:rPr>
        <w:t>Posterior a evaluar los factores tanto del paciente como hospitalarios, y c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omprobar y corregir la técnica de medición, según la cifra obtenida, antecedentes clínicos y los hallazgos al examen físico, clasificar al paciente para tomar conductas posteriores. </w:t>
      </w:r>
    </w:p>
    <w:p w14:paraId="43AD2638" w14:textId="77777777" w:rsidR="00AC72C9" w:rsidRPr="00C429EA" w:rsidRDefault="00DD79E4">
      <w:pPr>
        <w:spacing w:before="280" w:after="280" w:line="240" w:lineRule="auto"/>
        <w:ind w:left="1080"/>
        <w:jc w:val="center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noProof/>
          <w:sz w:val="24"/>
          <w:szCs w:val="24"/>
        </w:rPr>
        <w:lastRenderedPageBreak/>
        <w:drawing>
          <wp:inline distT="0" distB="0" distL="0" distR="0" wp14:anchorId="4D178769" wp14:editId="1AB29A9E">
            <wp:extent cx="3886626" cy="264612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2208"/>
                    <a:stretch>
                      <a:fillRect/>
                    </a:stretch>
                  </pic:blipFill>
                  <pic:spPr>
                    <a:xfrm>
                      <a:off x="0" y="0"/>
                      <a:ext cx="3886626" cy="2646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0134D" w14:textId="37E2EA5A" w:rsidR="00AC72C9" w:rsidRPr="00C429EA" w:rsidRDefault="00DD79E4">
      <w:pPr>
        <w:spacing w:before="280" w:after="280" w:line="240" w:lineRule="auto"/>
        <w:ind w:left="1080"/>
        <w:jc w:val="center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b/>
          <w:bCs/>
          <w:sz w:val="24"/>
          <w:szCs w:val="24"/>
        </w:rPr>
        <w:t xml:space="preserve">Figura </w:t>
      </w:r>
      <w:r w:rsidR="00EA7943">
        <w:rPr>
          <w:rFonts w:ascii="Calibri Light" w:hAnsi="Calibri Light" w:cs="Calibri Light"/>
          <w:b/>
          <w:bCs/>
          <w:sz w:val="24"/>
          <w:szCs w:val="24"/>
        </w:rPr>
        <w:t>2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>.</w:t>
      </w:r>
      <w:r w:rsidRPr="00C429EA">
        <w:rPr>
          <w:rFonts w:ascii="Calibri Light" w:hAnsi="Calibri Light" w:cs="Calibri Light"/>
          <w:sz w:val="24"/>
          <w:szCs w:val="24"/>
        </w:rPr>
        <w:t xml:space="preserve"> Clasificación del paciente con Presión Arterial</w:t>
      </w:r>
      <w:r w:rsidRPr="00C429EA">
        <w:rPr>
          <w:rFonts w:ascii="Calibri Light" w:hAnsi="Calibri Light" w:cs="Calibri Light"/>
          <w:sz w:val="24"/>
          <w:szCs w:val="24"/>
        </w:rPr>
        <w:t xml:space="preserve"> Hospitalaria Elevada</w:t>
      </w:r>
    </w:p>
    <w:p w14:paraId="6C114C75" w14:textId="77777777" w:rsidR="00AC72C9" w:rsidRPr="00C429EA" w:rsidRDefault="00AC72C9">
      <w:pPr>
        <w:spacing w:before="280" w:after="28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6EAF1C63" w14:textId="3A261AF8" w:rsidR="00AC72C9" w:rsidRPr="00C429EA" w:rsidRDefault="00DD79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  <w:t xml:space="preserve">Recomendación </w:t>
      </w:r>
      <w:r w:rsidR="00D941CF">
        <w:rPr>
          <w:rFonts w:ascii="Calibri Light" w:hAnsi="Calibri Light" w:cs="Calibri Light"/>
          <w:b/>
          <w:bCs/>
          <w:sz w:val="24"/>
          <w:szCs w:val="24"/>
          <w:u w:val="single"/>
        </w:rPr>
        <w:t>4</w:t>
      </w: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 xml:space="preserve">: </w:t>
      </w: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  <w:t>Realizar el correcto abordaje del paciente según la clasificación correspondiente</w:t>
      </w:r>
    </w:p>
    <w:p w14:paraId="4EE0F3C8" w14:textId="77777777" w:rsidR="00AC72C9" w:rsidRPr="00C429EA" w:rsidRDefault="00AC7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26F51633" w14:textId="72ED72C7" w:rsidR="00AC72C9" w:rsidRPr="00D941CF" w:rsidRDefault="00DD79E4" w:rsidP="00D941CF">
      <w:pPr>
        <w:spacing w:after="200" w:line="240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 w:rsidRPr="00D941CF">
        <w:rPr>
          <w:rFonts w:ascii="Calibri Light" w:hAnsi="Calibri Light" w:cs="Calibri Light"/>
          <w:b/>
          <w:bCs/>
          <w:sz w:val="24"/>
          <w:szCs w:val="24"/>
        </w:rPr>
        <w:t xml:space="preserve">Se </w:t>
      </w:r>
      <w:r w:rsidR="00D941CF" w:rsidRPr="00D941CF">
        <w:rPr>
          <w:rFonts w:ascii="Calibri Light" w:hAnsi="Calibri Light" w:cs="Calibri Light"/>
          <w:b/>
          <w:bCs/>
          <w:sz w:val="24"/>
          <w:szCs w:val="24"/>
        </w:rPr>
        <w:t>recomienda</w:t>
      </w:r>
      <w:r w:rsidRPr="00D941CF">
        <w:rPr>
          <w:rFonts w:ascii="Calibri Light" w:hAnsi="Calibri Light" w:cs="Calibri Light"/>
          <w:b/>
          <w:bCs/>
          <w:sz w:val="24"/>
          <w:szCs w:val="24"/>
        </w:rPr>
        <w:t xml:space="preserve"> realizar el abordaje del paciente según la clasificación correspondiente, individualizando y evaluando el análisis de riesgo beneficio en casos de pacientes asintomáticos.</w:t>
      </w:r>
    </w:p>
    <w:p w14:paraId="6CBF2166" w14:textId="77777777" w:rsidR="00AC72C9" w:rsidRPr="00C429EA" w:rsidRDefault="00AC7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</w:p>
    <w:p w14:paraId="7B712A28" w14:textId="77777777" w:rsidR="00AC72C9" w:rsidRPr="00C429EA" w:rsidRDefault="00DD79E4" w:rsidP="00D941C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Tras la clasificación del paciente y en el escenario de una </w:t>
      </w: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>Emergencia Hipertensiva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 establecida, se debe instaurar un manejo agudo e inmediato, preferencialmente con medicación endovenosa y metas de reducción de la PA según el compromiso orgánico present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e. </w:t>
      </w:r>
    </w:p>
    <w:p w14:paraId="3F6B3425" w14:textId="77777777" w:rsidR="00AC72C9" w:rsidRPr="00C429EA" w:rsidRDefault="00AC7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0EBC53C6" w14:textId="77777777" w:rsidR="00AC72C9" w:rsidRPr="00C429EA" w:rsidRDefault="00DD79E4" w:rsidP="00D941C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En casos de pacientes con PA elevada y </w:t>
      </w:r>
      <w:r w:rsidRPr="009625A4"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  <w:t>marcadamente elevada</w:t>
      </w:r>
      <w:r w:rsidRPr="009625A4">
        <w:rPr>
          <w:rFonts w:ascii="Calibri Light" w:hAnsi="Calibri Light" w:cs="Calibri Light"/>
          <w:color w:val="000000"/>
          <w:sz w:val="24"/>
          <w:szCs w:val="24"/>
          <w:u w:val="single"/>
        </w:rPr>
        <w:t xml:space="preserve"> </w:t>
      </w:r>
      <w:r w:rsidRPr="009625A4"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  <w:t>asintomática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, las conductas iniciales deben ser enfocadas en la corrección de los factores asociados al paciente, el medio hospitalario y la técnica de medición. </w:t>
      </w:r>
    </w:p>
    <w:p w14:paraId="69E68EB8" w14:textId="07F31707" w:rsidR="00AC72C9" w:rsidRPr="00C429EA" w:rsidRDefault="00DD79E4" w:rsidP="009625A4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color w:val="000000"/>
          <w:sz w:val="24"/>
          <w:szCs w:val="24"/>
        </w:rPr>
        <w:t>Situaciones de estrés agudo, como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 </w:t>
      </w:r>
      <w:r w:rsidRPr="009625A4">
        <w:rPr>
          <w:rFonts w:ascii="Calibri Light" w:hAnsi="Calibri Light" w:cs="Calibri Light"/>
          <w:color w:val="000000"/>
          <w:sz w:val="24"/>
          <w:szCs w:val="24"/>
        </w:rPr>
        <w:t>el dolor, la ansiedad o entidades clínicas concomitantes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 (sobrecarga de volumen, tormenta tiroidea, etc.), pueden afectar las mediciones de PA del paciente</w:t>
      </w:r>
      <w:r w:rsidR="009625A4">
        <w:rPr>
          <w:rFonts w:ascii="Calibri Light" w:hAnsi="Calibri Light" w:cs="Calibri Light"/>
          <w:color w:val="000000"/>
          <w:sz w:val="24"/>
          <w:szCs w:val="24"/>
        </w:rPr>
        <w:t>.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 xml:space="preserve"> </w:t>
      </w:r>
    </w:p>
    <w:p w14:paraId="4CFE2719" w14:textId="2BAAE94A" w:rsidR="00AC72C9" w:rsidRDefault="00DD79E4" w:rsidP="009625A4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color w:val="000000"/>
          <w:sz w:val="24"/>
          <w:szCs w:val="24"/>
        </w:rPr>
        <w:t>Tratar condiciones asociadas al entorno hospitalario como el cambio o suspensión de la medicació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>n</w:t>
      </w:r>
    </w:p>
    <w:p w14:paraId="56C490ED" w14:textId="412F6785" w:rsidR="009625A4" w:rsidRPr="00C429EA" w:rsidRDefault="009625A4" w:rsidP="009625A4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>
        <w:rPr>
          <w:rFonts w:ascii="Calibri Light" w:hAnsi="Calibri Light" w:cs="Calibri Light"/>
          <w:color w:val="000000"/>
          <w:sz w:val="24"/>
          <w:szCs w:val="24"/>
        </w:rPr>
        <w:t>Revisar técnica de medición y equipos calibrados.</w:t>
      </w:r>
    </w:p>
    <w:p w14:paraId="349A32B5" w14:textId="77777777" w:rsidR="009625A4" w:rsidRPr="009625A4" w:rsidRDefault="00DD79E4" w:rsidP="00F45BF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  <w:u w:val="single"/>
        </w:rPr>
      </w:pPr>
      <w:r w:rsidRPr="009625A4">
        <w:rPr>
          <w:rFonts w:ascii="Calibri Light" w:hAnsi="Calibri Light" w:cs="Calibri Light"/>
          <w:color w:val="000000"/>
          <w:sz w:val="24"/>
          <w:szCs w:val="24"/>
        </w:rPr>
        <w:lastRenderedPageBreak/>
        <w:t>No se recomienda el inicio o intensificación de los medicamentos antihipertensivos en el paciente asintomático</w:t>
      </w:r>
      <w:r w:rsidR="009625A4" w:rsidRPr="009625A4">
        <w:rPr>
          <w:rFonts w:ascii="Calibri Light" w:hAnsi="Calibri Light" w:cs="Calibri Light"/>
          <w:color w:val="000000"/>
          <w:sz w:val="24"/>
          <w:szCs w:val="24"/>
        </w:rPr>
        <w:t xml:space="preserve"> sin antecedente de hipertensión arterial crónica</w:t>
      </w:r>
      <w:r w:rsidRPr="009625A4">
        <w:rPr>
          <w:rFonts w:ascii="Calibri Light" w:hAnsi="Calibri Light" w:cs="Calibri Light"/>
          <w:color w:val="000000"/>
          <w:sz w:val="24"/>
          <w:szCs w:val="24"/>
        </w:rPr>
        <w:t xml:space="preserve">, se debe individualizar esta decisión según el estado actual del paciente, antecedentes y </w:t>
      </w:r>
      <w:r w:rsidRPr="009625A4">
        <w:rPr>
          <w:rFonts w:ascii="Calibri Light" w:hAnsi="Calibri Light" w:cs="Calibri Light"/>
          <w:color w:val="000000"/>
          <w:sz w:val="24"/>
          <w:szCs w:val="24"/>
        </w:rPr>
        <w:t>situación clínica actual.</w:t>
      </w:r>
      <w:r w:rsidR="009625A4" w:rsidRPr="009625A4">
        <w:rPr>
          <w:rFonts w:ascii="Calibri Light" w:hAnsi="Calibri Light" w:cs="Calibri Light"/>
          <w:color w:val="000000"/>
          <w:sz w:val="24"/>
          <w:szCs w:val="24"/>
        </w:rPr>
        <w:t xml:space="preserve"> </w:t>
      </w:r>
    </w:p>
    <w:p w14:paraId="7659438F" w14:textId="51A9FCFD" w:rsidR="00AC72C9" w:rsidRPr="009625A4" w:rsidRDefault="00DD79E4" w:rsidP="00F45BF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  <w:u w:val="single"/>
        </w:rPr>
      </w:pPr>
      <w:r w:rsidRPr="009625A4">
        <w:rPr>
          <w:rFonts w:ascii="Calibri Light" w:hAnsi="Calibri Light" w:cs="Calibri Light"/>
          <w:color w:val="000000"/>
          <w:sz w:val="24"/>
          <w:szCs w:val="24"/>
        </w:rPr>
        <w:t xml:space="preserve">En casos de </w:t>
      </w:r>
      <w:r w:rsidR="009625A4" w:rsidRPr="009625A4">
        <w:rPr>
          <w:rFonts w:ascii="Calibri Light" w:hAnsi="Calibri Light" w:cs="Calibri Light"/>
          <w:color w:val="000000"/>
          <w:sz w:val="24"/>
          <w:szCs w:val="24"/>
        </w:rPr>
        <w:t>lecturas</w:t>
      </w:r>
      <w:r w:rsidR="009625A4">
        <w:rPr>
          <w:rFonts w:ascii="Calibri Light" w:hAnsi="Calibri Light" w:cs="Calibri Light"/>
          <w:color w:val="000000"/>
          <w:sz w:val="24"/>
          <w:szCs w:val="24"/>
        </w:rPr>
        <w:t xml:space="preserve"> </w:t>
      </w:r>
      <w:r w:rsidR="009625A4" w:rsidRPr="009625A4">
        <w:rPr>
          <w:rFonts w:ascii="Calibri Light" w:hAnsi="Calibri Light" w:cs="Calibri Light"/>
          <w:color w:val="000000"/>
          <w:sz w:val="24"/>
          <w:szCs w:val="24"/>
        </w:rPr>
        <w:t>persistentes</w:t>
      </w:r>
      <w:r w:rsidRPr="009625A4">
        <w:rPr>
          <w:rFonts w:ascii="Calibri Light" w:hAnsi="Calibri Light" w:cs="Calibri Light"/>
          <w:color w:val="000000"/>
          <w:sz w:val="24"/>
          <w:szCs w:val="24"/>
        </w:rPr>
        <w:t xml:space="preserve"> muy elevadas y antecedentes de mediciones elevadas ambulatorias y/o no controladas, se debe evaluar el riesgo-beneficio del </w:t>
      </w:r>
      <w:r w:rsidRPr="009625A4">
        <w:rPr>
          <w:rFonts w:ascii="Calibri Light" w:hAnsi="Calibri Light" w:cs="Calibri Light"/>
          <w:b/>
          <w:bCs/>
          <w:color w:val="000000"/>
          <w:sz w:val="24"/>
          <w:szCs w:val="24"/>
        </w:rPr>
        <w:t>inicio/intensificación de manejo farmacológico</w:t>
      </w:r>
      <w:r w:rsidR="009625A4" w:rsidRPr="009625A4">
        <w:rPr>
          <w:rFonts w:ascii="Calibri Light" w:hAnsi="Calibri Light" w:cs="Calibri Light"/>
          <w:b/>
          <w:bCs/>
          <w:color w:val="000000"/>
          <w:sz w:val="24"/>
          <w:szCs w:val="24"/>
        </w:rPr>
        <w:t xml:space="preserve"> (</w:t>
      </w:r>
      <w:r w:rsidR="009625A4" w:rsidRPr="009625A4"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  <w:t>VER RUTA CLÍNICA HTA CRÓNICA)</w:t>
      </w:r>
    </w:p>
    <w:p w14:paraId="4EE09419" w14:textId="77777777" w:rsidR="009625A4" w:rsidRPr="009625A4" w:rsidRDefault="00DD79E4" w:rsidP="009625A4">
      <w:pPr>
        <w:pStyle w:val="Prrafode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 Light" w:hAnsi="Calibri Light" w:cs="Calibri Light"/>
          <w:color w:val="000000"/>
          <w:sz w:val="24"/>
          <w:szCs w:val="24"/>
          <w:u w:val="single"/>
        </w:rPr>
      </w:pPr>
      <w:r w:rsidRPr="009625A4">
        <w:rPr>
          <w:rFonts w:ascii="Calibri Light" w:hAnsi="Calibri Light" w:cs="Calibri Light"/>
          <w:color w:val="000000"/>
          <w:sz w:val="24"/>
          <w:szCs w:val="24"/>
        </w:rPr>
        <w:t xml:space="preserve">En pacientes con </w:t>
      </w:r>
      <w:r w:rsidRPr="009625A4">
        <w:rPr>
          <w:rFonts w:ascii="Calibri Light" w:hAnsi="Calibri Light" w:cs="Calibri Light"/>
          <w:b/>
          <w:bCs/>
          <w:color w:val="000000"/>
          <w:sz w:val="24"/>
          <w:szCs w:val="24"/>
        </w:rPr>
        <w:t>anteced</w:t>
      </w:r>
      <w:r w:rsidRPr="009625A4">
        <w:rPr>
          <w:rFonts w:ascii="Calibri Light" w:hAnsi="Calibri Light" w:cs="Calibri Light"/>
          <w:b/>
          <w:bCs/>
          <w:color w:val="000000"/>
          <w:sz w:val="24"/>
          <w:szCs w:val="24"/>
        </w:rPr>
        <w:t>entes y/o alto riesgo cardiovascular</w:t>
      </w:r>
      <w:r w:rsidRPr="009625A4">
        <w:rPr>
          <w:rFonts w:ascii="Calibri Light" w:hAnsi="Calibri Light" w:cs="Calibri Light"/>
          <w:color w:val="000000"/>
          <w:sz w:val="24"/>
          <w:szCs w:val="24"/>
        </w:rPr>
        <w:t>, evaluar situación clínica actual y riesgo-beneficio del inicio/intensificación de manejo farmacológico.</w:t>
      </w:r>
      <w:r w:rsidR="009625A4" w:rsidRPr="009625A4">
        <w:rPr>
          <w:rFonts w:ascii="Calibri Light" w:hAnsi="Calibri Light" w:cs="Calibri Light"/>
          <w:color w:val="000000"/>
          <w:sz w:val="24"/>
          <w:szCs w:val="24"/>
        </w:rPr>
        <w:t xml:space="preserve"> </w:t>
      </w:r>
      <w:r w:rsidR="009625A4" w:rsidRPr="009625A4">
        <w:rPr>
          <w:rFonts w:ascii="Calibri Light" w:hAnsi="Calibri Light" w:cs="Calibri Light"/>
          <w:b/>
          <w:bCs/>
          <w:color w:val="000000"/>
          <w:sz w:val="24"/>
          <w:szCs w:val="24"/>
        </w:rPr>
        <w:t>(</w:t>
      </w:r>
      <w:r w:rsidR="009625A4" w:rsidRPr="009625A4"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  <w:t>VER RUTA CLÍNICA HTA CRÓNICA)</w:t>
      </w:r>
    </w:p>
    <w:p w14:paraId="6291F99F" w14:textId="7B6B512D" w:rsidR="00AC72C9" w:rsidRDefault="00DD79E4">
      <w:pPr>
        <w:spacing w:before="280" w:after="280" w:line="240" w:lineRule="auto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Recomendación </w:t>
      </w:r>
      <w:r w:rsidR="009625A4">
        <w:rPr>
          <w:rFonts w:ascii="Calibri Light" w:hAnsi="Calibri Light" w:cs="Calibri Light"/>
          <w:b/>
          <w:bCs/>
          <w:sz w:val="24"/>
          <w:szCs w:val="24"/>
          <w:u w:val="single"/>
        </w:rPr>
        <w:t>5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 xml:space="preserve">: </w:t>
      </w: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>Realizar una evaluación completa y un adecuado seguimiento en el paciente con PA hospitalaria ele</w:t>
      </w:r>
      <w:r w:rsidRPr="00C429EA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vada. </w:t>
      </w:r>
    </w:p>
    <w:p w14:paraId="5F1621BC" w14:textId="7F9B252F" w:rsidR="009625A4" w:rsidRPr="009625A4" w:rsidRDefault="009625A4" w:rsidP="009625A4">
      <w:pPr>
        <w:spacing w:before="280" w:after="280" w:line="240" w:lineRule="auto"/>
        <w:jc w:val="both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9625A4">
        <w:rPr>
          <w:rFonts w:ascii="Calibri Light" w:hAnsi="Calibri Light" w:cs="Calibri Light"/>
          <w:b/>
          <w:bCs/>
          <w:sz w:val="24"/>
          <w:szCs w:val="24"/>
        </w:rPr>
        <w:t>En casos de presión arterial elevada durante la hospitalización, con o sin diagnóstico previo de hipertensión arterial crónica, se recomienda realizar una evaluación clínica completa orientada a identificar emergencia hipertensiva, factores desencadenantes, causas secundarias, compromiso de órgano blanco y respuesta al tratamiento, garantizando además seguimiento y ajuste terapéutico según la evolución clínica del paciente.</w:t>
      </w:r>
    </w:p>
    <w:p w14:paraId="7227BD81" w14:textId="03A66599" w:rsidR="00AC72C9" w:rsidRPr="009625A4" w:rsidRDefault="00DD79E4" w:rsidP="009625A4">
      <w:pPr>
        <w:pStyle w:val="Prrafodelista"/>
        <w:numPr>
          <w:ilvl w:val="0"/>
          <w:numId w:val="26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9625A4">
        <w:rPr>
          <w:rFonts w:ascii="Calibri Light" w:hAnsi="Calibri Light" w:cs="Calibri Light"/>
          <w:sz w:val="24"/>
          <w:szCs w:val="24"/>
        </w:rPr>
        <w:t>En casos de PA elevada durante la hospitalizació</w:t>
      </w:r>
      <w:r w:rsidRPr="009625A4">
        <w:rPr>
          <w:rFonts w:ascii="Calibri Light" w:hAnsi="Calibri Light" w:cs="Calibri Light"/>
          <w:sz w:val="24"/>
          <w:szCs w:val="24"/>
        </w:rPr>
        <w:t xml:space="preserve">n, con o sin un diagnóstico previo de </w:t>
      </w:r>
      <w:r w:rsidRPr="009625A4">
        <w:rPr>
          <w:rFonts w:ascii="Calibri Light" w:hAnsi="Calibri Light" w:cs="Calibri Light"/>
          <w:sz w:val="24"/>
          <w:szCs w:val="24"/>
        </w:rPr>
        <w:t>HT</w:t>
      </w:r>
      <w:r w:rsidR="009625A4" w:rsidRPr="009625A4">
        <w:rPr>
          <w:rFonts w:ascii="Calibri Light" w:hAnsi="Calibri Light" w:cs="Calibri Light"/>
          <w:sz w:val="24"/>
          <w:szCs w:val="24"/>
        </w:rPr>
        <w:t>A</w:t>
      </w:r>
      <w:r w:rsidRPr="009625A4">
        <w:rPr>
          <w:rFonts w:ascii="Calibri Light" w:hAnsi="Calibri Light" w:cs="Calibri Light"/>
          <w:sz w:val="24"/>
          <w:szCs w:val="24"/>
        </w:rPr>
        <w:t xml:space="preserve"> crónica</w:t>
      </w:r>
      <w:r w:rsidRPr="009625A4">
        <w:rPr>
          <w:rFonts w:ascii="Calibri Light" w:hAnsi="Calibri Light" w:cs="Calibri Light"/>
          <w:sz w:val="24"/>
          <w:szCs w:val="24"/>
        </w:rPr>
        <w:t>, se debe</w:t>
      </w:r>
      <w:r w:rsidRPr="009625A4">
        <w:rPr>
          <w:rFonts w:ascii="Calibri Light" w:hAnsi="Calibri Light" w:cs="Calibri Light"/>
          <w:sz w:val="24"/>
          <w:szCs w:val="24"/>
        </w:rPr>
        <w:t xml:space="preserve">: </w:t>
      </w:r>
    </w:p>
    <w:p w14:paraId="799DE3FD" w14:textId="77777777" w:rsidR="00AC72C9" w:rsidRPr="00C429EA" w:rsidRDefault="00DD79E4">
      <w:pPr>
        <w:numPr>
          <w:ilvl w:val="1"/>
          <w:numId w:val="9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 xml:space="preserve">Revisar el régimen antihipertensivo actual y ajustar la medicación de acuerdo a las 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>guías y protocolos vigentes y según el perfil del paciente.</w:t>
      </w:r>
    </w:p>
    <w:p w14:paraId="394050EE" w14:textId="2A8A6255" w:rsidR="00AC72C9" w:rsidRPr="00C429EA" w:rsidRDefault="00DD79E4">
      <w:pPr>
        <w:numPr>
          <w:ilvl w:val="1"/>
          <w:numId w:val="9"/>
        </w:numPr>
        <w:spacing w:after="20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C429EA">
        <w:rPr>
          <w:rFonts w:ascii="Calibri Light" w:hAnsi="Calibri Light" w:cs="Calibri Light"/>
          <w:sz w:val="24"/>
          <w:szCs w:val="24"/>
        </w:rPr>
        <w:t xml:space="preserve">Planificar un </w:t>
      </w:r>
      <w:r w:rsidRPr="00C429EA">
        <w:rPr>
          <w:rFonts w:ascii="Calibri Light" w:hAnsi="Calibri Light" w:cs="Calibri Light"/>
          <w:b/>
          <w:bCs/>
          <w:sz w:val="24"/>
          <w:szCs w:val="24"/>
        </w:rPr>
        <w:t>seguimiento ambulatorio</w:t>
      </w:r>
      <w:r w:rsidRPr="00C429EA">
        <w:rPr>
          <w:rFonts w:ascii="Calibri Light" w:hAnsi="Calibri Light" w:cs="Calibri Light"/>
          <w:sz w:val="24"/>
          <w:szCs w:val="24"/>
        </w:rPr>
        <w:t xml:space="preserve"> que permita ev</w:t>
      </w:r>
      <w:r w:rsidRPr="00C429EA">
        <w:rPr>
          <w:rFonts w:ascii="Calibri Light" w:hAnsi="Calibri Light" w:cs="Calibri Light"/>
          <w:sz w:val="24"/>
          <w:szCs w:val="24"/>
        </w:rPr>
        <w:t xml:space="preserve">aluar la respuesta de la PA al inicio/intensificación de la medicación, teniendo en cuenta que </w:t>
      </w:r>
      <w:r w:rsidR="009625A4" w:rsidRPr="00C429EA">
        <w:rPr>
          <w:rFonts w:ascii="Calibri Light" w:hAnsi="Calibri Light" w:cs="Calibri Light"/>
          <w:sz w:val="24"/>
          <w:szCs w:val="24"/>
        </w:rPr>
        <w:t>el efecto de estos cambios realizados durante la hospitalización se evidencia días</w:t>
      </w:r>
      <w:r w:rsidRPr="00C429EA">
        <w:rPr>
          <w:rFonts w:ascii="Calibri Light" w:hAnsi="Calibri Light" w:cs="Calibri Light"/>
          <w:sz w:val="24"/>
          <w:szCs w:val="24"/>
        </w:rPr>
        <w:t xml:space="preserve"> o semanas después.</w:t>
      </w:r>
    </w:p>
    <w:p w14:paraId="736D8337" w14:textId="3433CAE1" w:rsidR="00AC72C9" w:rsidRPr="00C429EA" w:rsidRDefault="00DD79E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 Light" w:hAnsi="Calibri Light" w:cs="Calibri Light"/>
          <w:color w:val="000000"/>
          <w:sz w:val="24"/>
          <w:szCs w:val="24"/>
        </w:rPr>
      </w:pPr>
      <w:bookmarkStart w:id="1" w:name="_heading=h.papq35lly6th" w:colFirst="0" w:colLast="0"/>
      <w:bookmarkEnd w:id="1"/>
      <w:r w:rsidRPr="00C429EA">
        <w:rPr>
          <w:rFonts w:ascii="Calibri Light" w:hAnsi="Calibri Light" w:cs="Calibri Light"/>
          <w:color w:val="000000"/>
          <w:sz w:val="24"/>
          <w:szCs w:val="24"/>
        </w:rPr>
        <w:t>Mantener el régimen de antihipertensivos previo a hospital</w:t>
      </w:r>
      <w:r w:rsidRPr="00C429EA">
        <w:rPr>
          <w:rFonts w:ascii="Calibri Light" w:hAnsi="Calibri Light" w:cs="Calibri Light"/>
          <w:color w:val="000000"/>
          <w:sz w:val="24"/>
          <w:szCs w:val="24"/>
        </w:rPr>
        <w:t>ización y evitar la intensificación al alta</w:t>
      </w:r>
      <w:r w:rsidR="009625A4">
        <w:rPr>
          <w:rFonts w:ascii="Calibri Light" w:hAnsi="Calibri Light" w:cs="Calibri Light"/>
          <w:color w:val="000000"/>
          <w:sz w:val="24"/>
          <w:szCs w:val="24"/>
        </w:rPr>
        <w:t>.</w:t>
      </w:r>
    </w:p>
    <w:p w14:paraId="4B4FBD21" w14:textId="77777777" w:rsidR="00AC72C9" w:rsidRPr="00C429EA" w:rsidRDefault="00DD79E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r w:rsidRPr="00C429EA">
        <w:rPr>
          <w:rFonts w:ascii="Calibri Light" w:hAnsi="Calibri Light" w:cs="Calibri Light"/>
          <w:color w:val="000000"/>
          <w:sz w:val="24"/>
          <w:szCs w:val="24"/>
        </w:rPr>
        <w:t>Brindar al paciente y sus familiares la información correspondiente, explicar el inicio de la medicación, características del régimen actual y promover adherencia de forma ambulatoria.</w:t>
      </w:r>
      <w:r w:rsidRPr="00C429EA">
        <w:rPr>
          <w:rFonts w:ascii="Calibri Light" w:hAnsi="Calibri Light" w:cs="Calibri Light"/>
          <w:b/>
          <w:bCs/>
          <w:color w:val="000000"/>
          <w:sz w:val="24"/>
          <w:szCs w:val="24"/>
        </w:rPr>
        <w:t xml:space="preserve"> </w:t>
      </w:r>
    </w:p>
    <w:sectPr w:rsidR="00AC72C9" w:rsidRPr="00C429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BABE8" w14:textId="77777777" w:rsidR="00DD79E4" w:rsidRDefault="00DD79E4">
      <w:pPr>
        <w:spacing w:after="0" w:line="240" w:lineRule="auto"/>
      </w:pPr>
      <w:r>
        <w:separator/>
      </w:r>
    </w:p>
  </w:endnote>
  <w:endnote w:type="continuationSeparator" w:id="0">
    <w:p w14:paraId="3852FFF0" w14:textId="77777777" w:rsidR="00DD79E4" w:rsidRDefault="00DD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AB2A924-52D5-4293-AD70-24205167D2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229411-7F77-4615-9C04-21719A17EE83}"/>
    <w:embedBold r:id="rId3" w:fontKey="{40CAEF24-0A6E-4D69-B3E7-82331F0DE674}"/>
    <w:embedItalic r:id="rId4" w:fontKey="{514711AF-0880-4F8E-A682-634817D7E0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C90B724-C61C-4EF5-984F-9F704372E8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1EFB29A-1880-4297-AA8F-0EFCE6BB5BD8}"/>
    <w:embedBold r:id="rId7" w:fontKey="{A0E343BF-AB01-4AA8-995E-FB8E20F17997}"/>
    <w:embedItalic r:id="rId8" w:fontKey="{68C950E7-E31D-4044-9460-4C8169695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B35AA74-302F-46C9-89F5-7F57062B26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7286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494C1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E1CCC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0EA4E" w14:textId="77777777" w:rsidR="00DD79E4" w:rsidRDefault="00DD79E4">
      <w:pPr>
        <w:spacing w:after="0" w:line="240" w:lineRule="auto"/>
      </w:pPr>
      <w:r>
        <w:separator/>
      </w:r>
    </w:p>
  </w:footnote>
  <w:footnote w:type="continuationSeparator" w:id="0">
    <w:p w14:paraId="4480BBE9" w14:textId="77777777" w:rsidR="00DD79E4" w:rsidRDefault="00DD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8B30" w14:textId="77777777" w:rsidR="00AC72C9" w:rsidRDefault="00DD79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98E1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616.1pt;height:791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1C01" w14:textId="77777777" w:rsidR="00AC72C9" w:rsidRDefault="00DD79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B627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616.1pt;height:791.5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5B345" w14:textId="77777777" w:rsidR="00AC72C9" w:rsidRDefault="00DD79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C7589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616.1pt;height:791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420D"/>
    <w:multiLevelType w:val="multilevel"/>
    <w:tmpl w:val="82BE39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F01A2"/>
    <w:multiLevelType w:val="hybridMultilevel"/>
    <w:tmpl w:val="BB46F1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A17520"/>
    <w:multiLevelType w:val="hybridMultilevel"/>
    <w:tmpl w:val="237CD1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D579F"/>
    <w:multiLevelType w:val="hybridMultilevel"/>
    <w:tmpl w:val="758E3D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D86FAF"/>
    <w:multiLevelType w:val="multilevel"/>
    <w:tmpl w:val="B9F6B1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227FE3"/>
    <w:multiLevelType w:val="multilevel"/>
    <w:tmpl w:val="EC4007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6CF4038"/>
    <w:multiLevelType w:val="multilevel"/>
    <w:tmpl w:val="DCF684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1E3D3930"/>
    <w:multiLevelType w:val="multilevel"/>
    <w:tmpl w:val="49521B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0C30895"/>
    <w:multiLevelType w:val="multilevel"/>
    <w:tmpl w:val="B54816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2F11F73"/>
    <w:multiLevelType w:val="multilevel"/>
    <w:tmpl w:val="54C6C1A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0E74ECB"/>
    <w:multiLevelType w:val="multilevel"/>
    <w:tmpl w:val="EBA6F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6F356B3"/>
    <w:multiLevelType w:val="multilevel"/>
    <w:tmpl w:val="A27E3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7C3CEC"/>
    <w:multiLevelType w:val="multilevel"/>
    <w:tmpl w:val="E78EF9C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6D10830"/>
    <w:multiLevelType w:val="multilevel"/>
    <w:tmpl w:val="8AC065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7373E65"/>
    <w:multiLevelType w:val="hybridMultilevel"/>
    <w:tmpl w:val="B5C25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D1A9D"/>
    <w:multiLevelType w:val="multilevel"/>
    <w:tmpl w:val="4A9A58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E5F51C1"/>
    <w:multiLevelType w:val="hybridMultilevel"/>
    <w:tmpl w:val="312E3E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13263"/>
    <w:multiLevelType w:val="multilevel"/>
    <w:tmpl w:val="56EAB0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A0D7219"/>
    <w:multiLevelType w:val="multilevel"/>
    <w:tmpl w:val="D8DC2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533DDA"/>
    <w:multiLevelType w:val="hybridMultilevel"/>
    <w:tmpl w:val="4A1EEDF2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781697"/>
    <w:multiLevelType w:val="multilevel"/>
    <w:tmpl w:val="BD46DA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6A64AD0"/>
    <w:multiLevelType w:val="multilevel"/>
    <w:tmpl w:val="B6C8B2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6F45A7"/>
    <w:multiLevelType w:val="multilevel"/>
    <w:tmpl w:val="94A86D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535EEF"/>
    <w:multiLevelType w:val="multilevel"/>
    <w:tmpl w:val="6BD09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003AD7"/>
    <w:multiLevelType w:val="multilevel"/>
    <w:tmpl w:val="08DEAF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75C44FF"/>
    <w:multiLevelType w:val="multilevel"/>
    <w:tmpl w:val="6ADA8D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9B26CC2"/>
    <w:multiLevelType w:val="multilevel"/>
    <w:tmpl w:val="43940C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F523402"/>
    <w:multiLevelType w:val="multilevel"/>
    <w:tmpl w:val="BE347D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25"/>
  </w:num>
  <w:num w:numId="3">
    <w:abstractNumId w:val="5"/>
  </w:num>
  <w:num w:numId="4">
    <w:abstractNumId w:val="22"/>
  </w:num>
  <w:num w:numId="5">
    <w:abstractNumId w:val="4"/>
  </w:num>
  <w:num w:numId="6">
    <w:abstractNumId w:val="0"/>
  </w:num>
  <w:num w:numId="7">
    <w:abstractNumId w:val="7"/>
  </w:num>
  <w:num w:numId="8">
    <w:abstractNumId w:val="15"/>
  </w:num>
  <w:num w:numId="9">
    <w:abstractNumId w:val="10"/>
  </w:num>
  <w:num w:numId="10">
    <w:abstractNumId w:val="13"/>
  </w:num>
  <w:num w:numId="11">
    <w:abstractNumId w:val="8"/>
  </w:num>
  <w:num w:numId="12">
    <w:abstractNumId w:val="24"/>
  </w:num>
  <w:num w:numId="13">
    <w:abstractNumId w:val="27"/>
  </w:num>
  <w:num w:numId="14">
    <w:abstractNumId w:val="18"/>
  </w:num>
  <w:num w:numId="15">
    <w:abstractNumId w:val="12"/>
  </w:num>
  <w:num w:numId="16">
    <w:abstractNumId w:val="26"/>
  </w:num>
  <w:num w:numId="17">
    <w:abstractNumId w:val="23"/>
  </w:num>
  <w:num w:numId="18">
    <w:abstractNumId w:val="16"/>
  </w:num>
  <w:num w:numId="19">
    <w:abstractNumId w:val="19"/>
  </w:num>
  <w:num w:numId="20">
    <w:abstractNumId w:val="6"/>
  </w:num>
  <w:num w:numId="21">
    <w:abstractNumId w:val="9"/>
  </w:num>
  <w:num w:numId="22">
    <w:abstractNumId w:val="1"/>
  </w:num>
  <w:num w:numId="23">
    <w:abstractNumId w:val="2"/>
  </w:num>
  <w:num w:numId="24">
    <w:abstractNumId w:val="11"/>
  </w:num>
  <w:num w:numId="25">
    <w:abstractNumId w:val="17"/>
  </w:num>
  <w:num w:numId="26">
    <w:abstractNumId w:val="14"/>
  </w:num>
  <w:num w:numId="27">
    <w:abstractNumId w:val="20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C9"/>
    <w:rsid w:val="009625A4"/>
    <w:rsid w:val="00AC72C9"/>
    <w:rsid w:val="00C429EA"/>
    <w:rsid w:val="00D941CF"/>
    <w:rsid w:val="00DD79E4"/>
    <w:rsid w:val="00E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87E1F9C"/>
  <w15:docId w15:val="{DD9D9852-E39E-4EE7-A086-CC00A356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C429EA"/>
    <w:rPr>
      <w:b/>
      <w:bCs/>
    </w:rPr>
  </w:style>
  <w:style w:type="character" w:styleId="nfasis">
    <w:name w:val="Emphasis"/>
    <w:basedOn w:val="Fuentedeprrafopredeter"/>
    <w:uiPriority w:val="20"/>
    <w:qFormat/>
    <w:rsid w:val="00C429EA"/>
    <w:rPr>
      <w:i/>
      <w:iCs/>
    </w:rPr>
  </w:style>
  <w:style w:type="paragraph" w:styleId="Sinespaciado">
    <w:name w:val="No Spacing"/>
    <w:uiPriority w:val="1"/>
    <w:qFormat/>
    <w:rsid w:val="00C429E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4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C429EA"/>
  </w:style>
  <w:style w:type="paragraph" w:styleId="Prrafodelista">
    <w:name w:val="List Paragraph"/>
    <w:basedOn w:val="Normal"/>
    <w:uiPriority w:val="34"/>
    <w:qFormat/>
    <w:rsid w:val="00EA7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4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7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5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5U1KXuaqR6Seq1/BgI7a37xxQ==">CgMxLjAyDmguMzFpODZ4Z253bjB1Mg5oLnBhcHEzNWxseTZ0aDgAciExLVhFXzExMzh0eFpjRGdNeHJPT2NUeHB6Vkw0Y0U1ZnM=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1281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LEIDY TOLEDO ROJAS</cp:lastModifiedBy>
  <cp:revision>3</cp:revision>
  <dcterms:created xsi:type="dcterms:W3CDTF">2026-05-14T10:16:00Z</dcterms:created>
  <dcterms:modified xsi:type="dcterms:W3CDTF">2026-05-14T10:43:00Z</dcterms:modified>
</cp:coreProperties>
</file>