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3E6003" w:rsidRDefault="00C31163">
      <w:pPr>
        <w:widowControl w:val="0"/>
        <w:spacing w:line="240" w:lineRule="auto"/>
        <w:rPr>
          <w:sz w:val="26"/>
          <w:szCs w:val="26"/>
        </w:rPr>
      </w:pPr>
      <w:r>
        <w:rPr>
          <w:sz w:val="26"/>
          <w:szCs w:val="26"/>
        </w:rPr>
        <w:t xml:space="preserve">GUIÓN </w:t>
      </w:r>
    </w:p>
    <w:p w14:paraId="00000002" w14:textId="77777777" w:rsidR="003E6003" w:rsidRDefault="003E6003">
      <w:pPr>
        <w:widowControl w:val="0"/>
        <w:spacing w:line="240" w:lineRule="auto"/>
        <w:rPr>
          <w:sz w:val="26"/>
          <w:szCs w:val="26"/>
        </w:rPr>
      </w:pPr>
    </w:p>
    <w:p w14:paraId="00000003" w14:textId="77777777" w:rsidR="003E6003" w:rsidRDefault="00C31163">
      <w:pPr>
        <w:widowControl w:val="0"/>
        <w:spacing w:line="240" w:lineRule="auto"/>
        <w:rPr>
          <w:sz w:val="26"/>
          <w:szCs w:val="26"/>
        </w:rPr>
      </w:pPr>
      <w:r>
        <w:rPr>
          <w:sz w:val="26"/>
          <w:szCs w:val="26"/>
        </w:rPr>
        <w:t>Diapositiva 3</w:t>
      </w:r>
    </w:p>
    <w:p w14:paraId="00000004" w14:textId="77777777" w:rsidR="003E6003" w:rsidRDefault="00C31163">
      <w:pPr>
        <w:widowControl w:val="0"/>
        <w:spacing w:line="240" w:lineRule="auto"/>
        <w:rPr>
          <w:sz w:val="26"/>
          <w:szCs w:val="26"/>
        </w:rPr>
      </w:pPr>
      <w:r>
        <w:rPr>
          <w:sz w:val="26"/>
          <w:szCs w:val="26"/>
        </w:rPr>
        <w:t>RECOMENDACIÓN 1: EVALUACIÓN DIAGNÓSTICA</w:t>
      </w:r>
    </w:p>
    <w:p w14:paraId="00000005" w14:textId="77777777" w:rsidR="003E6003" w:rsidRDefault="003E6003">
      <w:pPr>
        <w:widowControl w:val="0"/>
        <w:spacing w:line="240" w:lineRule="auto"/>
        <w:rPr>
          <w:sz w:val="26"/>
          <w:szCs w:val="26"/>
        </w:rPr>
      </w:pPr>
    </w:p>
    <w:p w14:paraId="00000006" w14:textId="77777777" w:rsidR="003E6003" w:rsidRDefault="00C31163">
      <w:pPr>
        <w:widowControl w:val="0"/>
        <w:spacing w:line="240" w:lineRule="auto"/>
        <w:rPr>
          <w:sz w:val="26"/>
          <w:szCs w:val="26"/>
        </w:rPr>
      </w:pPr>
      <w:r>
        <w:rPr>
          <w:sz w:val="26"/>
          <w:szCs w:val="26"/>
        </w:rPr>
        <w:t xml:space="preserve">La evaluación diagnóstica de la hiperplasia prostática benigna tiene dos objetivos principales: El primero es identificar diagnósticos diferenciales, ya que el origen de los síntomas del tracto urinario inferior en hombres es multifactorial. El segundo es definir el perfil clínico del paciente, incluyendo su riesgo de progresión de la enfermedad, para poder proporcionar la atención adecuada. </w:t>
      </w:r>
    </w:p>
    <w:p w14:paraId="00000007" w14:textId="77777777" w:rsidR="003E6003" w:rsidRDefault="003E6003">
      <w:pPr>
        <w:widowControl w:val="0"/>
        <w:spacing w:line="240" w:lineRule="auto"/>
        <w:rPr>
          <w:sz w:val="26"/>
          <w:szCs w:val="26"/>
        </w:rPr>
      </w:pPr>
    </w:p>
    <w:p w14:paraId="00000008" w14:textId="7FD1BA9F" w:rsidR="003E6003" w:rsidRDefault="00C31163">
      <w:pPr>
        <w:widowControl w:val="0"/>
        <w:spacing w:line="240" w:lineRule="auto"/>
        <w:rPr>
          <w:sz w:val="26"/>
          <w:szCs w:val="26"/>
        </w:rPr>
      </w:pPr>
      <w:r>
        <w:rPr>
          <w:sz w:val="26"/>
          <w:szCs w:val="26"/>
        </w:rPr>
        <w:t>Inicialmente se debe realizar una historia clínica completa con el objetivo de identificar las posibles causas y las comorbilidades relevantes, incluidas las enfermedades médicas y neurológicas, Se debe indagar sobre la medicación actual, los hábitos de estilo de vida y los factores emocionales y psicológicos.</w:t>
      </w:r>
    </w:p>
    <w:p w14:paraId="2BF15E19" w14:textId="65B3B421" w:rsidR="006B62A0" w:rsidRDefault="006B62A0">
      <w:pPr>
        <w:widowControl w:val="0"/>
        <w:spacing w:line="240" w:lineRule="auto"/>
        <w:rPr>
          <w:sz w:val="26"/>
          <w:szCs w:val="26"/>
        </w:rPr>
      </w:pPr>
    </w:p>
    <w:p w14:paraId="3A124808" w14:textId="08E02197" w:rsidR="006B62A0" w:rsidRDefault="006B62A0">
      <w:pPr>
        <w:widowControl w:val="0"/>
        <w:spacing w:line="240" w:lineRule="auto"/>
        <w:rPr>
          <w:sz w:val="26"/>
          <w:szCs w:val="26"/>
        </w:rPr>
      </w:pPr>
      <w:r w:rsidRPr="00DE2161">
        <w:rPr>
          <w:sz w:val="26"/>
          <w:szCs w:val="26"/>
          <w:highlight w:val="yellow"/>
        </w:rPr>
        <w:t>Asimismo, se debe indagar</w:t>
      </w:r>
      <w:r>
        <w:rPr>
          <w:sz w:val="26"/>
          <w:szCs w:val="26"/>
        </w:rPr>
        <w:t xml:space="preserve"> cuál tipo de síntoma del tracto inferior cursa:</w:t>
      </w:r>
    </w:p>
    <w:p w14:paraId="569385E8" w14:textId="53E3DC0A" w:rsidR="006B62A0" w:rsidRPr="006B62A0" w:rsidRDefault="006B62A0" w:rsidP="006B62A0">
      <w:pPr>
        <w:pStyle w:val="Ttulo3"/>
        <w:rPr>
          <w:color w:val="auto"/>
          <w:sz w:val="24"/>
          <w:szCs w:val="24"/>
        </w:rPr>
      </w:pPr>
      <w:r w:rsidRPr="006B62A0">
        <w:rPr>
          <w:color w:val="auto"/>
          <w:sz w:val="24"/>
          <w:szCs w:val="24"/>
        </w:rPr>
        <w:t>Síntomas de almacenamiento</w:t>
      </w:r>
      <w:r>
        <w:rPr>
          <w:color w:val="auto"/>
          <w:sz w:val="24"/>
          <w:szCs w:val="24"/>
        </w:rPr>
        <w:t xml:space="preserve">- </w:t>
      </w:r>
      <w:r w:rsidRPr="006B62A0">
        <w:rPr>
          <w:color w:val="auto"/>
          <w:sz w:val="24"/>
          <w:szCs w:val="24"/>
        </w:rPr>
        <w:t>Se relacionan con alteraciones durante la fase de llenado vesical:</w:t>
      </w:r>
    </w:p>
    <w:p w14:paraId="7484E78D" w14:textId="77777777" w:rsidR="006B62A0" w:rsidRPr="006B62A0" w:rsidRDefault="006B62A0" w:rsidP="006B62A0">
      <w:pPr>
        <w:numPr>
          <w:ilvl w:val="0"/>
          <w:numId w:val="3"/>
        </w:numPr>
        <w:spacing w:before="100" w:beforeAutospacing="1" w:after="100" w:afterAutospacing="1" w:line="240" w:lineRule="auto"/>
        <w:rPr>
          <w:sz w:val="24"/>
          <w:szCs w:val="24"/>
        </w:rPr>
      </w:pPr>
      <w:r w:rsidRPr="006B62A0">
        <w:rPr>
          <w:sz w:val="24"/>
          <w:szCs w:val="24"/>
        </w:rPr>
        <w:t xml:space="preserve">Aumento de la frecuencia urinaria </w:t>
      </w:r>
    </w:p>
    <w:p w14:paraId="29B3F6FF" w14:textId="77777777" w:rsidR="006B62A0" w:rsidRPr="006B62A0" w:rsidRDefault="006B62A0" w:rsidP="006B62A0">
      <w:pPr>
        <w:numPr>
          <w:ilvl w:val="0"/>
          <w:numId w:val="3"/>
        </w:numPr>
        <w:spacing w:before="100" w:beforeAutospacing="1" w:after="100" w:afterAutospacing="1" w:line="240" w:lineRule="auto"/>
        <w:rPr>
          <w:sz w:val="24"/>
          <w:szCs w:val="24"/>
        </w:rPr>
      </w:pPr>
      <w:r w:rsidRPr="006B62A0">
        <w:rPr>
          <w:sz w:val="24"/>
          <w:szCs w:val="24"/>
        </w:rPr>
        <w:t xml:space="preserve">Urgencia urinaria </w:t>
      </w:r>
    </w:p>
    <w:p w14:paraId="78176854" w14:textId="77777777" w:rsidR="006B62A0" w:rsidRPr="006B62A0" w:rsidRDefault="006B62A0" w:rsidP="006B62A0">
      <w:pPr>
        <w:numPr>
          <w:ilvl w:val="0"/>
          <w:numId w:val="3"/>
        </w:numPr>
        <w:spacing w:before="100" w:beforeAutospacing="1" w:after="100" w:afterAutospacing="1" w:line="240" w:lineRule="auto"/>
        <w:rPr>
          <w:sz w:val="24"/>
          <w:szCs w:val="24"/>
        </w:rPr>
      </w:pPr>
      <w:r w:rsidRPr="006B62A0">
        <w:rPr>
          <w:sz w:val="24"/>
          <w:szCs w:val="24"/>
        </w:rPr>
        <w:t xml:space="preserve">Nicturia (levantarse en la noche a orinar) </w:t>
      </w:r>
    </w:p>
    <w:p w14:paraId="350A5A99" w14:textId="77777777" w:rsidR="006B62A0" w:rsidRPr="006B62A0" w:rsidRDefault="006B62A0" w:rsidP="006B62A0">
      <w:pPr>
        <w:numPr>
          <w:ilvl w:val="0"/>
          <w:numId w:val="3"/>
        </w:numPr>
        <w:spacing w:before="100" w:beforeAutospacing="1" w:after="100" w:afterAutospacing="1" w:line="240" w:lineRule="auto"/>
        <w:rPr>
          <w:sz w:val="24"/>
          <w:szCs w:val="24"/>
        </w:rPr>
      </w:pPr>
      <w:r w:rsidRPr="006B62A0">
        <w:rPr>
          <w:sz w:val="24"/>
          <w:szCs w:val="24"/>
        </w:rPr>
        <w:t xml:space="preserve">Incontinencia urinaria de urgencia </w:t>
      </w:r>
    </w:p>
    <w:p w14:paraId="350E035B" w14:textId="285550A3" w:rsidR="006B62A0" w:rsidRPr="006B62A0" w:rsidRDefault="006B62A0" w:rsidP="006B62A0">
      <w:pPr>
        <w:pStyle w:val="Ttulo3"/>
        <w:rPr>
          <w:color w:val="auto"/>
          <w:sz w:val="24"/>
          <w:szCs w:val="24"/>
        </w:rPr>
      </w:pPr>
      <w:r w:rsidRPr="006B62A0">
        <w:rPr>
          <w:color w:val="auto"/>
          <w:sz w:val="24"/>
          <w:szCs w:val="24"/>
        </w:rPr>
        <w:t>Síntomas de vaciamiento</w:t>
      </w:r>
      <w:r>
        <w:rPr>
          <w:color w:val="auto"/>
          <w:sz w:val="24"/>
          <w:szCs w:val="24"/>
        </w:rPr>
        <w:t xml:space="preserve">- </w:t>
      </w:r>
      <w:r w:rsidRPr="006B62A0">
        <w:rPr>
          <w:color w:val="auto"/>
          <w:sz w:val="24"/>
          <w:szCs w:val="24"/>
        </w:rPr>
        <w:t>Se presentan durante la micción:</w:t>
      </w:r>
    </w:p>
    <w:p w14:paraId="75A39A0A" w14:textId="77777777" w:rsidR="006B62A0" w:rsidRPr="006B62A0" w:rsidRDefault="006B62A0" w:rsidP="006B62A0">
      <w:pPr>
        <w:numPr>
          <w:ilvl w:val="0"/>
          <w:numId w:val="4"/>
        </w:numPr>
        <w:spacing w:before="100" w:beforeAutospacing="1" w:after="100" w:afterAutospacing="1" w:line="240" w:lineRule="auto"/>
        <w:rPr>
          <w:sz w:val="24"/>
          <w:szCs w:val="24"/>
        </w:rPr>
      </w:pPr>
      <w:r w:rsidRPr="006B62A0">
        <w:rPr>
          <w:sz w:val="24"/>
          <w:szCs w:val="24"/>
        </w:rPr>
        <w:t xml:space="preserve">Disminución de la fuerza y calibre del chorro urinario </w:t>
      </w:r>
    </w:p>
    <w:p w14:paraId="205965A0" w14:textId="77777777" w:rsidR="006B62A0" w:rsidRPr="006B62A0" w:rsidRDefault="006B62A0" w:rsidP="006B62A0">
      <w:pPr>
        <w:numPr>
          <w:ilvl w:val="0"/>
          <w:numId w:val="4"/>
        </w:numPr>
        <w:spacing w:before="100" w:beforeAutospacing="1" w:after="100" w:afterAutospacing="1" w:line="240" w:lineRule="auto"/>
        <w:rPr>
          <w:sz w:val="24"/>
          <w:szCs w:val="24"/>
        </w:rPr>
      </w:pPr>
      <w:r w:rsidRPr="006B62A0">
        <w:rPr>
          <w:sz w:val="24"/>
          <w:szCs w:val="24"/>
        </w:rPr>
        <w:t xml:space="preserve">Dificultad para iniciar la micción (hesitación) </w:t>
      </w:r>
    </w:p>
    <w:p w14:paraId="209C657F" w14:textId="77777777" w:rsidR="006B62A0" w:rsidRPr="006B62A0" w:rsidRDefault="006B62A0" w:rsidP="006B62A0">
      <w:pPr>
        <w:numPr>
          <w:ilvl w:val="0"/>
          <w:numId w:val="4"/>
        </w:numPr>
        <w:spacing w:before="100" w:beforeAutospacing="1" w:after="100" w:afterAutospacing="1" w:line="240" w:lineRule="auto"/>
        <w:rPr>
          <w:sz w:val="24"/>
          <w:szCs w:val="24"/>
        </w:rPr>
      </w:pPr>
      <w:r w:rsidRPr="006B62A0">
        <w:rPr>
          <w:sz w:val="24"/>
          <w:szCs w:val="24"/>
        </w:rPr>
        <w:t xml:space="preserve">Micción intermitente </w:t>
      </w:r>
    </w:p>
    <w:p w14:paraId="2AEE7FB9" w14:textId="77777777" w:rsidR="006B62A0" w:rsidRPr="006B62A0" w:rsidRDefault="006B62A0" w:rsidP="006B62A0">
      <w:pPr>
        <w:numPr>
          <w:ilvl w:val="0"/>
          <w:numId w:val="4"/>
        </w:numPr>
        <w:spacing w:before="100" w:beforeAutospacing="1" w:after="100" w:afterAutospacing="1" w:line="240" w:lineRule="auto"/>
        <w:rPr>
          <w:sz w:val="24"/>
          <w:szCs w:val="24"/>
        </w:rPr>
      </w:pPr>
      <w:r w:rsidRPr="006B62A0">
        <w:rPr>
          <w:sz w:val="24"/>
          <w:szCs w:val="24"/>
        </w:rPr>
        <w:t xml:space="preserve">Esfuerzo para orinar </w:t>
      </w:r>
    </w:p>
    <w:p w14:paraId="1AA693BB" w14:textId="77777777" w:rsidR="006B62A0" w:rsidRPr="006B62A0" w:rsidRDefault="006B62A0" w:rsidP="006B62A0">
      <w:pPr>
        <w:numPr>
          <w:ilvl w:val="0"/>
          <w:numId w:val="4"/>
        </w:numPr>
        <w:spacing w:before="100" w:beforeAutospacing="1" w:after="100" w:afterAutospacing="1" w:line="240" w:lineRule="auto"/>
        <w:rPr>
          <w:sz w:val="24"/>
          <w:szCs w:val="24"/>
        </w:rPr>
      </w:pPr>
      <w:r w:rsidRPr="006B62A0">
        <w:rPr>
          <w:sz w:val="24"/>
          <w:szCs w:val="24"/>
        </w:rPr>
        <w:t xml:space="preserve">Goteo terminal </w:t>
      </w:r>
    </w:p>
    <w:p w14:paraId="037E3744" w14:textId="77777777" w:rsidR="006B62A0" w:rsidRPr="006B62A0" w:rsidRDefault="006B62A0" w:rsidP="006B62A0">
      <w:pPr>
        <w:numPr>
          <w:ilvl w:val="0"/>
          <w:numId w:val="4"/>
        </w:numPr>
        <w:spacing w:before="100" w:beforeAutospacing="1" w:after="100" w:afterAutospacing="1" w:line="240" w:lineRule="auto"/>
        <w:rPr>
          <w:sz w:val="24"/>
          <w:szCs w:val="24"/>
        </w:rPr>
      </w:pPr>
      <w:r w:rsidRPr="006B62A0">
        <w:rPr>
          <w:sz w:val="24"/>
          <w:szCs w:val="24"/>
        </w:rPr>
        <w:t xml:space="preserve">Sensación de vaciamiento incompleto </w:t>
      </w:r>
    </w:p>
    <w:p w14:paraId="4F04ACF8" w14:textId="43EE1B42" w:rsidR="006B62A0" w:rsidRPr="006B62A0" w:rsidRDefault="006B62A0" w:rsidP="006B62A0">
      <w:pPr>
        <w:pStyle w:val="Ttulo3"/>
        <w:rPr>
          <w:color w:val="auto"/>
          <w:sz w:val="24"/>
          <w:szCs w:val="24"/>
        </w:rPr>
      </w:pPr>
      <w:r w:rsidRPr="006B62A0">
        <w:rPr>
          <w:color w:val="auto"/>
          <w:sz w:val="24"/>
          <w:szCs w:val="24"/>
        </w:rPr>
        <w:t xml:space="preserve">Síntomas </w:t>
      </w:r>
      <w:proofErr w:type="spellStart"/>
      <w:r w:rsidRPr="006B62A0">
        <w:rPr>
          <w:color w:val="auto"/>
          <w:sz w:val="24"/>
          <w:szCs w:val="24"/>
        </w:rPr>
        <w:t>posmiccionales</w:t>
      </w:r>
      <w:proofErr w:type="spellEnd"/>
      <w:r>
        <w:rPr>
          <w:color w:val="auto"/>
          <w:sz w:val="24"/>
          <w:szCs w:val="24"/>
        </w:rPr>
        <w:t xml:space="preserve">- </w:t>
      </w:r>
      <w:r w:rsidRPr="006B62A0">
        <w:rPr>
          <w:color w:val="auto"/>
          <w:sz w:val="24"/>
          <w:szCs w:val="24"/>
        </w:rPr>
        <w:t>Ocurren después de terminar la micción:</w:t>
      </w:r>
    </w:p>
    <w:p w14:paraId="016C7380" w14:textId="77777777" w:rsidR="006B62A0" w:rsidRPr="006B62A0" w:rsidRDefault="006B62A0" w:rsidP="006B62A0">
      <w:pPr>
        <w:numPr>
          <w:ilvl w:val="0"/>
          <w:numId w:val="5"/>
        </w:numPr>
        <w:spacing w:before="100" w:beforeAutospacing="1" w:after="100" w:afterAutospacing="1" w:line="240" w:lineRule="auto"/>
        <w:rPr>
          <w:sz w:val="24"/>
          <w:szCs w:val="24"/>
        </w:rPr>
      </w:pPr>
      <w:r w:rsidRPr="006B62A0">
        <w:rPr>
          <w:sz w:val="24"/>
          <w:szCs w:val="24"/>
        </w:rPr>
        <w:t xml:space="preserve">Goteo </w:t>
      </w:r>
      <w:proofErr w:type="spellStart"/>
      <w:r w:rsidRPr="006B62A0">
        <w:rPr>
          <w:sz w:val="24"/>
          <w:szCs w:val="24"/>
        </w:rPr>
        <w:t>posmiccional</w:t>
      </w:r>
      <w:proofErr w:type="spellEnd"/>
      <w:r w:rsidRPr="006B62A0">
        <w:rPr>
          <w:sz w:val="24"/>
          <w:szCs w:val="24"/>
        </w:rPr>
        <w:t xml:space="preserve"> </w:t>
      </w:r>
    </w:p>
    <w:p w14:paraId="38979AF7" w14:textId="77777777" w:rsidR="006B62A0" w:rsidRPr="006B62A0" w:rsidRDefault="006B62A0" w:rsidP="006B62A0">
      <w:pPr>
        <w:numPr>
          <w:ilvl w:val="0"/>
          <w:numId w:val="5"/>
        </w:numPr>
        <w:spacing w:before="100" w:beforeAutospacing="1" w:after="100" w:afterAutospacing="1" w:line="240" w:lineRule="auto"/>
        <w:rPr>
          <w:sz w:val="24"/>
          <w:szCs w:val="24"/>
        </w:rPr>
      </w:pPr>
      <w:r w:rsidRPr="006B62A0">
        <w:rPr>
          <w:sz w:val="24"/>
          <w:szCs w:val="24"/>
        </w:rPr>
        <w:t>Sensación persistente de vaciamiento incompleto</w:t>
      </w:r>
    </w:p>
    <w:p w14:paraId="00000009" w14:textId="77777777" w:rsidR="003E6003" w:rsidRDefault="003E6003">
      <w:pPr>
        <w:widowControl w:val="0"/>
        <w:spacing w:line="240" w:lineRule="auto"/>
        <w:rPr>
          <w:sz w:val="26"/>
          <w:szCs w:val="26"/>
        </w:rPr>
      </w:pPr>
    </w:p>
    <w:p w14:paraId="0000000A" w14:textId="77777777" w:rsidR="003E6003" w:rsidRDefault="00C31163">
      <w:pPr>
        <w:widowControl w:val="0"/>
        <w:spacing w:line="240" w:lineRule="auto"/>
        <w:rPr>
          <w:sz w:val="26"/>
          <w:szCs w:val="26"/>
        </w:rPr>
      </w:pPr>
      <w:r>
        <w:rPr>
          <w:sz w:val="26"/>
          <w:szCs w:val="26"/>
        </w:rPr>
        <w:t xml:space="preserve">Para ello se debe aplicar un cuestionario de síntomas validado y autocompletado, como el International </w:t>
      </w:r>
      <w:proofErr w:type="spellStart"/>
      <w:r>
        <w:rPr>
          <w:sz w:val="26"/>
          <w:szCs w:val="26"/>
        </w:rPr>
        <w:t>Prostate</w:t>
      </w:r>
      <w:proofErr w:type="spellEnd"/>
      <w:r>
        <w:rPr>
          <w:sz w:val="26"/>
          <w:szCs w:val="26"/>
        </w:rPr>
        <w:t xml:space="preserve"> </w:t>
      </w:r>
      <w:proofErr w:type="spellStart"/>
      <w:r>
        <w:rPr>
          <w:sz w:val="26"/>
          <w:szCs w:val="26"/>
        </w:rPr>
        <w:t>Symptom</w:t>
      </w:r>
      <w:proofErr w:type="spellEnd"/>
      <w:r>
        <w:rPr>
          <w:sz w:val="26"/>
          <w:szCs w:val="26"/>
        </w:rPr>
        <w:t xml:space="preserve"> Score, para objetivar y cuantificar los síntomas, clasificándolos en leves, moderados o severos, con preguntas enfocadas a los síntomas prostáticos, además incluye una pregunta que determina en qué grado los síntomas afectan la calidad de </w:t>
      </w:r>
      <w:r>
        <w:rPr>
          <w:sz w:val="26"/>
          <w:szCs w:val="26"/>
        </w:rPr>
        <w:lastRenderedPageBreak/>
        <w:t xml:space="preserve">vida del paciente. </w:t>
      </w:r>
    </w:p>
    <w:p w14:paraId="0000000B" w14:textId="77777777" w:rsidR="003E6003" w:rsidRDefault="003E6003">
      <w:pPr>
        <w:widowControl w:val="0"/>
        <w:spacing w:line="240" w:lineRule="auto"/>
        <w:rPr>
          <w:sz w:val="26"/>
          <w:szCs w:val="26"/>
        </w:rPr>
      </w:pPr>
    </w:p>
    <w:p w14:paraId="0000000C" w14:textId="77777777" w:rsidR="003E6003" w:rsidRDefault="00C31163">
      <w:pPr>
        <w:widowControl w:val="0"/>
        <w:spacing w:line="240" w:lineRule="auto"/>
        <w:rPr>
          <w:sz w:val="26"/>
          <w:szCs w:val="26"/>
        </w:rPr>
      </w:pPr>
      <w:r>
        <w:rPr>
          <w:sz w:val="26"/>
          <w:szCs w:val="26"/>
        </w:rPr>
        <w:t xml:space="preserve">Adicionalmente la función sexual también debe ser evaluada, preferiblemente con cuestionarios de síntomas validados como el índice internacional de función </w:t>
      </w:r>
      <w:proofErr w:type="spellStart"/>
      <w:r>
        <w:rPr>
          <w:sz w:val="26"/>
          <w:szCs w:val="26"/>
        </w:rPr>
        <w:t>eréctiL</w:t>
      </w:r>
      <w:proofErr w:type="spellEnd"/>
      <w:r>
        <w:rPr>
          <w:sz w:val="26"/>
          <w:szCs w:val="26"/>
        </w:rPr>
        <w:t xml:space="preserve"> IIEF. </w:t>
      </w:r>
    </w:p>
    <w:p w14:paraId="0000000D" w14:textId="77777777" w:rsidR="003E6003" w:rsidRDefault="003E6003">
      <w:pPr>
        <w:widowControl w:val="0"/>
        <w:spacing w:line="240" w:lineRule="auto"/>
        <w:rPr>
          <w:sz w:val="26"/>
          <w:szCs w:val="26"/>
        </w:rPr>
      </w:pPr>
    </w:p>
    <w:p w14:paraId="0000000E" w14:textId="77777777" w:rsidR="003E6003" w:rsidRDefault="00C31163">
      <w:pPr>
        <w:widowControl w:val="0"/>
        <w:spacing w:line="240" w:lineRule="auto"/>
        <w:rPr>
          <w:sz w:val="26"/>
          <w:szCs w:val="26"/>
        </w:rPr>
      </w:pPr>
      <w:r>
        <w:rPr>
          <w:sz w:val="26"/>
          <w:szCs w:val="26"/>
        </w:rPr>
        <w:t>Respecto al examen físico debe ser enfocado en la palpación abdominal hipogástrica para descartar la presencia de globo vesical. Exploración de los genitales externos para descubrir posibles obstrucciones al flujo de salida (estenosis, hipospadias). Exploración del área perineal para cribado de lesiones neurológicas. Debe evaluarse la sensibilidad de la zona y los reflejos bulbocavernoso (contracción anal al presionar el glande) y anal superficial (contracción anal al rozar la piel perianal).</w:t>
      </w:r>
    </w:p>
    <w:p w14:paraId="0000000F" w14:textId="77777777" w:rsidR="003E6003" w:rsidRDefault="003E6003">
      <w:pPr>
        <w:widowControl w:val="0"/>
        <w:spacing w:line="240" w:lineRule="auto"/>
        <w:rPr>
          <w:sz w:val="26"/>
          <w:szCs w:val="26"/>
        </w:rPr>
      </w:pPr>
    </w:p>
    <w:p w14:paraId="00000010" w14:textId="77777777" w:rsidR="003E6003" w:rsidRDefault="00C31163">
      <w:pPr>
        <w:widowControl w:val="0"/>
        <w:spacing w:line="240" w:lineRule="auto"/>
        <w:rPr>
          <w:sz w:val="26"/>
          <w:szCs w:val="26"/>
        </w:rPr>
      </w:pPr>
      <w:r>
        <w:rPr>
          <w:sz w:val="26"/>
          <w:szCs w:val="26"/>
        </w:rPr>
        <w:t>Diapositiva 4</w:t>
      </w:r>
    </w:p>
    <w:p w14:paraId="00000011" w14:textId="77777777" w:rsidR="003E6003" w:rsidRDefault="00C31163">
      <w:pPr>
        <w:widowControl w:val="0"/>
        <w:spacing w:line="240" w:lineRule="auto"/>
        <w:rPr>
          <w:sz w:val="26"/>
          <w:szCs w:val="26"/>
        </w:rPr>
      </w:pPr>
      <w:r>
        <w:rPr>
          <w:sz w:val="26"/>
          <w:szCs w:val="26"/>
        </w:rPr>
        <w:t>RECOMENDACIÓN 2: TACTO RECTAL</w:t>
      </w:r>
    </w:p>
    <w:p w14:paraId="00000012" w14:textId="4DBC7466" w:rsidR="003E6003" w:rsidRDefault="00C31163">
      <w:pPr>
        <w:widowControl w:val="0"/>
        <w:spacing w:line="240" w:lineRule="auto"/>
        <w:rPr>
          <w:sz w:val="26"/>
          <w:szCs w:val="26"/>
        </w:rPr>
      </w:pPr>
      <w:r>
        <w:rPr>
          <w:sz w:val="26"/>
          <w:szCs w:val="26"/>
        </w:rPr>
        <w:t>El tacto rectal es un componente obligatorio del examen físico en la evaluación de la HPB.  Se debe realizar a todos los hombres mayores de 50 años cada 2 años si no presenta elevación del PSA o se realiza en pacientes mayores de 40 años con antecedente familiar o personal de cáncer de próstata</w:t>
      </w:r>
      <w:r w:rsidR="006B62A0">
        <w:rPr>
          <w:sz w:val="26"/>
          <w:szCs w:val="26"/>
        </w:rPr>
        <w:t>.</w:t>
      </w:r>
    </w:p>
    <w:p w14:paraId="00000013" w14:textId="77777777" w:rsidR="003E6003" w:rsidRDefault="003E6003">
      <w:pPr>
        <w:widowControl w:val="0"/>
        <w:spacing w:line="240" w:lineRule="auto"/>
        <w:rPr>
          <w:sz w:val="26"/>
          <w:szCs w:val="26"/>
        </w:rPr>
      </w:pPr>
    </w:p>
    <w:p w14:paraId="00000014" w14:textId="501D0195" w:rsidR="003E6003" w:rsidRDefault="00C31163">
      <w:pPr>
        <w:widowControl w:val="0"/>
        <w:spacing w:line="240" w:lineRule="auto"/>
        <w:rPr>
          <w:sz w:val="26"/>
          <w:szCs w:val="26"/>
        </w:rPr>
      </w:pPr>
      <w:r>
        <w:rPr>
          <w:sz w:val="26"/>
          <w:szCs w:val="26"/>
        </w:rPr>
        <w:t>Se debe valorar el tamaño de la próstata, la definición de sus límites, su consistencia, movilidad, la presencia de nódulos y si existe dolor a la palpación</w:t>
      </w:r>
      <w:r w:rsidR="008D1139">
        <w:rPr>
          <w:sz w:val="26"/>
          <w:szCs w:val="26"/>
        </w:rPr>
        <w:t xml:space="preserve">, </w:t>
      </w:r>
      <w:r w:rsidR="008D1139" w:rsidRPr="008D1139">
        <w:rPr>
          <w:sz w:val="26"/>
          <w:szCs w:val="26"/>
          <w:highlight w:val="yellow"/>
        </w:rPr>
        <w:t>lo cual nos permite establecer otros diagnósticos diferenciales clave como: PROSTATITIS/CANCER DE PROSTATA</w:t>
      </w:r>
      <w:r>
        <w:rPr>
          <w:sz w:val="26"/>
          <w:szCs w:val="26"/>
        </w:rPr>
        <w:t xml:space="preserve"> </w:t>
      </w:r>
    </w:p>
    <w:p w14:paraId="00000015" w14:textId="77777777" w:rsidR="003E6003" w:rsidRDefault="003E6003">
      <w:pPr>
        <w:widowControl w:val="0"/>
        <w:spacing w:line="240" w:lineRule="auto"/>
        <w:rPr>
          <w:sz w:val="26"/>
          <w:szCs w:val="26"/>
        </w:rPr>
      </w:pPr>
    </w:p>
    <w:p w14:paraId="00000016" w14:textId="77777777" w:rsidR="003E6003" w:rsidRDefault="003E6003">
      <w:pPr>
        <w:widowControl w:val="0"/>
        <w:spacing w:line="240" w:lineRule="auto"/>
        <w:rPr>
          <w:sz w:val="26"/>
          <w:szCs w:val="26"/>
        </w:rPr>
      </w:pPr>
    </w:p>
    <w:p w14:paraId="00000017" w14:textId="77777777" w:rsidR="003E6003" w:rsidRDefault="00C31163">
      <w:pPr>
        <w:widowControl w:val="0"/>
        <w:spacing w:line="240" w:lineRule="auto"/>
        <w:rPr>
          <w:sz w:val="26"/>
          <w:szCs w:val="26"/>
        </w:rPr>
      </w:pPr>
      <w:r>
        <w:rPr>
          <w:sz w:val="26"/>
          <w:szCs w:val="26"/>
        </w:rPr>
        <w:t>Diapositiva 5</w:t>
      </w:r>
    </w:p>
    <w:p w14:paraId="00000018" w14:textId="77777777" w:rsidR="003E6003" w:rsidRDefault="00C31163">
      <w:pPr>
        <w:widowControl w:val="0"/>
        <w:spacing w:line="240" w:lineRule="auto"/>
        <w:rPr>
          <w:sz w:val="26"/>
          <w:szCs w:val="26"/>
        </w:rPr>
      </w:pPr>
      <w:r>
        <w:rPr>
          <w:sz w:val="26"/>
          <w:szCs w:val="26"/>
        </w:rPr>
        <w:t>RECOMENDACIÓN 3: EXÁMENES</w:t>
      </w:r>
    </w:p>
    <w:p w14:paraId="00000019" w14:textId="77777777" w:rsidR="003E6003" w:rsidRDefault="003E6003">
      <w:pPr>
        <w:widowControl w:val="0"/>
        <w:spacing w:line="240" w:lineRule="auto"/>
        <w:rPr>
          <w:sz w:val="26"/>
          <w:szCs w:val="26"/>
        </w:rPr>
      </w:pPr>
    </w:p>
    <w:p w14:paraId="0000001A" w14:textId="77777777" w:rsidR="003E6003" w:rsidRDefault="00C31163">
      <w:pPr>
        <w:widowControl w:val="0"/>
        <w:spacing w:line="240" w:lineRule="auto"/>
        <w:rPr>
          <w:sz w:val="26"/>
          <w:szCs w:val="26"/>
        </w:rPr>
      </w:pPr>
      <w:r>
        <w:rPr>
          <w:sz w:val="26"/>
          <w:szCs w:val="26"/>
        </w:rPr>
        <w:t xml:space="preserve">Dentro de los exámenes complementarios básicos, la guía recomienda solicitar un uroanálisis, el cual es útil para evaluar la presencia de infección urinaria o hematuria como posibles complicaciones de la HPB, y se debe prestar especial atención a la glucosuria. </w:t>
      </w:r>
    </w:p>
    <w:p w14:paraId="0000001B" w14:textId="77777777" w:rsidR="003E6003" w:rsidRDefault="003E6003">
      <w:pPr>
        <w:widowControl w:val="0"/>
        <w:spacing w:line="240" w:lineRule="auto"/>
        <w:rPr>
          <w:sz w:val="26"/>
          <w:szCs w:val="26"/>
        </w:rPr>
      </w:pPr>
    </w:p>
    <w:p w14:paraId="0000001C" w14:textId="77777777" w:rsidR="003E6003" w:rsidRDefault="00C31163">
      <w:pPr>
        <w:widowControl w:val="0"/>
        <w:spacing w:line="240" w:lineRule="auto"/>
        <w:rPr>
          <w:sz w:val="26"/>
          <w:szCs w:val="26"/>
        </w:rPr>
      </w:pPr>
      <w:r>
        <w:rPr>
          <w:sz w:val="26"/>
          <w:szCs w:val="26"/>
        </w:rPr>
        <w:t xml:space="preserve">También se debe solicitar creatinina sérica para evaluar la función renal, si esta se encuentra elevada, debería efectuarse una ecografía renal para descartar alteraciones asociadas. </w:t>
      </w:r>
    </w:p>
    <w:p w14:paraId="0000001D" w14:textId="77777777" w:rsidR="003E6003" w:rsidRDefault="003E6003">
      <w:pPr>
        <w:widowControl w:val="0"/>
        <w:spacing w:line="240" w:lineRule="auto"/>
        <w:rPr>
          <w:sz w:val="26"/>
          <w:szCs w:val="26"/>
        </w:rPr>
      </w:pPr>
    </w:p>
    <w:p w14:paraId="0000001E" w14:textId="33C68F67" w:rsidR="003E6003" w:rsidRDefault="00C31163">
      <w:pPr>
        <w:widowControl w:val="0"/>
        <w:spacing w:line="240" w:lineRule="auto"/>
        <w:rPr>
          <w:sz w:val="26"/>
          <w:szCs w:val="26"/>
        </w:rPr>
      </w:pPr>
      <w:r>
        <w:rPr>
          <w:sz w:val="26"/>
          <w:szCs w:val="26"/>
        </w:rPr>
        <w:t xml:space="preserve">La glicemia es otro examen importante, ya que la presencia de hiperglucemia empeora los síntomas debido a la poliuria asociada. </w:t>
      </w:r>
    </w:p>
    <w:p w14:paraId="63783C7B" w14:textId="16B52143" w:rsidR="00DE2161" w:rsidRDefault="00DE2161">
      <w:pPr>
        <w:widowControl w:val="0"/>
        <w:spacing w:line="240" w:lineRule="auto"/>
        <w:rPr>
          <w:sz w:val="26"/>
          <w:szCs w:val="26"/>
        </w:rPr>
      </w:pPr>
    </w:p>
    <w:p w14:paraId="3DC9D45E" w14:textId="02E4E980" w:rsidR="00DE2161" w:rsidRDefault="00DE2161">
      <w:pPr>
        <w:widowControl w:val="0"/>
        <w:spacing w:line="240" w:lineRule="auto"/>
        <w:rPr>
          <w:sz w:val="26"/>
          <w:szCs w:val="26"/>
        </w:rPr>
      </w:pPr>
    </w:p>
    <w:p w14:paraId="22DE94B1" w14:textId="77777777" w:rsidR="00DE2161" w:rsidRDefault="00DE2161">
      <w:pPr>
        <w:widowControl w:val="0"/>
        <w:spacing w:line="240" w:lineRule="auto"/>
        <w:rPr>
          <w:sz w:val="26"/>
          <w:szCs w:val="26"/>
        </w:rPr>
      </w:pPr>
    </w:p>
    <w:p w14:paraId="0000001F" w14:textId="77777777" w:rsidR="003E6003" w:rsidRDefault="003E6003">
      <w:pPr>
        <w:widowControl w:val="0"/>
        <w:spacing w:line="240" w:lineRule="auto"/>
        <w:rPr>
          <w:sz w:val="26"/>
          <w:szCs w:val="26"/>
        </w:rPr>
      </w:pPr>
    </w:p>
    <w:p w14:paraId="00000020" w14:textId="77777777" w:rsidR="003E6003" w:rsidRDefault="00C31163">
      <w:pPr>
        <w:widowControl w:val="0"/>
        <w:spacing w:line="240" w:lineRule="auto"/>
        <w:rPr>
          <w:sz w:val="26"/>
          <w:szCs w:val="26"/>
        </w:rPr>
      </w:pPr>
      <w:r>
        <w:rPr>
          <w:sz w:val="26"/>
          <w:szCs w:val="26"/>
        </w:rPr>
        <w:lastRenderedPageBreak/>
        <w:t xml:space="preserve">Diapositiva 6 </w:t>
      </w:r>
    </w:p>
    <w:p w14:paraId="00000021" w14:textId="77777777" w:rsidR="003E6003" w:rsidRDefault="00C31163">
      <w:pPr>
        <w:widowControl w:val="0"/>
        <w:spacing w:line="240" w:lineRule="auto"/>
        <w:rPr>
          <w:sz w:val="26"/>
          <w:szCs w:val="26"/>
        </w:rPr>
      </w:pPr>
      <w:r>
        <w:rPr>
          <w:sz w:val="26"/>
          <w:szCs w:val="26"/>
        </w:rPr>
        <w:t>RECOMENDACIÓN 3: EXÁMENES</w:t>
      </w:r>
    </w:p>
    <w:p w14:paraId="00000022" w14:textId="77777777" w:rsidR="003E6003" w:rsidRDefault="003E6003">
      <w:pPr>
        <w:widowControl w:val="0"/>
        <w:spacing w:line="240" w:lineRule="auto"/>
        <w:rPr>
          <w:sz w:val="26"/>
          <w:szCs w:val="26"/>
        </w:rPr>
      </w:pPr>
    </w:p>
    <w:p w14:paraId="00000023" w14:textId="4E3B59D6" w:rsidR="003E6003" w:rsidRDefault="00C31163">
      <w:pPr>
        <w:widowControl w:val="0"/>
        <w:spacing w:line="240" w:lineRule="auto"/>
        <w:rPr>
          <w:sz w:val="26"/>
          <w:szCs w:val="26"/>
        </w:rPr>
      </w:pPr>
      <w:r>
        <w:rPr>
          <w:sz w:val="26"/>
          <w:szCs w:val="26"/>
        </w:rPr>
        <w:t xml:space="preserve">De acuerdo al antígeno prostático específico, la Sociedad Colombiana de Urología recomienda su realización en hombres mayores de 40 años con una expectativa de vida mayor a 10 años, sin embargo el consenso de especialistas en urología </w:t>
      </w:r>
      <w:r w:rsidR="00DE2161" w:rsidRPr="00DE2161">
        <w:rPr>
          <w:sz w:val="26"/>
          <w:szCs w:val="26"/>
          <w:highlight w:val="yellow"/>
        </w:rPr>
        <w:t>DEL HOSPITAL REGIONAL DE MONIQUIRA</w:t>
      </w:r>
      <w:r w:rsidR="00DE2161">
        <w:rPr>
          <w:sz w:val="26"/>
          <w:szCs w:val="26"/>
        </w:rPr>
        <w:t xml:space="preserve"> </w:t>
      </w:r>
      <w:r>
        <w:rPr>
          <w:sz w:val="26"/>
          <w:szCs w:val="26"/>
        </w:rPr>
        <w:t>determina la realización del PSA en todos los hombres mayores de 50 años o mayores de 40 años con antecedente familiar o personal de cáncer de próstat</w:t>
      </w:r>
      <w:r w:rsidR="00C23A8B">
        <w:rPr>
          <w:sz w:val="26"/>
          <w:szCs w:val="26"/>
        </w:rPr>
        <w:t>a</w:t>
      </w:r>
    </w:p>
    <w:p w14:paraId="00000024" w14:textId="77777777" w:rsidR="003E6003" w:rsidRDefault="003E6003">
      <w:pPr>
        <w:widowControl w:val="0"/>
        <w:spacing w:line="240" w:lineRule="auto"/>
        <w:rPr>
          <w:sz w:val="26"/>
          <w:szCs w:val="26"/>
        </w:rPr>
      </w:pPr>
    </w:p>
    <w:p w14:paraId="00000025" w14:textId="7177C6A5" w:rsidR="003E6003" w:rsidRDefault="00C31163" w:rsidP="004D31BE">
      <w:pPr>
        <w:widowControl w:val="0"/>
        <w:shd w:val="clear" w:color="auto" w:fill="FFFFFF" w:themeFill="background1"/>
        <w:spacing w:line="240" w:lineRule="auto"/>
        <w:rPr>
          <w:sz w:val="26"/>
          <w:szCs w:val="26"/>
        </w:rPr>
      </w:pPr>
      <w:r w:rsidRPr="00C23A8B">
        <w:rPr>
          <w:sz w:val="26"/>
          <w:szCs w:val="26"/>
          <w:highlight w:val="cyan"/>
        </w:rPr>
        <w:t>Si el PSA normal se realiza seguimiento anual</w:t>
      </w:r>
      <w:r>
        <w:rPr>
          <w:sz w:val="26"/>
          <w:szCs w:val="26"/>
        </w:rPr>
        <w:t xml:space="preserve">, si PSA alterado seguimiento cada 3 meses. </w:t>
      </w:r>
    </w:p>
    <w:p w14:paraId="00000026" w14:textId="77777777" w:rsidR="003E6003" w:rsidRDefault="003E6003">
      <w:pPr>
        <w:widowControl w:val="0"/>
        <w:spacing w:line="240" w:lineRule="auto"/>
        <w:rPr>
          <w:sz w:val="26"/>
          <w:szCs w:val="26"/>
        </w:rPr>
      </w:pPr>
    </w:p>
    <w:p w14:paraId="00000027" w14:textId="77777777" w:rsidR="003E6003" w:rsidRDefault="00C31163">
      <w:pPr>
        <w:widowControl w:val="0"/>
        <w:spacing w:line="240" w:lineRule="auto"/>
        <w:rPr>
          <w:sz w:val="26"/>
          <w:szCs w:val="26"/>
        </w:rPr>
      </w:pPr>
      <w:r>
        <w:rPr>
          <w:sz w:val="26"/>
          <w:szCs w:val="26"/>
        </w:rPr>
        <w:t>Diapositiva 7</w:t>
      </w:r>
    </w:p>
    <w:p w14:paraId="00000028" w14:textId="77777777" w:rsidR="003E6003" w:rsidRDefault="00C31163">
      <w:pPr>
        <w:widowControl w:val="0"/>
        <w:spacing w:line="240" w:lineRule="auto"/>
        <w:rPr>
          <w:sz w:val="26"/>
          <w:szCs w:val="26"/>
        </w:rPr>
      </w:pPr>
      <w:r>
        <w:rPr>
          <w:sz w:val="26"/>
          <w:szCs w:val="26"/>
        </w:rPr>
        <w:t>RECOMENDACIÓN 4: EXÁMENES COMPLEMENTARIOS</w:t>
      </w:r>
    </w:p>
    <w:p w14:paraId="00000029" w14:textId="77777777" w:rsidR="003E6003" w:rsidRDefault="003E6003">
      <w:pPr>
        <w:widowControl w:val="0"/>
        <w:spacing w:line="240" w:lineRule="auto"/>
        <w:rPr>
          <w:sz w:val="26"/>
          <w:szCs w:val="26"/>
        </w:rPr>
      </w:pPr>
    </w:p>
    <w:p w14:paraId="0000002A" w14:textId="77777777" w:rsidR="003E6003" w:rsidRDefault="00C31163">
      <w:pPr>
        <w:widowControl w:val="0"/>
        <w:spacing w:line="240" w:lineRule="auto"/>
        <w:rPr>
          <w:sz w:val="26"/>
          <w:szCs w:val="26"/>
        </w:rPr>
      </w:pPr>
      <w:r>
        <w:rPr>
          <w:sz w:val="26"/>
          <w:szCs w:val="26"/>
        </w:rPr>
        <w:t xml:space="preserve">El diario miccional de tres días es de gran utilidad en la evaluación de la poliuria y la nocturia, e incluye información sobre ingesta de líquidos y volúmenes miccionales. </w:t>
      </w:r>
    </w:p>
    <w:p w14:paraId="0000002B" w14:textId="77777777" w:rsidR="003E6003" w:rsidRDefault="003E6003">
      <w:pPr>
        <w:widowControl w:val="0"/>
        <w:spacing w:line="240" w:lineRule="auto"/>
        <w:rPr>
          <w:sz w:val="26"/>
          <w:szCs w:val="26"/>
        </w:rPr>
      </w:pPr>
    </w:p>
    <w:p w14:paraId="0000002C" w14:textId="77777777" w:rsidR="003E6003" w:rsidRDefault="00C31163">
      <w:pPr>
        <w:widowControl w:val="0"/>
        <w:spacing w:line="240" w:lineRule="auto"/>
        <w:rPr>
          <w:sz w:val="26"/>
          <w:szCs w:val="26"/>
        </w:rPr>
      </w:pPr>
      <w:r>
        <w:rPr>
          <w:sz w:val="26"/>
          <w:szCs w:val="26"/>
        </w:rPr>
        <w:t xml:space="preserve">El volumen de residuo </w:t>
      </w:r>
      <w:proofErr w:type="spellStart"/>
      <w:r>
        <w:rPr>
          <w:sz w:val="26"/>
          <w:szCs w:val="26"/>
        </w:rPr>
        <w:t>postmiccional</w:t>
      </w:r>
      <w:proofErr w:type="spellEnd"/>
      <w:r>
        <w:rPr>
          <w:sz w:val="26"/>
          <w:szCs w:val="26"/>
        </w:rPr>
        <w:t xml:space="preserve">, determinado por ecografía transabdominal, no está asociado únicamente con obstrucción, ya que también puede producirse por una alteración en la contractilidad de la vejiga; es útil para identificar pacientes en riesgo de retención urinaria aguda. </w:t>
      </w:r>
    </w:p>
    <w:p w14:paraId="0000002D" w14:textId="77777777" w:rsidR="003E6003" w:rsidRDefault="003E6003">
      <w:pPr>
        <w:widowControl w:val="0"/>
        <w:spacing w:line="240" w:lineRule="auto"/>
        <w:rPr>
          <w:sz w:val="26"/>
          <w:szCs w:val="26"/>
        </w:rPr>
      </w:pPr>
    </w:p>
    <w:p w14:paraId="00000030" w14:textId="77777777" w:rsidR="003E6003" w:rsidRDefault="003E6003">
      <w:pPr>
        <w:widowControl w:val="0"/>
        <w:spacing w:line="240" w:lineRule="auto"/>
        <w:rPr>
          <w:sz w:val="26"/>
          <w:szCs w:val="26"/>
        </w:rPr>
      </w:pPr>
    </w:p>
    <w:p w14:paraId="00000031" w14:textId="77777777" w:rsidR="003E6003" w:rsidRDefault="00C31163">
      <w:pPr>
        <w:widowControl w:val="0"/>
        <w:spacing w:line="240" w:lineRule="auto"/>
        <w:rPr>
          <w:sz w:val="26"/>
          <w:szCs w:val="26"/>
        </w:rPr>
      </w:pPr>
      <w:r>
        <w:rPr>
          <w:sz w:val="26"/>
          <w:szCs w:val="26"/>
        </w:rPr>
        <w:t>Diapositiva 8</w:t>
      </w:r>
    </w:p>
    <w:p w14:paraId="00000032" w14:textId="77777777" w:rsidR="003E6003" w:rsidRDefault="00C31163">
      <w:pPr>
        <w:widowControl w:val="0"/>
        <w:spacing w:line="240" w:lineRule="auto"/>
        <w:rPr>
          <w:sz w:val="26"/>
          <w:szCs w:val="26"/>
        </w:rPr>
      </w:pPr>
      <w:r>
        <w:rPr>
          <w:sz w:val="26"/>
          <w:szCs w:val="26"/>
        </w:rPr>
        <w:t>RECOMENDACIÓN 4: EXÁMENES COMPLEMENTARIOS</w:t>
      </w:r>
    </w:p>
    <w:p w14:paraId="00000033" w14:textId="77777777" w:rsidR="003E6003" w:rsidRDefault="003E6003">
      <w:pPr>
        <w:widowControl w:val="0"/>
        <w:spacing w:line="240" w:lineRule="auto"/>
        <w:rPr>
          <w:sz w:val="26"/>
          <w:szCs w:val="26"/>
        </w:rPr>
      </w:pPr>
    </w:p>
    <w:p w14:paraId="00000034" w14:textId="73C14EC9" w:rsidR="003E6003" w:rsidRDefault="00C31163">
      <w:pPr>
        <w:widowControl w:val="0"/>
        <w:spacing w:line="240" w:lineRule="auto"/>
        <w:rPr>
          <w:sz w:val="26"/>
          <w:szCs w:val="26"/>
        </w:rPr>
      </w:pPr>
      <w:r w:rsidRPr="005B1EBA">
        <w:rPr>
          <w:sz w:val="26"/>
          <w:szCs w:val="26"/>
          <w:highlight w:val="cyan"/>
        </w:rPr>
        <w:t>Ecografía de vías urinarias</w:t>
      </w:r>
      <w:r w:rsidR="005B1EBA" w:rsidRPr="005B1EBA">
        <w:rPr>
          <w:sz w:val="26"/>
          <w:szCs w:val="26"/>
          <w:highlight w:val="cyan"/>
        </w:rPr>
        <w:t xml:space="preserve"> CON medición DE RESIDUO </w:t>
      </w:r>
      <w:proofErr w:type="spellStart"/>
      <w:r w:rsidR="005B1EBA" w:rsidRPr="005B1EBA">
        <w:rPr>
          <w:sz w:val="26"/>
          <w:szCs w:val="26"/>
          <w:highlight w:val="cyan"/>
        </w:rPr>
        <w:t>POsmicc</w:t>
      </w:r>
      <w:r w:rsidR="005B1EBA">
        <w:rPr>
          <w:sz w:val="26"/>
          <w:szCs w:val="26"/>
          <w:highlight w:val="cyan"/>
        </w:rPr>
        <w:t>i</w:t>
      </w:r>
      <w:r w:rsidR="005B1EBA" w:rsidRPr="005B1EBA">
        <w:rPr>
          <w:sz w:val="26"/>
          <w:szCs w:val="26"/>
          <w:highlight w:val="cyan"/>
        </w:rPr>
        <w:t>onal</w:t>
      </w:r>
      <w:proofErr w:type="spellEnd"/>
    </w:p>
    <w:p w14:paraId="00000035" w14:textId="77777777" w:rsidR="003E6003" w:rsidRDefault="003E6003">
      <w:pPr>
        <w:widowControl w:val="0"/>
        <w:spacing w:line="240" w:lineRule="auto"/>
        <w:rPr>
          <w:sz w:val="26"/>
          <w:szCs w:val="26"/>
        </w:rPr>
      </w:pPr>
    </w:p>
    <w:p w14:paraId="00000036" w14:textId="77777777" w:rsidR="003E6003" w:rsidRDefault="00C31163">
      <w:pPr>
        <w:widowControl w:val="0"/>
        <w:spacing w:line="240" w:lineRule="auto"/>
        <w:rPr>
          <w:sz w:val="26"/>
          <w:szCs w:val="26"/>
        </w:rPr>
      </w:pPr>
      <w:r>
        <w:rPr>
          <w:sz w:val="26"/>
          <w:szCs w:val="26"/>
        </w:rPr>
        <w:t xml:space="preserve">Indicada en pacientes con síntomas urinarios moderados a severos. Aunque no es </w:t>
      </w:r>
      <w:proofErr w:type="spellStart"/>
      <w:r>
        <w:rPr>
          <w:sz w:val="26"/>
          <w:szCs w:val="26"/>
        </w:rPr>
        <w:t>mandatoria</w:t>
      </w:r>
      <w:proofErr w:type="spellEnd"/>
      <w:r>
        <w:rPr>
          <w:sz w:val="26"/>
          <w:szCs w:val="26"/>
        </w:rPr>
        <w:t xml:space="preserve"> en la evaluación diagnóstica, el panel de la guía la</w:t>
      </w:r>
    </w:p>
    <w:p w14:paraId="00000037" w14:textId="77777777" w:rsidR="003E6003" w:rsidRDefault="00C31163">
      <w:pPr>
        <w:widowControl w:val="0"/>
        <w:spacing w:line="240" w:lineRule="auto"/>
        <w:rPr>
          <w:sz w:val="26"/>
          <w:szCs w:val="26"/>
        </w:rPr>
      </w:pPr>
      <w:r>
        <w:rPr>
          <w:sz w:val="26"/>
          <w:szCs w:val="26"/>
        </w:rPr>
        <w:t>recomienda como opcional.</w:t>
      </w:r>
    </w:p>
    <w:p w14:paraId="00000038" w14:textId="77777777" w:rsidR="003E6003" w:rsidRDefault="003E6003">
      <w:pPr>
        <w:widowControl w:val="0"/>
        <w:spacing w:line="240" w:lineRule="auto"/>
        <w:rPr>
          <w:sz w:val="26"/>
          <w:szCs w:val="26"/>
        </w:rPr>
      </w:pPr>
    </w:p>
    <w:p w14:paraId="00000039" w14:textId="77777777" w:rsidR="003E6003" w:rsidRDefault="00C31163">
      <w:pPr>
        <w:widowControl w:val="0"/>
        <w:spacing w:line="240" w:lineRule="auto"/>
        <w:rPr>
          <w:sz w:val="26"/>
          <w:szCs w:val="26"/>
        </w:rPr>
      </w:pPr>
      <w:r>
        <w:rPr>
          <w:sz w:val="26"/>
          <w:szCs w:val="26"/>
        </w:rPr>
        <w:t xml:space="preserve">Ofrece datos como volumen prostático, evaluación de las vías urinarias altas en caso de complicaciones (hematuria, litiasis, infección de vías urinarias (IVU) o insuficiencia renal), así como medición de RPM. </w:t>
      </w:r>
    </w:p>
    <w:p w14:paraId="0000003A" w14:textId="77777777" w:rsidR="003E6003" w:rsidRDefault="003E6003">
      <w:pPr>
        <w:widowControl w:val="0"/>
        <w:spacing w:line="240" w:lineRule="auto"/>
        <w:rPr>
          <w:sz w:val="26"/>
          <w:szCs w:val="26"/>
        </w:rPr>
      </w:pPr>
    </w:p>
    <w:p w14:paraId="0000003B" w14:textId="77777777" w:rsidR="003E6003" w:rsidRDefault="00C31163">
      <w:pPr>
        <w:widowControl w:val="0"/>
        <w:spacing w:line="240" w:lineRule="auto"/>
        <w:rPr>
          <w:sz w:val="26"/>
          <w:szCs w:val="26"/>
        </w:rPr>
      </w:pPr>
      <w:r>
        <w:rPr>
          <w:sz w:val="26"/>
          <w:szCs w:val="26"/>
        </w:rPr>
        <w:t>Es de gran relevancia la determinación del volumen prostático es importante cuando se va a realizar un tratamiento invasivo, así como cuando se va a</w:t>
      </w:r>
    </w:p>
    <w:p w14:paraId="0000003C" w14:textId="77777777" w:rsidR="003E6003" w:rsidRDefault="00C31163">
      <w:pPr>
        <w:widowControl w:val="0"/>
        <w:spacing w:line="240" w:lineRule="auto"/>
        <w:rPr>
          <w:sz w:val="26"/>
          <w:szCs w:val="26"/>
        </w:rPr>
      </w:pPr>
      <w:r>
        <w:rPr>
          <w:sz w:val="26"/>
          <w:szCs w:val="26"/>
        </w:rPr>
        <w:t>iniciar tratamiento con inhibidores de 5 alfa reductasa (5-ARIs</w:t>
      </w:r>
      <w:r w:rsidRPr="005B1EBA">
        <w:rPr>
          <w:sz w:val="26"/>
          <w:szCs w:val="26"/>
        </w:rPr>
        <w:t>). El volumen prostático predice la progresión sintomática así como la posibilidad de complicaciones.</w:t>
      </w:r>
    </w:p>
    <w:p w14:paraId="0000003D" w14:textId="77777777" w:rsidR="003E6003" w:rsidRDefault="003E6003">
      <w:pPr>
        <w:widowControl w:val="0"/>
        <w:spacing w:line="240" w:lineRule="auto"/>
        <w:rPr>
          <w:sz w:val="26"/>
          <w:szCs w:val="26"/>
        </w:rPr>
      </w:pPr>
    </w:p>
    <w:p w14:paraId="0000003E" w14:textId="77777777" w:rsidR="003E6003" w:rsidRDefault="003E6003">
      <w:pPr>
        <w:widowControl w:val="0"/>
        <w:spacing w:line="240" w:lineRule="auto"/>
        <w:rPr>
          <w:sz w:val="26"/>
          <w:szCs w:val="26"/>
        </w:rPr>
      </w:pPr>
    </w:p>
    <w:p w14:paraId="0000003F" w14:textId="77777777" w:rsidR="003E6003" w:rsidRDefault="00C31163">
      <w:pPr>
        <w:widowControl w:val="0"/>
        <w:spacing w:line="240" w:lineRule="auto"/>
        <w:rPr>
          <w:sz w:val="26"/>
          <w:szCs w:val="26"/>
        </w:rPr>
      </w:pPr>
      <w:r>
        <w:rPr>
          <w:sz w:val="26"/>
          <w:szCs w:val="26"/>
        </w:rPr>
        <w:t xml:space="preserve">Diapositiva 9 </w:t>
      </w:r>
    </w:p>
    <w:p w14:paraId="00000040" w14:textId="77777777" w:rsidR="003E6003" w:rsidRDefault="00C31163">
      <w:pPr>
        <w:widowControl w:val="0"/>
        <w:spacing w:line="240" w:lineRule="auto"/>
        <w:rPr>
          <w:sz w:val="26"/>
          <w:szCs w:val="26"/>
        </w:rPr>
      </w:pPr>
      <w:r>
        <w:rPr>
          <w:sz w:val="26"/>
          <w:szCs w:val="26"/>
        </w:rPr>
        <w:t>RECOMENDACIÓN 5: ¿CUÁNDO REMITIR A UROLOGÍA?</w:t>
      </w:r>
    </w:p>
    <w:p w14:paraId="00000041" w14:textId="77777777" w:rsidR="003E6003" w:rsidRDefault="003E6003">
      <w:pPr>
        <w:widowControl w:val="0"/>
        <w:spacing w:line="240" w:lineRule="auto"/>
        <w:rPr>
          <w:sz w:val="26"/>
          <w:szCs w:val="26"/>
        </w:rPr>
      </w:pPr>
    </w:p>
    <w:p w14:paraId="00000042" w14:textId="27F23B59" w:rsidR="003E6003" w:rsidRDefault="00C31163">
      <w:pPr>
        <w:widowControl w:val="0"/>
        <w:spacing w:line="240" w:lineRule="auto"/>
        <w:rPr>
          <w:sz w:val="26"/>
          <w:szCs w:val="26"/>
        </w:rPr>
      </w:pPr>
      <w:r w:rsidRPr="005B1EBA">
        <w:rPr>
          <w:sz w:val="26"/>
          <w:szCs w:val="26"/>
          <w:highlight w:val="green"/>
        </w:rPr>
        <w:t>Un médico gen</w:t>
      </w:r>
      <w:r w:rsidR="005B1EBA" w:rsidRPr="005B1EBA">
        <w:rPr>
          <w:sz w:val="26"/>
          <w:szCs w:val="26"/>
          <w:highlight w:val="green"/>
        </w:rPr>
        <w:t>eral o especialista de otras áreas</w:t>
      </w:r>
      <w:r w:rsidR="005B1EBA">
        <w:rPr>
          <w:sz w:val="26"/>
          <w:szCs w:val="26"/>
        </w:rPr>
        <w:t xml:space="preserve"> </w:t>
      </w:r>
      <w:r>
        <w:rPr>
          <w:sz w:val="26"/>
          <w:szCs w:val="26"/>
        </w:rPr>
        <w:t xml:space="preserve">debe considerar la remisión a urología en varios escenarios clínicos específicos. Se debe remitir al paciente cuando los síntomas generen duda en el diagnóstico, o cuando existan hallazgos como hematuria micro o macroscópica, estrechez uretral o sospecha de cáncer de vejiga. </w:t>
      </w:r>
    </w:p>
    <w:p w14:paraId="00000043" w14:textId="77777777" w:rsidR="003E6003" w:rsidRDefault="003E6003">
      <w:pPr>
        <w:widowControl w:val="0"/>
        <w:spacing w:line="240" w:lineRule="auto"/>
        <w:rPr>
          <w:sz w:val="26"/>
          <w:szCs w:val="26"/>
        </w:rPr>
      </w:pPr>
    </w:p>
    <w:p w14:paraId="00000044" w14:textId="77777777" w:rsidR="003E6003" w:rsidRDefault="00C31163">
      <w:pPr>
        <w:widowControl w:val="0"/>
        <w:spacing w:line="240" w:lineRule="auto"/>
        <w:rPr>
          <w:sz w:val="26"/>
          <w:szCs w:val="26"/>
        </w:rPr>
      </w:pPr>
      <w:r>
        <w:rPr>
          <w:sz w:val="26"/>
          <w:szCs w:val="26"/>
        </w:rPr>
        <w:t xml:space="preserve">También es necesaria la remisión en pacientes con enfermedad neurológica, aquellos que hayan tenido cirugía pélvica radical previa o radioterapia pélvica, y pacientes con un residuo </w:t>
      </w:r>
      <w:proofErr w:type="spellStart"/>
      <w:r>
        <w:rPr>
          <w:sz w:val="26"/>
          <w:szCs w:val="26"/>
        </w:rPr>
        <w:t>postmiccional</w:t>
      </w:r>
      <w:proofErr w:type="spellEnd"/>
      <w:r>
        <w:rPr>
          <w:sz w:val="26"/>
          <w:szCs w:val="26"/>
        </w:rPr>
        <w:t xml:space="preserve"> mayor de 100 mililitros. </w:t>
      </w:r>
    </w:p>
    <w:p w14:paraId="00000045" w14:textId="77777777" w:rsidR="003E6003" w:rsidRDefault="003E6003">
      <w:pPr>
        <w:widowControl w:val="0"/>
        <w:spacing w:line="240" w:lineRule="auto"/>
        <w:rPr>
          <w:sz w:val="26"/>
          <w:szCs w:val="26"/>
        </w:rPr>
      </w:pPr>
    </w:p>
    <w:p w14:paraId="00000046" w14:textId="77777777" w:rsidR="003E6003" w:rsidRDefault="00C31163">
      <w:pPr>
        <w:widowControl w:val="0"/>
        <w:spacing w:line="240" w:lineRule="auto"/>
        <w:rPr>
          <w:sz w:val="26"/>
          <w:szCs w:val="26"/>
        </w:rPr>
      </w:pPr>
      <w:r>
        <w:rPr>
          <w:sz w:val="26"/>
          <w:szCs w:val="26"/>
        </w:rPr>
        <w:t xml:space="preserve">Además, se debe remitir a aquellos que hayan tenido procedimientos quirúrgicos previos fallidos, ya que en estos casos está indicado un estudio </w:t>
      </w:r>
      <w:proofErr w:type="spellStart"/>
      <w:r>
        <w:rPr>
          <w:sz w:val="26"/>
          <w:szCs w:val="26"/>
        </w:rPr>
        <w:t>urodinámico</w:t>
      </w:r>
      <w:proofErr w:type="spellEnd"/>
      <w:r>
        <w:rPr>
          <w:sz w:val="26"/>
          <w:szCs w:val="26"/>
        </w:rPr>
        <w:t xml:space="preserve"> para identificar si el problema es obstructivo o por hipoactividad del </w:t>
      </w:r>
      <w:proofErr w:type="spellStart"/>
      <w:r>
        <w:rPr>
          <w:sz w:val="26"/>
          <w:szCs w:val="26"/>
        </w:rPr>
        <w:t>detrusor</w:t>
      </w:r>
      <w:proofErr w:type="spellEnd"/>
      <w:r>
        <w:rPr>
          <w:sz w:val="26"/>
          <w:szCs w:val="26"/>
        </w:rPr>
        <w:t>.</w:t>
      </w:r>
    </w:p>
    <w:p w14:paraId="00000047" w14:textId="77777777" w:rsidR="003E6003" w:rsidRDefault="003E6003">
      <w:pPr>
        <w:widowControl w:val="0"/>
        <w:spacing w:line="240" w:lineRule="auto"/>
        <w:rPr>
          <w:sz w:val="26"/>
          <w:szCs w:val="26"/>
        </w:rPr>
      </w:pPr>
    </w:p>
    <w:p w14:paraId="00000048" w14:textId="77777777" w:rsidR="003E6003" w:rsidRDefault="00C31163">
      <w:pPr>
        <w:widowControl w:val="0"/>
        <w:spacing w:line="240" w:lineRule="auto"/>
        <w:rPr>
          <w:sz w:val="26"/>
          <w:szCs w:val="26"/>
        </w:rPr>
      </w:pPr>
      <w:r>
        <w:rPr>
          <w:sz w:val="26"/>
          <w:szCs w:val="26"/>
        </w:rPr>
        <w:t xml:space="preserve">Diapositiva 10 </w:t>
      </w:r>
    </w:p>
    <w:p w14:paraId="00000049" w14:textId="7FE1E8BF" w:rsidR="003E6003" w:rsidRDefault="00C31163">
      <w:pPr>
        <w:widowControl w:val="0"/>
        <w:spacing w:line="240" w:lineRule="auto"/>
        <w:rPr>
          <w:sz w:val="26"/>
          <w:szCs w:val="26"/>
        </w:rPr>
      </w:pPr>
      <w:r>
        <w:rPr>
          <w:sz w:val="26"/>
          <w:szCs w:val="26"/>
        </w:rPr>
        <w:t xml:space="preserve">RECOMENDACIÓN 6: EXÁMENES COMPLEMENTARIOS - </w:t>
      </w:r>
      <w:r w:rsidR="000A4EF5">
        <w:rPr>
          <w:sz w:val="26"/>
          <w:szCs w:val="26"/>
        </w:rPr>
        <w:t>ESPECIALISTAS</w:t>
      </w:r>
    </w:p>
    <w:p w14:paraId="0000004A" w14:textId="0CD9893D" w:rsidR="003E6003" w:rsidRDefault="00C31163">
      <w:pPr>
        <w:widowControl w:val="0"/>
        <w:spacing w:line="240" w:lineRule="auto"/>
        <w:rPr>
          <w:sz w:val="26"/>
          <w:szCs w:val="26"/>
        </w:rPr>
      </w:pPr>
      <w:r w:rsidRPr="000A4EF5">
        <w:rPr>
          <w:sz w:val="26"/>
          <w:szCs w:val="26"/>
          <w:highlight w:val="cyan"/>
        </w:rPr>
        <w:t xml:space="preserve">A nivel de </w:t>
      </w:r>
      <w:r w:rsidR="000A4EF5" w:rsidRPr="000A4EF5">
        <w:rPr>
          <w:sz w:val="26"/>
          <w:szCs w:val="26"/>
          <w:highlight w:val="cyan"/>
        </w:rPr>
        <w:t>especialidad</w:t>
      </w:r>
      <w:r w:rsidRPr="000A4EF5">
        <w:rPr>
          <w:sz w:val="26"/>
          <w:szCs w:val="26"/>
          <w:highlight w:val="cyan"/>
        </w:rPr>
        <w:t>,</w:t>
      </w:r>
      <w:r w:rsidR="000A4EF5" w:rsidRPr="000A4EF5">
        <w:rPr>
          <w:sz w:val="26"/>
          <w:szCs w:val="26"/>
          <w:highlight w:val="cyan"/>
        </w:rPr>
        <w:t xml:space="preserve"> especialmente urología</w:t>
      </w:r>
      <w:r>
        <w:rPr>
          <w:sz w:val="26"/>
          <w:szCs w:val="26"/>
        </w:rPr>
        <w:t xml:space="preserve"> los exámenes complementarios se enfocan en estudios funcionales. </w:t>
      </w:r>
    </w:p>
    <w:p w14:paraId="0000004B" w14:textId="77777777" w:rsidR="003E6003" w:rsidRDefault="003E6003">
      <w:pPr>
        <w:widowControl w:val="0"/>
        <w:spacing w:line="240" w:lineRule="auto"/>
        <w:rPr>
          <w:sz w:val="26"/>
          <w:szCs w:val="26"/>
        </w:rPr>
      </w:pPr>
    </w:p>
    <w:p w14:paraId="0000004C" w14:textId="77777777" w:rsidR="003E6003" w:rsidRDefault="00C31163">
      <w:pPr>
        <w:widowControl w:val="0"/>
        <w:spacing w:line="240" w:lineRule="auto"/>
        <w:rPr>
          <w:sz w:val="26"/>
          <w:szCs w:val="26"/>
        </w:rPr>
      </w:pPr>
      <w:r>
        <w:rPr>
          <w:sz w:val="26"/>
          <w:szCs w:val="26"/>
        </w:rPr>
        <w:t xml:space="preserve">La cistoscopia está indicada en el estudio de pacientes con hematuria, estrechez uretral o cáncer de vejiga concomitante, y también cuando se planea un manejo mínimamente invasivo o quirúrgico como parte de la planificación del procedimiento. </w:t>
      </w:r>
    </w:p>
    <w:p w14:paraId="0000004D" w14:textId="77777777" w:rsidR="003E6003" w:rsidRDefault="003E6003">
      <w:pPr>
        <w:widowControl w:val="0"/>
        <w:spacing w:line="240" w:lineRule="auto"/>
        <w:rPr>
          <w:sz w:val="26"/>
          <w:szCs w:val="26"/>
        </w:rPr>
      </w:pPr>
    </w:p>
    <w:p w14:paraId="0000004E" w14:textId="77777777" w:rsidR="003E6003" w:rsidRDefault="00C31163">
      <w:pPr>
        <w:widowControl w:val="0"/>
        <w:spacing w:line="240" w:lineRule="auto"/>
        <w:rPr>
          <w:sz w:val="26"/>
          <w:szCs w:val="26"/>
        </w:rPr>
      </w:pPr>
      <w:r>
        <w:rPr>
          <w:sz w:val="26"/>
          <w:szCs w:val="26"/>
        </w:rPr>
        <w:t xml:space="preserve">Por su parte, el estudio </w:t>
      </w:r>
      <w:proofErr w:type="spellStart"/>
      <w:r>
        <w:rPr>
          <w:sz w:val="26"/>
          <w:szCs w:val="26"/>
        </w:rPr>
        <w:t>urodinámico</w:t>
      </w:r>
      <w:proofErr w:type="spellEnd"/>
      <w:r>
        <w:rPr>
          <w:sz w:val="26"/>
          <w:szCs w:val="26"/>
        </w:rPr>
        <w:t xml:space="preserve">, específicamente los estudios de flujo-presión, son la base para la definición de obstrucción del flujo urinario de salida, caracterizado por un incremento en la presión del </w:t>
      </w:r>
      <w:proofErr w:type="spellStart"/>
      <w:r>
        <w:rPr>
          <w:sz w:val="26"/>
          <w:szCs w:val="26"/>
        </w:rPr>
        <w:t>detrusor</w:t>
      </w:r>
      <w:proofErr w:type="spellEnd"/>
      <w:r>
        <w:rPr>
          <w:sz w:val="26"/>
          <w:szCs w:val="26"/>
        </w:rPr>
        <w:t xml:space="preserve"> y una disminución del flujo. Esto es crucial para diferenciar la obstrucción de la hipoactividad del </w:t>
      </w:r>
      <w:proofErr w:type="spellStart"/>
      <w:r>
        <w:rPr>
          <w:sz w:val="26"/>
          <w:szCs w:val="26"/>
        </w:rPr>
        <w:t>detrusor</w:t>
      </w:r>
      <w:proofErr w:type="spellEnd"/>
      <w:r>
        <w:rPr>
          <w:sz w:val="26"/>
          <w:szCs w:val="26"/>
        </w:rPr>
        <w:t>, condición que en la mayoría de los casos no mejora con el tratamiento quirúrgico.</w:t>
      </w:r>
    </w:p>
    <w:p w14:paraId="0000004F" w14:textId="77777777" w:rsidR="003E6003" w:rsidRDefault="003E6003">
      <w:pPr>
        <w:widowControl w:val="0"/>
        <w:spacing w:line="240" w:lineRule="auto"/>
        <w:rPr>
          <w:sz w:val="26"/>
          <w:szCs w:val="26"/>
        </w:rPr>
      </w:pPr>
    </w:p>
    <w:p w14:paraId="00000050" w14:textId="77777777" w:rsidR="003E6003" w:rsidRDefault="00C31163">
      <w:pPr>
        <w:widowControl w:val="0"/>
        <w:spacing w:line="240" w:lineRule="auto"/>
        <w:rPr>
          <w:sz w:val="26"/>
          <w:szCs w:val="26"/>
        </w:rPr>
      </w:pPr>
      <w:r>
        <w:rPr>
          <w:sz w:val="26"/>
          <w:szCs w:val="26"/>
        </w:rPr>
        <w:t>Diapositiva 11</w:t>
      </w:r>
    </w:p>
    <w:p w14:paraId="00000051" w14:textId="77777777" w:rsidR="003E6003" w:rsidRDefault="00C31163">
      <w:pPr>
        <w:widowControl w:val="0"/>
        <w:spacing w:line="240" w:lineRule="auto"/>
        <w:rPr>
          <w:sz w:val="26"/>
          <w:szCs w:val="26"/>
        </w:rPr>
      </w:pPr>
      <w:r>
        <w:rPr>
          <w:sz w:val="26"/>
          <w:szCs w:val="26"/>
        </w:rPr>
        <w:t>RECOMENDACIÓN 7: MANEJO CONSERVADOR</w:t>
      </w:r>
    </w:p>
    <w:p w14:paraId="00000052" w14:textId="77777777" w:rsidR="003E6003" w:rsidRDefault="003E6003">
      <w:pPr>
        <w:widowControl w:val="0"/>
        <w:spacing w:line="240" w:lineRule="auto"/>
        <w:rPr>
          <w:sz w:val="26"/>
          <w:szCs w:val="26"/>
        </w:rPr>
      </w:pPr>
    </w:p>
    <w:p w14:paraId="00000053" w14:textId="7CBE9C52" w:rsidR="003E6003" w:rsidRDefault="00C31163">
      <w:pPr>
        <w:widowControl w:val="0"/>
        <w:spacing w:line="240" w:lineRule="auto"/>
        <w:rPr>
          <w:sz w:val="26"/>
          <w:szCs w:val="26"/>
        </w:rPr>
      </w:pPr>
      <w:r>
        <w:rPr>
          <w:sz w:val="26"/>
          <w:szCs w:val="26"/>
        </w:rPr>
        <w:t>El manejo conservador, también llamado vigilancia activa, está indicado en hombres con síntomas no complicados</w:t>
      </w:r>
      <w:r w:rsidR="000A4EF5">
        <w:rPr>
          <w:sz w:val="26"/>
          <w:szCs w:val="26"/>
        </w:rPr>
        <w:t xml:space="preserve"> y </w:t>
      </w:r>
      <w:r>
        <w:rPr>
          <w:sz w:val="26"/>
          <w:szCs w:val="26"/>
        </w:rPr>
        <w:t xml:space="preserve">leves. </w:t>
      </w:r>
    </w:p>
    <w:p w14:paraId="00000054" w14:textId="77777777" w:rsidR="003E6003" w:rsidRDefault="003E6003">
      <w:pPr>
        <w:widowControl w:val="0"/>
        <w:spacing w:line="240" w:lineRule="auto"/>
        <w:rPr>
          <w:sz w:val="26"/>
          <w:szCs w:val="26"/>
        </w:rPr>
      </w:pPr>
    </w:p>
    <w:p w14:paraId="00000055" w14:textId="77777777" w:rsidR="003E6003" w:rsidRDefault="00C31163">
      <w:pPr>
        <w:widowControl w:val="0"/>
        <w:spacing w:line="240" w:lineRule="auto"/>
        <w:rPr>
          <w:sz w:val="26"/>
          <w:szCs w:val="26"/>
        </w:rPr>
      </w:pPr>
      <w:r>
        <w:rPr>
          <w:sz w:val="26"/>
          <w:szCs w:val="26"/>
        </w:rPr>
        <w:t xml:space="preserve">La guía señala que, por lo general, los síntomas permanecen estables por años, y el 85% de los pacientes tendrán síntomas estables al primer año de seguimiento. </w:t>
      </w:r>
    </w:p>
    <w:p w14:paraId="00000056" w14:textId="77777777" w:rsidR="003E6003" w:rsidRDefault="003E6003">
      <w:pPr>
        <w:widowControl w:val="0"/>
        <w:spacing w:line="240" w:lineRule="auto"/>
        <w:rPr>
          <w:sz w:val="26"/>
          <w:szCs w:val="26"/>
        </w:rPr>
      </w:pPr>
    </w:p>
    <w:p w14:paraId="00000057" w14:textId="77777777" w:rsidR="003E6003" w:rsidRDefault="00C31163">
      <w:pPr>
        <w:widowControl w:val="0"/>
        <w:spacing w:line="240" w:lineRule="auto"/>
        <w:rPr>
          <w:sz w:val="26"/>
          <w:szCs w:val="26"/>
        </w:rPr>
      </w:pPr>
      <w:r>
        <w:rPr>
          <w:sz w:val="26"/>
          <w:szCs w:val="26"/>
        </w:rPr>
        <w:t xml:space="preserve">Según el protocolo de seguimiento para estos pacientes debe incluir una consulta a los 3, 6 y 12 meses, y posteriormente de forma anual si no hay cambios. Según el consenso de urología se indica que para pacientes con síntomas leves seguimiento cada 6 meses, si el valor de PSA es normal. </w:t>
      </w:r>
    </w:p>
    <w:p w14:paraId="00000058" w14:textId="77777777" w:rsidR="003E6003" w:rsidRDefault="003E6003">
      <w:pPr>
        <w:widowControl w:val="0"/>
        <w:spacing w:line="240" w:lineRule="auto"/>
        <w:rPr>
          <w:sz w:val="26"/>
          <w:szCs w:val="26"/>
        </w:rPr>
      </w:pPr>
    </w:p>
    <w:p w14:paraId="00000059" w14:textId="77777777" w:rsidR="003E6003" w:rsidRDefault="00C31163">
      <w:pPr>
        <w:widowControl w:val="0"/>
        <w:spacing w:line="240" w:lineRule="auto"/>
        <w:rPr>
          <w:sz w:val="26"/>
          <w:szCs w:val="26"/>
        </w:rPr>
      </w:pPr>
      <w:r>
        <w:rPr>
          <w:sz w:val="26"/>
          <w:szCs w:val="26"/>
        </w:rPr>
        <w:t xml:space="preserve">*Pacientes con PSA elevado seguimiento cada 3 meses evaluando progresos de los síntomas, es importante individualizar al paciente y a las manifestaciones clínicas que presente.  </w:t>
      </w:r>
    </w:p>
    <w:p w14:paraId="0000005A" w14:textId="77777777" w:rsidR="003E6003" w:rsidRDefault="003E6003">
      <w:pPr>
        <w:widowControl w:val="0"/>
        <w:spacing w:line="240" w:lineRule="auto"/>
        <w:rPr>
          <w:sz w:val="26"/>
          <w:szCs w:val="26"/>
        </w:rPr>
      </w:pPr>
    </w:p>
    <w:p w14:paraId="0000005B" w14:textId="77777777" w:rsidR="003E6003" w:rsidRDefault="003E6003">
      <w:pPr>
        <w:widowControl w:val="0"/>
        <w:spacing w:line="240" w:lineRule="auto"/>
        <w:rPr>
          <w:sz w:val="26"/>
          <w:szCs w:val="26"/>
        </w:rPr>
      </w:pPr>
    </w:p>
    <w:p w14:paraId="0000005C" w14:textId="77777777" w:rsidR="003E6003" w:rsidRDefault="00C31163">
      <w:pPr>
        <w:widowControl w:val="0"/>
        <w:spacing w:line="240" w:lineRule="auto"/>
        <w:rPr>
          <w:sz w:val="26"/>
          <w:szCs w:val="26"/>
        </w:rPr>
      </w:pPr>
      <w:r>
        <w:rPr>
          <w:sz w:val="26"/>
          <w:szCs w:val="26"/>
        </w:rPr>
        <w:t>Diapositiva 12</w:t>
      </w:r>
    </w:p>
    <w:p w14:paraId="0000005D" w14:textId="77777777" w:rsidR="003E6003" w:rsidRDefault="00C31163">
      <w:pPr>
        <w:widowControl w:val="0"/>
        <w:spacing w:line="240" w:lineRule="auto"/>
        <w:rPr>
          <w:sz w:val="26"/>
          <w:szCs w:val="26"/>
        </w:rPr>
      </w:pPr>
      <w:r>
        <w:rPr>
          <w:sz w:val="26"/>
          <w:szCs w:val="26"/>
        </w:rPr>
        <w:t>RECOMENDACIÓN 8: ASESORÍA HÁBITOS DE VIDA SALUDABLES</w:t>
      </w:r>
    </w:p>
    <w:p w14:paraId="0000005E" w14:textId="77777777" w:rsidR="003E6003" w:rsidRDefault="003E6003">
      <w:pPr>
        <w:widowControl w:val="0"/>
        <w:spacing w:line="240" w:lineRule="auto"/>
        <w:rPr>
          <w:sz w:val="26"/>
          <w:szCs w:val="26"/>
        </w:rPr>
      </w:pPr>
    </w:p>
    <w:p w14:paraId="0000005F" w14:textId="77777777" w:rsidR="003E6003" w:rsidRDefault="00C31163">
      <w:pPr>
        <w:widowControl w:val="0"/>
        <w:spacing w:line="240" w:lineRule="auto"/>
        <w:rPr>
          <w:sz w:val="26"/>
          <w:szCs w:val="26"/>
        </w:rPr>
      </w:pPr>
      <w:r>
        <w:rPr>
          <w:sz w:val="26"/>
          <w:szCs w:val="26"/>
        </w:rPr>
        <w:t xml:space="preserve">La asesoría en hábitos de vida es una parte fundamental del manejo conservador. </w:t>
      </w:r>
    </w:p>
    <w:p w14:paraId="00000060" w14:textId="77777777" w:rsidR="003E6003" w:rsidRDefault="003E6003">
      <w:pPr>
        <w:widowControl w:val="0"/>
        <w:spacing w:line="240" w:lineRule="auto"/>
        <w:rPr>
          <w:sz w:val="26"/>
          <w:szCs w:val="26"/>
        </w:rPr>
      </w:pPr>
    </w:p>
    <w:p w14:paraId="00000061" w14:textId="77777777" w:rsidR="003E6003" w:rsidRDefault="00C31163">
      <w:pPr>
        <w:widowControl w:val="0"/>
        <w:spacing w:line="240" w:lineRule="auto"/>
        <w:rPr>
          <w:sz w:val="26"/>
          <w:szCs w:val="26"/>
        </w:rPr>
      </w:pPr>
      <w:r>
        <w:rPr>
          <w:sz w:val="26"/>
          <w:szCs w:val="26"/>
        </w:rPr>
        <w:t xml:space="preserve">Se debe instruir al paciente en la reducción de la ingesta de líquidos en momentos específicos como por la noche suspendiendo la ingesta 2 horas antes de acostarse y reduciendo el total a 2 litros al día. Se recomienda reducir el consumo de sodio, evitar o moderar el consumo de cafeína, alcohol y se debe aumentar el consumo de frutas, verduras (especialmente verduras de hoja oscura). </w:t>
      </w:r>
    </w:p>
    <w:p w14:paraId="00000062" w14:textId="77777777" w:rsidR="003E6003" w:rsidRDefault="003E6003">
      <w:pPr>
        <w:widowControl w:val="0"/>
        <w:spacing w:line="240" w:lineRule="auto"/>
        <w:rPr>
          <w:sz w:val="26"/>
          <w:szCs w:val="26"/>
        </w:rPr>
      </w:pPr>
    </w:p>
    <w:p w14:paraId="00000063" w14:textId="77777777" w:rsidR="003E6003" w:rsidRDefault="00C31163">
      <w:pPr>
        <w:widowControl w:val="0"/>
        <w:spacing w:line="240" w:lineRule="auto"/>
        <w:rPr>
          <w:sz w:val="26"/>
          <w:szCs w:val="26"/>
        </w:rPr>
      </w:pPr>
      <w:r>
        <w:rPr>
          <w:sz w:val="26"/>
          <w:szCs w:val="26"/>
        </w:rPr>
        <w:t>Diapositiva 13</w:t>
      </w:r>
    </w:p>
    <w:p w14:paraId="00000064" w14:textId="77777777" w:rsidR="003E6003" w:rsidRDefault="00C31163">
      <w:pPr>
        <w:widowControl w:val="0"/>
        <w:spacing w:line="240" w:lineRule="auto"/>
        <w:rPr>
          <w:sz w:val="26"/>
          <w:szCs w:val="26"/>
        </w:rPr>
      </w:pPr>
      <w:r>
        <w:rPr>
          <w:sz w:val="26"/>
          <w:szCs w:val="26"/>
        </w:rPr>
        <w:t>RECOMENDACIÓN 8: ASESORÍA HÁBITOS DE VIDA SALUDABLES</w:t>
      </w:r>
    </w:p>
    <w:p w14:paraId="00000065" w14:textId="77777777" w:rsidR="003E6003" w:rsidRDefault="003E6003">
      <w:pPr>
        <w:widowControl w:val="0"/>
        <w:spacing w:line="240" w:lineRule="auto"/>
        <w:rPr>
          <w:sz w:val="26"/>
          <w:szCs w:val="26"/>
        </w:rPr>
      </w:pPr>
    </w:p>
    <w:p w14:paraId="00000066" w14:textId="77777777" w:rsidR="003E6003" w:rsidRDefault="00C31163">
      <w:pPr>
        <w:widowControl w:val="0"/>
        <w:spacing w:line="240" w:lineRule="auto"/>
        <w:rPr>
          <w:sz w:val="26"/>
          <w:szCs w:val="26"/>
        </w:rPr>
      </w:pPr>
      <w:r>
        <w:rPr>
          <w:sz w:val="26"/>
          <w:szCs w:val="26"/>
        </w:rPr>
        <w:t xml:space="preserve">Otras técnicas incluyen el uso de doble micción como compresión uretral para evitar el goteo </w:t>
      </w:r>
      <w:proofErr w:type="spellStart"/>
      <w:r>
        <w:rPr>
          <w:sz w:val="26"/>
          <w:szCs w:val="26"/>
        </w:rPr>
        <w:t>postmiccional</w:t>
      </w:r>
      <w:proofErr w:type="spellEnd"/>
      <w:r>
        <w:rPr>
          <w:sz w:val="26"/>
          <w:szCs w:val="26"/>
        </w:rPr>
        <w:t>, técnicas de distracción (compresión del pene, ejercicios respiratorios, presión perineal, ejercicios mentales) y reentrenamiento vesical aguantar para aumentar capacidad vesical hasta 400 ml). Se debe tratar el estreñimiento y controlar el peso, ya que la obesidad predice una respuesta más pobre a las terapias estándar.</w:t>
      </w:r>
    </w:p>
    <w:p w14:paraId="00000067" w14:textId="77777777" w:rsidR="003E6003" w:rsidRDefault="003E6003">
      <w:pPr>
        <w:widowControl w:val="0"/>
        <w:spacing w:line="240" w:lineRule="auto"/>
        <w:rPr>
          <w:sz w:val="26"/>
          <w:szCs w:val="26"/>
        </w:rPr>
      </w:pPr>
    </w:p>
    <w:p w14:paraId="00000068" w14:textId="77777777" w:rsidR="003E6003" w:rsidRDefault="00C31163">
      <w:pPr>
        <w:widowControl w:val="0"/>
        <w:spacing w:line="240" w:lineRule="auto"/>
        <w:rPr>
          <w:sz w:val="26"/>
          <w:szCs w:val="26"/>
        </w:rPr>
      </w:pPr>
      <w:r>
        <w:rPr>
          <w:sz w:val="26"/>
          <w:szCs w:val="26"/>
        </w:rPr>
        <w:t>Diapositiva 14</w:t>
      </w:r>
    </w:p>
    <w:p w14:paraId="00000069" w14:textId="77777777" w:rsidR="003E6003" w:rsidRDefault="00C31163">
      <w:pPr>
        <w:widowControl w:val="0"/>
        <w:spacing w:line="240" w:lineRule="auto"/>
        <w:rPr>
          <w:sz w:val="26"/>
          <w:szCs w:val="26"/>
        </w:rPr>
      </w:pPr>
      <w:r>
        <w:rPr>
          <w:sz w:val="26"/>
          <w:szCs w:val="26"/>
        </w:rPr>
        <w:t>RECOMENDACIÓN 9: TRATAMIENTO FARMACOLÓGICO</w:t>
      </w:r>
    </w:p>
    <w:p w14:paraId="0000006A" w14:textId="77777777" w:rsidR="003E6003" w:rsidRDefault="003E6003">
      <w:pPr>
        <w:widowControl w:val="0"/>
        <w:spacing w:line="240" w:lineRule="auto"/>
        <w:rPr>
          <w:sz w:val="26"/>
          <w:szCs w:val="26"/>
        </w:rPr>
      </w:pPr>
    </w:p>
    <w:p w14:paraId="0000006B" w14:textId="67131CED" w:rsidR="003E6003" w:rsidRDefault="00C31163">
      <w:pPr>
        <w:widowControl w:val="0"/>
        <w:spacing w:line="240" w:lineRule="auto"/>
        <w:rPr>
          <w:sz w:val="26"/>
          <w:szCs w:val="26"/>
        </w:rPr>
      </w:pPr>
      <w:r>
        <w:rPr>
          <w:sz w:val="26"/>
          <w:szCs w:val="26"/>
        </w:rPr>
        <w:t>El tratamiento farmacológico de primera línea para síntomas moderados a severos son los antagonistas alfa-1-adrenorreceptores, como tamsulosina</w:t>
      </w:r>
      <w:r w:rsidR="00370358">
        <w:rPr>
          <w:sz w:val="26"/>
          <w:szCs w:val="26"/>
        </w:rPr>
        <w:t>.</w:t>
      </w:r>
    </w:p>
    <w:p w14:paraId="0000006C" w14:textId="77777777" w:rsidR="003E6003" w:rsidRDefault="003E6003">
      <w:pPr>
        <w:widowControl w:val="0"/>
        <w:spacing w:line="240" w:lineRule="auto"/>
        <w:rPr>
          <w:sz w:val="26"/>
          <w:szCs w:val="26"/>
        </w:rPr>
      </w:pPr>
    </w:p>
    <w:p w14:paraId="0000006D" w14:textId="20FC1CF9" w:rsidR="003E6003" w:rsidRDefault="00C31163">
      <w:pPr>
        <w:widowControl w:val="0"/>
        <w:spacing w:line="240" w:lineRule="auto"/>
        <w:rPr>
          <w:sz w:val="26"/>
          <w:szCs w:val="26"/>
        </w:rPr>
      </w:pPr>
      <w:r>
        <w:rPr>
          <w:sz w:val="26"/>
          <w:szCs w:val="26"/>
        </w:rPr>
        <w:t xml:space="preserve">Estos </w:t>
      </w:r>
      <w:r w:rsidRPr="00370358">
        <w:rPr>
          <w:strike/>
          <w:sz w:val="26"/>
          <w:szCs w:val="26"/>
        </w:rPr>
        <w:t xml:space="preserve">mejoran el puntaje IPSS en un 30-40% y aumentan el flujo máximo en un 20-25%, con un inicio de acción rápido (horas o días), </w:t>
      </w:r>
      <w:r w:rsidRPr="00370358">
        <w:rPr>
          <w:sz w:val="26"/>
          <w:szCs w:val="26"/>
          <w:highlight w:val="cyan"/>
        </w:rPr>
        <w:t xml:space="preserve">Actúan en el músculo liso produciendo vasodilatación y relajación muscular, </w:t>
      </w:r>
      <w:r w:rsidR="00370358">
        <w:rPr>
          <w:sz w:val="26"/>
          <w:szCs w:val="26"/>
          <w:highlight w:val="cyan"/>
        </w:rPr>
        <w:t xml:space="preserve">PERO </w:t>
      </w:r>
      <w:r w:rsidRPr="00370358">
        <w:rPr>
          <w:sz w:val="26"/>
          <w:szCs w:val="26"/>
          <w:highlight w:val="cyan"/>
        </w:rPr>
        <w:t>No reducen el tamaño de la próstata ni previenen la retención urinaria aguda a largo plazo</w:t>
      </w:r>
      <w:r>
        <w:rPr>
          <w:sz w:val="26"/>
          <w:szCs w:val="26"/>
        </w:rPr>
        <w:t xml:space="preserve">. </w:t>
      </w:r>
    </w:p>
    <w:p w14:paraId="0000006E" w14:textId="77777777" w:rsidR="003E6003" w:rsidRDefault="003E6003">
      <w:pPr>
        <w:widowControl w:val="0"/>
        <w:spacing w:line="240" w:lineRule="auto"/>
        <w:rPr>
          <w:sz w:val="26"/>
          <w:szCs w:val="26"/>
        </w:rPr>
      </w:pPr>
    </w:p>
    <w:p w14:paraId="0000006F" w14:textId="6D860E14" w:rsidR="003E6003" w:rsidRDefault="00C31163">
      <w:pPr>
        <w:widowControl w:val="0"/>
        <w:spacing w:line="240" w:lineRule="auto"/>
        <w:rPr>
          <w:sz w:val="26"/>
          <w:szCs w:val="26"/>
        </w:rPr>
      </w:pPr>
      <w:r w:rsidRPr="00370358">
        <w:rPr>
          <w:sz w:val="26"/>
          <w:szCs w:val="26"/>
          <w:highlight w:val="cyan"/>
        </w:rPr>
        <w:lastRenderedPageBreak/>
        <w:t>** Medicamentos disponibles en el país con registro INVIMA</w:t>
      </w:r>
      <w:r w:rsidR="000A4EF5" w:rsidRPr="00370358">
        <w:rPr>
          <w:sz w:val="26"/>
          <w:szCs w:val="26"/>
          <w:highlight w:val="cyan"/>
        </w:rPr>
        <w:t xml:space="preserve"> </w:t>
      </w:r>
      <w:r w:rsidR="00370358" w:rsidRPr="00370358">
        <w:rPr>
          <w:sz w:val="26"/>
          <w:szCs w:val="26"/>
          <w:highlight w:val="cyan"/>
        </w:rPr>
        <w:t>SON lo que ustedes ven en la diapositiva</w:t>
      </w:r>
    </w:p>
    <w:p w14:paraId="00000070" w14:textId="77777777" w:rsidR="003E6003" w:rsidRDefault="003E6003">
      <w:pPr>
        <w:widowControl w:val="0"/>
        <w:spacing w:line="240" w:lineRule="auto"/>
        <w:rPr>
          <w:sz w:val="26"/>
          <w:szCs w:val="26"/>
        </w:rPr>
      </w:pPr>
    </w:p>
    <w:p w14:paraId="00000077" w14:textId="77777777" w:rsidR="003E6003" w:rsidRDefault="003E6003">
      <w:pPr>
        <w:widowControl w:val="0"/>
        <w:spacing w:line="240" w:lineRule="auto"/>
        <w:rPr>
          <w:sz w:val="26"/>
          <w:szCs w:val="26"/>
        </w:rPr>
      </w:pPr>
    </w:p>
    <w:p w14:paraId="00000078" w14:textId="77777777" w:rsidR="003E6003" w:rsidRDefault="00C31163">
      <w:pPr>
        <w:widowControl w:val="0"/>
        <w:spacing w:line="240" w:lineRule="auto"/>
        <w:rPr>
          <w:sz w:val="26"/>
          <w:szCs w:val="26"/>
        </w:rPr>
      </w:pPr>
      <w:r>
        <w:rPr>
          <w:sz w:val="26"/>
          <w:szCs w:val="26"/>
        </w:rPr>
        <w:t>Diapositiva 15</w:t>
      </w:r>
    </w:p>
    <w:p w14:paraId="00000079" w14:textId="77777777" w:rsidR="003E6003" w:rsidRDefault="00C31163">
      <w:pPr>
        <w:widowControl w:val="0"/>
        <w:spacing w:line="240" w:lineRule="auto"/>
        <w:rPr>
          <w:sz w:val="26"/>
          <w:szCs w:val="26"/>
        </w:rPr>
      </w:pPr>
      <w:r>
        <w:rPr>
          <w:sz w:val="26"/>
          <w:szCs w:val="26"/>
        </w:rPr>
        <w:t>RECOMENDACIÓN 9: TRATAMIENTO FARMACOLÓGICO</w:t>
      </w:r>
    </w:p>
    <w:p w14:paraId="0000007A" w14:textId="77777777" w:rsidR="003E6003" w:rsidRDefault="003E6003">
      <w:pPr>
        <w:widowControl w:val="0"/>
        <w:spacing w:line="240" w:lineRule="auto"/>
        <w:rPr>
          <w:sz w:val="26"/>
          <w:szCs w:val="26"/>
        </w:rPr>
      </w:pPr>
    </w:p>
    <w:p w14:paraId="0000007B" w14:textId="36525F85" w:rsidR="003E6003" w:rsidRDefault="00C31163">
      <w:pPr>
        <w:widowControl w:val="0"/>
        <w:spacing w:line="240" w:lineRule="auto"/>
        <w:rPr>
          <w:sz w:val="26"/>
          <w:szCs w:val="26"/>
        </w:rPr>
      </w:pPr>
      <w:r w:rsidRPr="00F964D1">
        <w:rPr>
          <w:sz w:val="26"/>
          <w:szCs w:val="26"/>
          <w:highlight w:val="cyan"/>
        </w:rPr>
        <w:t>Los inhibidores de la 5-alfa reductasa</w:t>
      </w:r>
      <w:r w:rsidR="00F964D1" w:rsidRPr="00F964D1">
        <w:rPr>
          <w:sz w:val="26"/>
          <w:szCs w:val="26"/>
          <w:highlight w:val="cyan"/>
        </w:rPr>
        <w:t xml:space="preserve"> COMO el </w:t>
      </w:r>
      <w:proofErr w:type="spellStart"/>
      <w:r w:rsidR="00F964D1" w:rsidRPr="00F964D1">
        <w:rPr>
          <w:sz w:val="26"/>
          <w:szCs w:val="26"/>
          <w:highlight w:val="cyan"/>
        </w:rPr>
        <w:t>dutasteride</w:t>
      </w:r>
      <w:proofErr w:type="spellEnd"/>
      <w:r>
        <w:rPr>
          <w:sz w:val="26"/>
          <w:szCs w:val="26"/>
        </w:rPr>
        <w:t>, inducen la apoptosis de las células epiteliales de la próstata, lo que lleva a una reducción en el tamaño de la próstata</w:t>
      </w:r>
      <w:r w:rsidRPr="00F964D1">
        <w:rPr>
          <w:strike/>
          <w:sz w:val="26"/>
          <w:szCs w:val="26"/>
        </w:rPr>
        <w:t xml:space="preserve">, como </w:t>
      </w:r>
      <w:proofErr w:type="spellStart"/>
      <w:r w:rsidRPr="00F964D1">
        <w:rPr>
          <w:strike/>
          <w:sz w:val="26"/>
          <w:szCs w:val="26"/>
        </w:rPr>
        <w:t>finasteride</w:t>
      </w:r>
      <w:proofErr w:type="spellEnd"/>
      <w:r w:rsidRPr="00F964D1">
        <w:rPr>
          <w:strike/>
          <w:sz w:val="26"/>
          <w:szCs w:val="26"/>
        </w:rPr>
        <w:t xml:space="preserve"> o </w:t>
      </w:r>
      <w:proofErr w:type="spellStart"/>
      <w:r w:rsidRPr="00F964D1">
        <w:rPr>
          <w:strike/>
          <w:sz w:val="26"/>
          <w:szCs w:val="26"/>
        </w:rPr>
        <w:t>dutasteride</w:t>
      </w:r>
      <w:proofErr w:type="spellEnd"/>
      <w:r>
        <w:rPr>
          <w:sz w:val="26"/>
          <w:szCs w:val="26"/>
        </w:rPr>
        <w:t xml:space="preserve">, </w:t>
      </w:r>
      <w:r w:rsidR="00F964D1" w:rsidRPr="00F964D1">
        <w:rPr>
          <w:sz w:val="26"/>
          <w:szCs w:val="26"/>
          <w:highlight w:val="cyan"/>
        </w:rPr>
        <w:t>ESTOS</w:t>
      </w:r>
      <w:r w:rsidR="00F964D1">
        <w:rPr>
          <w:sz w:val="26"/>
          <w:szCs w:val="26"/>
        </w:rPr>
        <w:t xml:space="preserve"> </w:t>
      </w:r>
      <w:r>
        <w:rPr>
          <w:sz w:val="26"/>
          <w:szCs w:val="26"/>
        </w:rPr>
        <w:t>se deben usar en hombres con próstata agrandada (</w:t>
      </w:r>
      <w:r w:rsidR="00F964D1">
        <w:rPr>
          <w:sz w:val="26"/>
          <w:szCs w:val="26"/>
        </w:rPr>
        <w:t xml:space="preserve">ES DECIR </w:t>
      </w:r>
      <w:r>
        <w:rPr>
          <w:sz w:val="26"/>
          <w:szCs w:val="26"/>
        </w:rPr>
        <w:t xml:space="preserve">&gt;40 ml) y alto riesgo de progresión, ya que reducen el riesgo de retención urinaria aguda y cirugía, pero su acción es lenta (6-12 meses). </w:t>
      </w:r>
    </w:p>
    <w:p w14:paraId="0000007C" w14:textId="77777777" w:rsidR="003E6003" w:rsidRDefault="003E6003">
      <w:pPr>
        <w:widowControl w:val="0"/>
        <w:spacing w:line="240" w:lineRule="auto"/>
        <w:rPr>
          <w:sz w:val="26"/>
          <w:szCs w:val="26"/>
        </w:rPr>
      </w:pPr>
    </w:p>
    <w:p w14:paraId="00000084" w14:textId="77777777" w:rsidR="003E6003" w:rsidRDefault="003E6003">
      <w:pPr>
        <w:widowControl w:val="0"/>
        <w:spacing w:line="240" w:lineRule="auto"/>
        <w:rPr>
          <w:sz w:val="26"/>
          <w:szCs w:val="26"/>
        </w:rPr>
      </w:pPr>
    </w:p>
    <w:p w14:paraId="00000085" w14:textId="77777777" w:rsidR="003E6003" w:rsidRDefault="00C31163">
      <w:pPr>
        <w:widowControl w:val="0"/>
        <w:spacing w:line="240" w:lineRule="auto"/>
        <w:rPr>
          <w:sz w:val="26"/>
          <w:szCs w:val="26"/>
        </w:rPr>
      </w:pPr>
      <w:r>
        <w:rPr>
          <w:sz w:val="26"/>
          <w:szCs w:val="26"/>
        </w:rPr>
        <w:t>Diapositiva 16</w:t>
      </w:r>
    </w:p>
    <w:p w14:paraId="00000086" w14:textId="77777777" w:rsidR="003E6003" w:rsidRDefault="00C31163">
      <w:pPr>
        <w:widowControl w:val="0"/>
        <w:spacing w:line="240" w:lineRule="auto"/>
        <w:rPr>
          <w:sz w:val="26"/>
          <w:szCs w:val="26"/>
        </w:rPr>
      </w:pPr>
      <w:r>
        <w:rPr>
          <w:sz w:val="26"/>
          <w:szCs w:val="26"/>
        </w:rPr>
        <w:t>RECOMENDACIÓN 9: TRATAMIENTO FARMACOLÓGICO</w:t>
      </w:r>
    </w:p>
    <w:p w14:paraId="00000087" w14:textId="77777777" w:rsidR="003E6003" w:rsidRDefault="003E6003">
      <w:pPr>
        <w:widowControl w:val="0"/>
        <w:spacing w:line="240" w:lineRule="auto"/>
        <w:rPr>
          <w:sz w:val="26"/>
          <w:szCs w:val="26"/>
        </w:rPr>
      </w:pPr>
    </w:p>
    <w:p w14:paraId="00000088" w14:textId="77777777" w:rsidR="003E6003" w:rsidRDefault="00C31163">
      <w:pPr>
        <w:widowControl w:val="0"/>
        <w:numPr>
          <w:ilvl w:val="0"/>
          <w:numId w:val="1"/>
        </w:numPr>
        <w:spacing w:line="240" w:lineRule="auto"/>
        <w:rPr>
          <w:sz w:val="26"/>
          <w:szCs w:val="26"/>
        </w:rPr>
      </w:pPr>
      <w:r>
        <w:rPr>
          <w:sz w:val="26"/>
          <w:szCs w:val="26"/>
        </w:rPr>
        <w:t>Se indica el uso de antagonistas de los receptores muscarínicos en hombres con SUOB de moderados a severos que tienen principalmente síntomas de almacenamiento en la vejiga.</w:t>
      </w:r>
    </w:p>
    <w:p w14:paraId="00000089" w14:textId="77777777" w:rsidR="003E6003" w:rsidRDefault="003E6003">
      <w:pPr>
        <w:widowControl w:val="0"/>
        <w:spacing w:line="240" w:lineRule="auto"/>
        <w:rPr>
          <w:sz w:val="26"/>
          <w:szCs w:val="26"/>
        </w:rPr>
      </w:pPr>
    </w:p>
    <w:p w14:paraId="0000008B" w14:textId="678DA3E7" w:rsidR="003E6003" w:rsidRDefault="00C31163">
      <w:pPr>
        <w:widowControl w:val="0"/>
        <w:spacing w:line="240" w:lineRule="auto"/>
        <w:rPr>
          <w:sz w:val="26"/>
          <w:szCs w:val="26"/>
        </w:rPr>
      </w:pPr>
      <w:r w:rsidRPr="00870B18">
        <w:rPr>
          <w:strike/>
          <w:sz w:val="26"/>
          <w:szCs w:val="26"/>
        </w:rPr>
        <w:t xml:space="preserve">Los medicamentos antimuscarínicos actúan relajando el músculo </w:t>
      </w:r>
      <w:proofErr w:type="spellStart"/>
      <w:r w:rsidRPr="00870B18">
        <w:rPr>
          <w:strike/>
          <w:sz w:val="26"/>
          <w:szCs w:val="26"/>
        </w:rPr>
        <w:t>detrusor</w:t>
      </w:r>
      <w:proofErr w:type="spellEnd"/>
      <w:r w:rsidRPr="00870B18">
        <w:rPr>
          <w:strike/>
          <w:sz w:val="26"/>
          <w:szCs w:val="26"/>
        </w:rPr>
        <w:t xml:space="preserve"> de la vejiga para</w:t>
      </w:r>
      <w:r>
        <w:rPr>
          <w:sz w:val="26"/>
          <w:szCs w:val="26"/>
        </w:rPr>
        <w:t xml:space="preserve"> </w:t>
      </w:r>
      <w:r w:rsidR="00870B18">
        <w:rPr>
          <w:sz w:val="26"/>
          <w:szCs w:val="26"/>
        </w:rPr>
        <w:t xml:space="preserve">ES DECIR, estos ayudan a </w:t>
      </w:r>
      <w:r>
        <w:rPr>
          <w:sz w:val="26"/>
          <w:szCs w:val="26"/>
        </w:rPr>
        <w:t xml:space="preserve">controlar la vejiga hiperactiva (urgencia, frecuencia). </w:t>
      </w:r>
    </w:p>
    <w:p w14:paraId="3FD5CCCE" w14:textId="77777777" w:rsidR="00870B18" w:rsidRDefault="00870B18">
      <w:pPr>
        <w:widowControl w:val="0"/>
        <w:spacing w:line="240" w:lineRule="auto"/>
        <w:rPr>
          <w:sz w:val="26"/>
          <w:szCs w:val="26"/>
        </w:rPr>
      </w:pPr>
    </w:p>
    <w:p w14:paraId="0000008C" w14:textId="77777777" w:rsidR="003E6003" w:rsidRDefault="00C31163">
      <w:pPr>
        <w:widowControl w:val="0"/>
        <w:spacing w:line="240" w:lineRule="auto"/>
        <w:rPr>
          <w:sz w:val="26"/>
          <w:szCs w:val="26"/>
        </w:rPr>
      </w:pPr>
      <w:r>
        <w:rPr>
          <w:sz w:val="26"/>
          <w:szCs w:val="26"/>
        </w:rPr>
        <w:t>No use medicamentos antimuscarínicos para vejiga hiperactiva en hombres con un RPM &gt; 150 ml, ya que se corre el riesgo de debilitar aún más la contracción de la vejiga, lo que puede aumentar el RPM a niveles peligrosos (&gt;300 ml) o incluso desencadenar una retención urinaria aguda</w:t>
      </w:r>
    </w:p>
    <w:p w14:paraId="0000008D" w14:textId="77777777" w:rsidR="003E6003" w:rsidRDefault="003E6003">
      <w:pPr>
        <w:widowControl w:val="0"/>
        <w:spacing w:line="240" w:lineRule="auto"/>
        <w:rPr>
          <w:sz w:val="26"/>
          <w:szCs w:val="26"/>
        </w:rPr>
      </w:pPr>
    </w:p>
    <w:p w14:paraId="0000008E" w14:textId="77777777" w:rsidR="003E6003" w:rsidRDefault="00C31163">
      <w:pPr>
        <w:widowControl w:val="0"/>
        <w:numPr>
          <w:ilvl w:val="0"/>
          <w:numId w:val="2"/>
        </w:numPr>
        <w:spacing w:line="240" w:lineRule="auto"/>
        <w:rPr>
          <w:sz w:val="26"/>
          <w:szCs w:val="26"/>
        </w:rPr>
      </w:pPr>
      <w:r>
        <w:rPr>
          <w:sz w:val="26"/>
          <w:szCs w:val="26"/>
        </w:rPr>
        <w:t xml:space="preserve">Se indica el uso de los Inhibidores de Fosfodiesterasa 5 en hombres con SOUB moderados a severos con </w:t>
      </w:r>
      <w:r w:rsidRPr="00870B18">
        <w:rPr>
          <w:strike/>
          <w:sz w:val="26"/>
          <w:szCs w:val="26"/>
        </w:rPr>
        <w:t>o sin</w:t>
      </w:r>
      <w:r>
        <w:rPr>
          <w:sz w:val="26"/>
          <w:szCs w:val="26"/>
        </w:rPr>
        <w:t xml:space="preserve"> disfunción eréctil.</w:t>
      </w:r>
    </w:p>
    <w:p w14:paraId="0000008F" w14:textId="77777777" w:rsidR="003E6003" w:rsidRDefault="003E6003">
      <w:pPr>
        <w:widowControl w:val="0"/>
        <w:spacing w:line="240" w:lineRule="auto"/>
        <w:rPr>
          <w:sz w:val="26"/>
          <w:szCs w:val="26"/>
        </w:rPr>
      </w:pPr>
    </w:p>
    <w:p w14:paraId="00000090" w14:textId="312BE6F7" w:rsidR="003E6003" w:rsidRDefault="00870B18">
      <w:pPr>
        <w:widowControl w:val="0"/>
        <w:spacing w:line="240" w:lineRule="auto"/>
        <w:rPr>
          <w:sz w:val="26"/>
          <w:szCs w:val="26"/>
        </w:rPr>
      </w:pPr>
      <w:r w:rsidRPr="00870B18">
        <w:rPr>
          <w:sz w:val="26"/>
          <w:szCs w:val="26"/>
          <w:highlight w:val="cyan"/>
        </w:rPr>
        <w:t xml:space="preserve">EN ESTOS MEDICAMENTOS </w:t>
      </w:r>
      <w:r w:rsidR="00C31163" w:rsidRPr="00870B18">
        <w:rPr>
          <w:sz w:val="26"/>
          <w:szCs w:val="26"/>
          <w:highlight w:val="cyan"/>
        </w:rPr>
        <w:t>Tener en cuenta</w:t>
      </w:r>
      <w:r w:rsidRPr="00870B18">
        <w:rPr>
          <w:sz w:val="26"/>
          <w:szCs w:val="26"/>
          <w:highlight w:val="cyan"/>
        </w:rPr>
        <w:t xml:space="preserve"> LAS CONTRAINDICACIONES descritas en la diapositiva,</w:t>
      </w:r>
      <w:r>
        <w:rPr>
          <w:sz w:val="26"/>
          <w:szCs w:val="26"/>
        </w:rPr>
        <w:t xml:space="preserve"> como por ejemplo: </w:t>
      </w:r>
    </w:p>
    <w:p w14:paraId="00000093" w14:textId="4303AEA0" w:rsidR="003E6003" w:rsidRDefault="00C31163">
      <w:pPr>
        <w:widowControl w:val="0"/>
        <w:spacing w:line="240" w:lineRule="auto"/>
        <w:rPr>
          <w:sz w:val="26"/>
          <w:szCs w:val="26"/>
        </w:rPr>
      </w:pPr>
      <w:r>
        <w:rPr>
          <w:sz w:val="26"/>
          <w:szCs w:val="26"/>
        </w:rPr>
        <w:t xml:space="preserve">● Uso concomitante </w:t>
      </w:r>
      <w:r w:rsidR="00870B18">
        <w:rPr>
          <w:sz w:val="26"/>
          <w:szCs w:val="26"/>
        </w:rPr>
        <w:t xml:space="preserve">con nitratos, </w:t>
      </w:r>
      <w:proofErr w:type="spellStart"/>
      <w:proofErr w:type="gramStart"/>
      <w:r w:rsidR="00870B18">
        <w:rPr>
          <w:sz w:val="26"/>
          <w:szCs w:val="26"/>
        </w:rPr>
        <w:t>doxazosina</w:t>
      </w:r>
      <w:proofErr w:type="spellEnd"/>
      <w:r w:rsidR="00870B18">
        <w:rPr>
          <w:sz w:val="26"/>
          <w:szCs w:val="26"/>
        </w:rPr>
        <w:t xml:space="preserve">, </w:t>
      </w:r>
      <w:r>
        <w:rPr>
          <w:sz w:val="26"/>
          <w:szCs w:val="26"/>
        </w:rPr>
        <w:t xml:space="preserve"> Angina</w:t>
      </w:r>
      <w:proofErr w:type="gramEnd"/>
      <w:r>
        <w:rPr>
          <w:sz w:val="26"/>
          <w:szCs w:val="26"/>
        </w:rPr>
        <w:t xml:space="preserve"> inestable</w:t>
      </w:r>
    </w:p>
    <w:p w14:paraId="00000094" w14:textId="77777777" w:rsidR="003E6003" w:rsidRDefault="00C31163">
      <w:pPr>
        <w:widowControl w:val="0"/>
        <w:spacing w:line="240" w:lineRule="auto"/>
        <w:rPr>
          <w:sz w:val="26"/>
          <w:szCs w:val="26"/>
        </w:rPr>
      </w:pPr>
      <w:r>
        <w:rPr>
          <w:sz w:val="26"/>
          <w:szCs w:val="26"/>
        </w:rPr>
        <w:t>● Infarto de miocardio reciente (menor de tres meses)</w:t>
      </w:r>
    </w:p>
    <w:p w14:paraId="00000095" w14:textId="77777777" w:rsidR="003E6003" w:rsidRDefault="00C31163">
      <w:pPr>
        <w:widowControl w:val="0"/>
        <w:spacing w:line="240" w:lineRule="auto"/>
        <w:rPr>
          <w:sz w:val="26"/>
          <w:szCs w:val="26"/>
        </w:rPr>
      </w:pPr>
      <w:r>
        <w:rPr>
          <w:sz w:val="26"/>
          <w:szCs w:val="26"/>
        </w:rPr>
        <w:t xml:space="preserve">● Accidente cerebrovascular </w:t>
      </w:r>
      <w:proofErr w:type="gramStart"/>
      <w:r>
        <w:rPr>
          <w:sz w:val="26"/>
          <w:szCs w:val="26"/>
        </w:rPr>
        <w:t>( menor</w:t>
      </w:r>
      <w:proofErr w:type="gramEnd"/>
      <w:r>
        <w:rPr>
          <w:sz w:val="26"/>
          <w:szCs w:val="26"/>
        </w:rPr>
        <w:t xml:space="preserve"> de seis meses)</w:t>
      </w:r>
    </w:p>
    <w:p w14:paraId="00000097" w14:textId="77777777" w:rsidR="003E6003" w:rsidRDefault="00C31163">
      <w:pPr>
        <w:widowControl w:val="0"/>
        <w:spacing w:line="240" w:lineRule="auto"/>
        <w:rPr>
          <w:sz w:val="26"/>
          <w:szCs w:val="26"/>
        </w:rPr>
      </w:pPr>
      <w:r>
        <w:rPr>
          <w:sz w:val="26"/>
          <w:szCs w:val="26"/>
        </w:rPr>
        <w:t>● Presión arterial mal controlada</w:t>
      </w:r>
    </w:p>
    <w:p w14:paraId="0000009A" w14:textId="7F4F18B9" w:rsidR="003E6003" w:rsidRDefault="003E6003">
      <w:pPr>
        <w:widowControl w:val="0"/>
        <w:spacing w:line="240" w:lineRule="auto"/>
        <w:rPr>
          <w:sz w:val="26"/>
          <w:szCs w:val="26"/>
        </w:rPr>
      </w:pPr>
    </w:p>
    <w:p w14:paraId="187460EE" w14:textId="43B73758" w:rsidR="00870B18" w:rsidRDefault="00870B18">
      <w:pPr>
        <w:widowControl w:val="0"/>
        <w:spacing w:line="240" w:lineRule="auto"/>
        <w:rPr>
          <w:sz w:val="26"/>
          <w:szCs w:val="26"/>
        </w:rPr>
      </w:pPr>
    </w:p>
    <w:p w14:paraId="66D2FD3D" w14:textId="4749F7EF" w:rsidR="00870B18" w:rsidRDefault="00870B18">
      <w:pPr>
        <w:widowControl w:val="0"/>
        <w:spacing w:line="240" w:lineRule="auto"/>
        <w:rPr>
          <w:sz w:val="26"/>
          <w:szCs w:val="26"/>
        </w:rPr>
      </w:pPr>
    </w:p>
    <w:p w14:paraId="7BB95F71" w14:textId="118F672B" w:rsidR="00870B18" w:rsidRDefault="00870B18">
      <w:pPr>
        <w:widowControl w:val="0"/>
        <w:spacing w:line="240" w:lineRule="auto"/>
        <w:rPr>
          <w:sz w:val="26"/>
          <w:szCs w:val="26"/>
        </w:rPr>
      </w:pPr>
    </w:p>
    <w:p w14:paraId="45758C80" w14:textId="499BE6F6" w:rsidR="00870B18" w:rsidRDefault="00870B18">
      <w:pPr>
        <w:widowControl w:val="0"/>
        <w:spacing w:line="240" w:lineRule="auto"/>
        <w:rPr>
          <w:sz w:val="26"/>
          <w:szCs w:val="26"/>
        </w:rPr>
      </w:pPr>
    </w:p>
    <w:p w14:paraId="7CF84ABF" w14:textId="77777777" w:rsidR="00870B18" w:rsidRDefault="00870B18">
      <w:pPr>
        <w:widowControl w:val="0"/>
        <w:spacing w:line="240" w:lineRule="auto"/>
        <w:rPr>
          <w:sz w:val="26"/>
          <w:szCs w:val="26"/>
        </w:rPr>
      </w:pPr>
    </w:p>
    <w:p w14:paraId="0000009B" w14:textId="77777777" w:rsidR="003E6003" w:rsidRDefault="00C31163">
      <w:pPr>
        <w:widowControl w:val="0"/>
        <w:spacing w:line="240" w:lineRule="auto"/>
        <w:rPr>
          <w:sz w:val="26"/>
          <w:szCs w:val="26"/>
        </w:rPr>
      </w:pPr>
      <w:r>
        <w:rPr>
          <w:sz w:val="26"/>
          <w:szCs w:val="26"/>
        </w:rPr>
        <w:lastRenderedPageBreak/>
        <w:t>Diapositiva 17</w:t>
      </w:r>
    </w:p>
    <w:p w14:paraId="0000009C" w14:textId="77777777" w:rsidR="003E6003" w:rsidRDefault="00C31163">
      <w:pPr>
        <w:widowControl w:val="0"/>
        <w:spacing w:line="240" w:lineRule="auto"/>
        <w:rPr>
          <w:sz w:val="26"/>
          <w:szCs w:val="26"/>
        </w:rPr>
      </w:pPr>
      <w:r>
        <w:rPr>
          <w:sz w:val="26"/>
          <w:szCs w:val="26"/>
        </w:rPr>
        <w:t>RECOMENDACIÓN 9: TRATAMIENTO FARMACOLÓGICO</w:t>
      </w:r>
    </w:p>
    <w:p w14:paraId="0000009D" w14:textId="77777777" w:rsidR="003E6003" w:rsidRDefault="003E6003">
      <w:pPr>
        <w:widowControl w:val="0"/>
        <w:spacing w:line="240" w:lineRule="auto"/>
        <w:rPr>
          <w:sz w:val="26"/>
          <w:szCs w:val="26"/>
        </w:rPr>
      </w:pPr>
    </w:p>
    <w:p w14:paraId="000000A3" w14:textId="77AC157C" w:rsidR="003E6003" w:rsidRDefault="008276A8">
      <w:pPr>
        <w:widowControl w:val="0"/>
        <w:spacing w:line="240" w:lineRule="auto"/>
        <w:rPr>
          <w:sz w:val="26"/>
          <w:szCs w:val="26"/>
        </w:rPr>
      </w:pPr>
      <w:r>
        <w:rPr>
          <w:sz w:val="26"/>
          <w:szCs w:val="26"/>
        </w:rPr>
        <w:t xml:space="preserve">LOS </w:t>
      </w:r>
      <w:r w:rsidR="00C31163">
        <w:rPr>
          <w:sz w:val="26"/>
          <w:szCs w:val="26"/>
        </w:rPr>
        <w:t xml:space="preserve">agonistas beta-3 </w:t>
      </w:r>
      <w:r>
        <w:rPr>
          <w:sz w:val="26"/>
          <w:szCs w:val="26"/>
        </w:rPr>
        <w:t xml:space="preserve">como el MIRABEGRON </w:t>
      </w:r>
      <w:r w:rsidR="00C31163">
        <w:rPr>
          <w:sz w:val="26"/>
          <w:szCs w:val="26"/>
        </w:rPr>
        <w:t xml:space="preserve">en hombres </w:t>
      </w:r>
      <w:r>
        <w:rPr>
          <w:sz w:val="26"/>
          <w:szCs w:val="26"/>
        </w:rPr>
        <w:t xml:space="preserve">pueden usarse si cursa </w:t>
      </w:r>
      <w:r w:rsidR="00C31163">
        <w:rPr>
          <w:sz w:val="26"/>
          <w:szCs w:val="26"/>
        </w:rPr>
        <w:t>con SUOB moderados a severos que tienen principalmente síntomas de almacenamiento</w:t>
      </w:r>
      <w:r>
        <w:rPr>
          <w:sz w:val="26"/>
          <w:szCs w:val="26"/>
        </w:rPr>
        <w:t xml:space="preserve">. </w:t>
      </w:r>
      <w:r w:rsidRPr="008276A8">
        <w:rPr>
          <w:sz w:val="26"/>
          <w:szCs w:val="26"/>
          <w:highlight w:val="cyan"/>
        </w:rPr>
        <w:t>PERO NO ES DE PRIMERA LINEA</w:t>
      </w:r>
    </w:p>
    <w:p w14:paraId="3ADE27DD" w14:textId="77777777" w:rsidR="008276A8" w:rsidRDefault="008276A8">
      <w:pPr>
        <w:widowControl w:val="0"/>
        <w:spacing w:line="240" w:lineRule="auto"/>
        <w:rPr>
          <w:sz w:val="26"/>
          <w:szCs w:val="26"/>
        </w:rPr>
      </w:pPr>
    </w:p>
    <w:p w14:paraId="000000A4" w14:textId="77777777" w:rsidR="003E6003" w:rsidRDefault="003E6003">
      <w:pPr>
        <w:widowControl w:val="0"/>
        <w:spacing w:line="240" w:lineRule="auto"/>
        <w:rPr>
          <w:sz w:val="26"/>
          <w:szCs w:val="26"/>
        </w:rPr>
      </w:pPr>
    </w:p>
    <w:p w14:paraId="000000A5" w14:textId="77777777" w:rsidR="003E6003" w:rsidRDefault="00C31163">
      <w:pPr>
        <w:widowControl w:val="0"/>
        <w:spacing w:line="240" w:lineRule="auto"/>
        <w:rPr>
          <w:sz w:val="26"/>
          <w:szCs w:val="26"/>
        </w:rPr>
      </w:pPr>
      <w:r>
        <w:rPr>
          <w:sz w:val="26"/>
          <w:szCs w:val="26"/>
        </w:rPr>
        <w:t>Diapositiva 18</w:t>
      </w:r>
    </w:p>
    <w:p w14:paraId="000000A6" w14:textId="77777777" w:rsidR="003E6003" w:rsidRDefault="00C31163">
      <w:pPr>
        <w:widowControl w:val="0"/>
        <w:spacing w:line="240" w:lineRule="auto"/>
        <w:rPr>
          <w:sz w:val="26"/>
          <w:szCs w:val="26"/>
        </w:rPr>
      </w:pPr>
      <w:r>
        <w:rPr>
          <w:sz w:val="26"/>
          <w:szCs w:val="26"/>
        </w:rPr>
        <w:t xml:space="preserve">RECOMENDACIÓN 9: TRATAMIENTO FARMACOLÓGICO COMBINADO </w:t>
      </w:r>
    </w:p>
    <w:p w14:paraId="000000A7" w14:textId="77777777" w:rsidR="003E6003" w:rsidRDefault="003E6003">
      <w:pPr>
        <w:widowControl w:val="0"/>
        <w:spacing w:line="240" w:lineRule="auto"/>
        <w:rPr>
          <w:sz w:val="26"/>
          <w:szCs w:val="26"/>
        </w:rPr>
      </w:pPr>
    </w:p>
    <w:p w14:paraId="000000A8" w14:textId="77777777" w:rsidR="003E6003" w:rsidRDefault="00C31163">
      <w:pPr>
        <w:widowControl w:val="0"/>
        <w:spacing w:line="240" w:lineRule="auto"/>
        <w:rPr>
          <w:sz w:val="26"/>
          <w:szCs w:val="26"/>
        </w:rPr>
      </w:pPr>
      <w:r>
        <w:rPr>
          <w:sz w:val="26"/>
          <w:szCs w:val="26"/>
        </w:rPr>
        <w:t xml:space="preserve">Ofrezca tratamiento combinado con un bloqueador α1 y un inhibidor de la 5α- reductasa a hombres con SUOB moderados a severos y un mayor riesgo de progresión de la enfermedad (por ejemplo, volumen de próstata&gt; 40 ml). </w:t>
      </w:r>
    </w:p>
    <w:p w14:paraId="000000A9" w14:textId="77777777" w:rsidR="003E6003" w:rsidRDefault="003E6003">
      <w:pPr>
        <w:widowControl w:val="0"/>
        <w:spacing w:line="240" w:lineRule="auto"/>
        <w:rPr>
          <w:sz w:val="26"/>
          <w:szCs w:val="26"/>
        </w:rPr>
      </w:pPr>
    </w:p>
    <w:p w14:paraId="000000AA" w14:textId="77777777" w:rsidR="003E6003" w:rsidRPr="00C31163" w:rsidRDefault="00C31163">
      <w:pPr>
        <w:widowControl w:val="0"/>
        <w:spacing w:line="240" w:lineRule="auto"/>
        <w:rPr>
          <w:strike/>
          <w:sz w:val="26"/>
          <w:szCs w:val="26"/>
        </w:rPr>
      </w:pPr>
      <w:r w:rsidRPr="00C31163">
        <w:rPr>
          <w:strike/>
          <w:sz w:val="26"/>
          <w:szCs w:val="26"/>
        </w:rPr>
        <w:t xml:space="preserve">BENEFICIO PRINCIPAL: Previene retención urinaria aguda y cirugía a largo plazo. </w:t>
      </w:r>
    </w:p>
    <w:p w14:paraId="000000AB" w14:textId="77777777" w:rsidR="003E6003" w:rsidRPr="00C31163" w:rsidRDefault="003E6003">
      <w:pPr>
        <w:widowControl w:val="0"/>
        <w:spacing w:line="240" w:lineRule="auto"/>
        <w:rPr>
          <w:strike/>
          <w:sz w:val="26"/>
          <w:szCs w:val="26"/>
        </w:rPr>
      </w:pPr>
    </w:p>
    <w:p w14:paraId="000000AC" w14:textId="77777777" w:rsidR="003E6003" w:rsidRDefault="00C31163">
      <w:pPr>
        <w:widowControl w:val="0"/>
        <w:spacing w:line="240" w:lineRule="auto"/>
        <w:rPr>
          <w:sz w:val="26"/>
          <w:szCs w:val="26"/>
        </w:rPr>
      </w:pPr>
      <w:r>
        <w:rPr>
          <w:sz w:val="26"/>
          <w:szCs w:val="26"/>
        </w:rPr>
        <w:t>Use el tratamiento combinado de un bloqueador α1 con un antagonista del receptor muscarínico en pacientes con SOUB moderados a severos si el alivio de los síntomas de almacenamiento ha sido insuficiente con la monoterapia con cualquiera de los fármacos.</w:t>
      </w:r>
    </w:p>
    <w:p w14:paraId="000000AD" w14:textId="77777777" w:rsidR="003E6003" w:rsidRDefault="003E6003">
      <w:pPr>
        <w:widowControl w:val="0"/>
        <w:spacing w:line="240" w:lineRule="auto"/>
        <w:rPr>
          <w:sz w:val="26"/>
          <w:szCs w:val="26"/>
        </w:rPr>
      </w:pPr>
    </w:p>
    <w:p w14:paraId="000000AE" w14:textId="77777777" w:rsidR="003E6003" w:rsidRPr="008276A8" w:rsidRDefault="00C31163">
      <w:pPr>
        <w:widowControl w:val="0"/>
        <w:spacing w:line="240" w:lineRule="auto"/>
        <w:rPr>
          <w:strike/>
          <w:sz w:val="26"/>
          <w:szCs w:val="26"/>
        </w:rPr>
      </w:pPr>
      <w:r w:rsidRPr="008276A8">
        <w:rPr>
          <w:strike/>
          <w:sz w:val="26"/>
          <w:szCs w:val="26"/>
        </w:rPr>
        <w:t xml:space="preserve">BENEFICIO PRINCIPAL: Controla urgencia y frecuencia. </w:t>
      </w:r>
    </w:p>
    <w:p w14:paraId="000000AF" w14:textId="77777777" w:rsidR="003E6003" w:rsidRDefault="003E6003">
      <w:pPr>
        <w:widowControl w:val="0"/>
        <w:spacing w:line="240" w:lineRule="auto"/>
        <w:rPr>
          <w:sz w:val="26"/>
          <w:szCs w:val="26"/>
        </w:rPr>
      </w:pPr>
    </w:p>
    <w:p w14:paraId="000000B0" w14:textId="77777777" w:rsidR="003E6003" w:rsidRDefault="003E6003">
      <w:pPr>
        <w:widowControl w:val="0"/>
        <w:spacing w:line="240" w:lineRule="auto"/>
        <w:rPr>
          <w:sz w:val="26"/>
          <w:szCs w:val="26"/>
        </w:rPr>
      </w:pPr>
    </w:p>
    <w:p w14:paraId="000000B1" w14:textId="77777777" w:rsidR="003E6003" w:rsidRDefault="00C31163">
      <w:pPr>
        <w:widowControl w:val="0"/>
        <w:spacing w:line="240" w:lineRule="auto"/>
        <w:rPr>
          <w:sz w:val="26"/>
          <w:szCs w:val="26"/>
        </w:rPr>
      </w:pPr>
      <w:r>
        <w:rPr>
          <w:sz w:val="26"/>
          <w:szCs w:val="26"/>
        </w:rPr>
        <w:t>Diapositiva 19</w:t>
      </w:r>
    </w:p>
    <w:p w14:paraId="000000B2" w14:textId="77777777" w:rsidR="003E6003" w:rsidRDefault="00C31163">
      <w:pPr>
        <w:widowControl w:val="0"/>
        <w:spacing w:line="240" w:lineRule="auto"/>
        <w:rPr>
          <w:sz w:val="26"/>
          <w:szCs w:val="26"/>
        </w:rPr>
      </w:pPr>
      <w:r>
        <w:rPr>
          <w:sz w:val="26"/>
          <w:szCs w:val="26"/>
        </w:rPr>
        <w:t>RECOMENDACIÓN 10: MANEJO QUIRÚRGICO</w:t>
      </w:r>
    </w:p>
    <w:p w14:paraId="000000B3" w14:textId="77777777" w:rsidR="003E6003" w:rsidRDefault="00C31163">
      <w:pPr>
        <w:widowControl w:val="0"/>
        <w:spacing w:line="240" w:lineRule="auto"/>
        <w:rPr>
          <w:sz w:val="26"/>
          <w:szCs w:val="26"/>
        </w:rPr>
      </w:pPr>
      <w:r>
        <w:rPr>
          <w:sz w:val="26"/>
          <w:szCs w:val="26"/>
        </w:rPr>
        <w:t xml:space="preserve">El manejo quirúrgico está indicado en pacientes con retención urinaria recurrente, hematuria refractaria, cálculos vesicales, dilatación del tracto urinario superior o falla renal. </w:t>
      </w:r>
    </w:p>
    <w:p w14:paraId="000000B4" w14:textId="77777777" w:rsidR="003E6003" w:rsidRDefault="003E6003">
      <w:pPr>
        <w:widowControl w:val="0"/>
        <w:spacing w:line="240" w:lineRule="auto"/>
        <w:rPr>
          <w:sz w:val="26"/>
          <w:szCs w:val="26"/>
        </w:rPr>
      </w:pPr>
    </w:p>
    <w:p w14:paraId="000000BA" w14:textId="67BE5983" w:rsidR="003E6003" w:rsidRDefault="00C31163" w:rsidP="008276A8">
      <w:pPr>
        <w:widowControl w:val="0"/>
        <w:spacing w:line="240" w:lineRule="auto"/>
        <w:rPr>
          <w:sz w:val="26"/>
          <w:szCs w:val="26"/>
        </w:rPr>
      </w:pPr>
      <w:r>
        <w:rPr>
          <w:sz w:val="26"/>
          <w:szCs w:val="26"/>
        </w:rPr>
        <w:t xml:space="preserve">La </w:t>
      </w:r>
      <w:proofErr w:type="spellStart"/>
      <w:r>
        <w:rPr>
          <w:sz w:val="26"/>
          <w:szCs w:val="26"/>
        </w:rPr>
        <w:t>guia</w:t>
      </w:r>
      <w:proofErr w:type="spellEnd"/>
      <w:r>
        <w:rPr>
          <w:sz w:val="26"/>
          <w:szCs w:val="26"/>
        </w:rPr>
        <w:t xml:space="preserve"> dice La elección de la técnica quirúrgica depende principalmente del tamaño de la próstata. </w:t>
      </w:r>
      <w:r w:rsidRPr="00C31163">
        <w:rPr>
          <w:sz w:val="26"/>
          <w:szCs w:val="26"/>
          <w:highlight w:val="cyan"/>
        </w:rPr>
        <w:t>De igual forma</w:t>
      </w:r>
      <w:r w:rsidR="008276A8" w:rsidRPr="00C31163">
        <w:rPr>
          <w:sz w:val="26"/>
          <w:szCs w:val="26"/>
          <w:highlight w:val="cyan"/>
        </w:rPr>
        <w:t xml:space="preserve">, EL CONSENSO DE ESPECIALISTAS DE UROLOGIA DEL HOSPITAL REGIONAL DE MONIQUIRA COINCIDE EN </w:t>
      </w:r>
      <w:r w:rsidRPr="00C31163">
        <w:rPr>
          <w:sz w:val="26"/>
          <w:szCs w:val="26"/>
          <w:highlight w:val="cyan"/>
        </w:rPr>
        <w:t xml:space="preserve">ESTA </w:t>
      </w:r>
      <w:proofErr w:type="gramStart"/>
      <w:r w:rsidRPr="00C31163">
        <w:rPr>
          <w:sz w:val="26"/>
          <w:szCs w:val="26"/>
          <w:highlight w:val="cyan"/>
        </w:rPr>
        <w:t>RECOMENDACIÓN</w:t>
      </w:r>
      <w:r>
        <w:rPr>
          <w:sz w:val="26"/>
          <w:szCs w:val="26"/>
        </w:rPr>
        <w:t xml:space="preserve"> ,</w:t>
      </w:r>
      <w:proofErr w:type="gramEnd"/>
      <w:r>
        <w:rPr>
          <w:sz w:val="26"/>
          <w:szCs w:val="26"/>
        </w:rPr>
        <w:t xml:space="preserve"> y se considero que: </w:t>
      </w:r>
    </w:p>
    <w:p w14:paraId="000000BB" w14:textId="77777777" w:rsidR="003E6003" w:rsidRDefault="003E6003">
      <w:pPr>
        <w:widowControl w:val="0"/>
        <w:spacing w:line="240" w:lineRule="auto"/>
        <w:rPr>
          <w:sz w:val="26"/>
          <w:szCs w:val="26"/>
        </w:rPr>
      </w:pPr>
    </w:p>
    <w:p w14:paraId="000000BD" w14:textId="77777777" w:rsidR="003E6003" w:rsidRDefault="003E6003">
      <w:pPr>
        <w:widowControl w:val="0"/>
        <w:spacing w:line="240" w:lineRule="auto"/>
        <w:rPr>
          <w:sz w:val="26"/>
          <w:szCs w:val="26"/>
        </w:rPr>
      </w:pPr>
    </w:p>
    <w:p w14:paraId="000000BE" w14:textId="77777777" w:rsidR="003E6003" w:rsidRDefault="00C31163">
      <w:pPr>
        <w:widowControl w:val="0"/>
        <w:spacing w:line="240" w:lineRule="auto"/>
        <w:rPr>
          <w:sz w:val="26"/>
          <w:szCs w:val="26"/>
        </w:rPr>
      </w:pPr>
      <w:r>
        <w:rPr>
          <w:sz w:val="26"/>
          <w:szCs w:val="26"/>
        </w:rPr>
        <w:t xml:space="preserve">Próstata &lt; 60 gr - Manejo por vía transuretral </w:t>
      </w:r>
    </w:p>
    <w:p w14:paraId="000000BF" w14:textId="77777777" w:rsidR="003E6003" w:rsidRDefault="00C31163">
      <w:pPr>
        <w:widowControl w:val="0"/>
        <w:spacing w:line="240" w:lineRule="auto"/>
        <w:rPr>
          <w:sz w:val="26"/>
          <w:szCs w:val="26"/>
        </w:rPr>
      </w:pPr>
      <w:r>
        <w:rPr>
          <w:sz w:val="26"/>
          <w:szCs w:val="26"/>
        </w:rPr>
        <w:t xml:space="preserve">Próstata &gt; 90 gr - Prostatectomía abierta </w:t>
      </w:r>
    </w:p>
    <w:p w14:paraId="000000C0" w14:textId="77777777" w:rsidR="003E6003" w:rsidRDefault="00C31163">
      <w:pPr>
        <w:widowControl w:val="0"/>
        <w:spacing w:line="240" w:lineRule="auto"/>
        <w:rPr>
          <w:sz w:val="26"/>
          <w:szCs w:val="26"/>
        </w:rPr>
      </w:pPr>
      <w:r>
        <w:rPr>
          <w:sz w:val="26"/>
          <w:szCs w:val="26"/>
        </w:rPr>
        <w:t>Próstata 60 - 90 gr - Cistoscopia para definir vía quirúrgica</w:t>
      </w:r>
    </w:p>
    <w:p w14:paraId="000000C1" w14:textId="77777777" w:rsidR="003E6003" w:rsidRDefault="003E6003">
      <w:pPr>
        <w:widowControl w:val="0"/>
        <w:spacing w:line="240" w:lineRule="auto"/>
        <w:rPr>
          <w:sz w:val="26"/>
          <w:szCs w:val="26"/>
        </w:rPr>
      </w:pPr>
    </w:p>
    <w:p w14:paraId="000000C2" w14:textId="77777777" w:rsidR="003E6003" w:rsidRDefault="00C31163">
      <w:pPr>
        <w:widowControl w:val="0"/>
        <w:spacing w:line="240" w:lineRule="auto"/>
        <w:rPr>
          <w:sz w:val="26"/>
          <w:szCs w:val="26"/>
        </w:rPr>
      </w:pPr>
      <w:r>
        <w:rPr>
          <w:sz w:val="26"/>
          <w:szCs w:val="26"/>
        </w:rPr>
        <w:t>1 gramo de próstata = 1 mililitro de volumen</w:t>
      </w:r>
    </w:p>
    <w:p w14:paraId="000000C3" w14:textId="77777777" w:rsidR="003E6003" w:rsidRDefault="003E6003">
      <w:pPr>
        <w:widowControl w:val="0"/>
        <w:spacing w:line="240" w:lineRule="auto"/>
        <w:rPr>
          <w:sz w:val="26"/>
          <w:szCs w:val="26"/>
        </w:rPr>
      </w:pPr>
    </w:p>
    <w:sectPr w:rsidR="003E600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E018A26-A1C7-4021-B3CC-E153AECBEADF}"/>
  </w:font>
  <w:font w:name="Cambria">
    <w:panose1 w:val="02040503050406030204"/>
    <w:charset w:val="00"/>
    <w:family w:val="roman"/>
    <w:pitch w:val="variable"/>
    <w:sig w:usb0="E00006FF" w:usb1="420024FF" w:usb2="02000000" w:usb3="00000000" w:csb0="0000019F" w:csb1="00000000"/>
    <w:embedRegular r:id="rId2" w:fontKey="{40C74439-201D-4405-A00E-A16ABFEDCBE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24F35"/>
    <w:multiLevelType w:val="multilevel"/>
    <w:tmpl w:val="F62A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175CC"/>
    <w:multiLevelType w:val="multilevel"/>
    <w:tmpl w:val="BBCC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B94FC8"/>
    <w:multiLevelType w:val="multilevel"/>
    <w:tmpl w:val="E0442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DFB142D"/>
    <w:multiLevelType w:val="multilevel"/>
    <w:tmpl w:val="5A1C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133C1A"/>
    <w:multiLevelType w:val="multilevel"/>
    <w:tmpl w:val="E89A0A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003"/>
    <w:rsid w:val="000A4EF5"/>
    <w:rsid w:val="00370358"/>
    <w:rsid w:val="003E6003"/>
    <w:rsid w:val="004D31BE"/>
    <w:rsid w:val="005B1EBA"/>
    <w:rsid w:val="0067023C"/>
    <w:rsid w:val="006B62A0"/>
    <w:rsid w:val="008276A8"/>
    <w:rsid w:val="00870B18"/>
    <w:rsid w:val="008D1139"/>
    <w:rsid w:val="00C23A8B"/>
    <w:rsid w:val="00C31163"/>
    <w:rsid w:val="00C53CAB"/>
    <w:rsid w:val="00DE2161"/>
    <w:rsid w:val="00F964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4F936"/>
  <w15:docId w15:val="{E61C3463-1A53-4482-8F5E-ADBFCC5B1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6B62A0"/>
    <w:pPr>
      <w:spacing w:before="100" w:beforeAutospacing="1" w:after="100" w:afterAutospacing="1" w:line="240" w:lineRule="auto"/>
    </w:pPr>
    <w:rPr>
      <w:rFonts w:ascii="Times New Roman" w:eastAsia="Times New Roman" w:hAnsi="Times New Roman" w:cs="Times New Roman"/>
      <w:sz w:val="24"/>
      <w:szCs w:val="24"/>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89327">
      <w:bodyDiv w:val="1"/>
      <w:marLeft w:val="0"/>
      <w:marRight w:val="0"/>
      <w:marTop w:val="0"/>
      <w:marBottom w:val="0"/>
      <w:divBdr>
        <w:top w:val="none" w:sz="0" w:space="0" w:color="auto"/>
        <w:left w:val="none" w:sz="0" w:space="0" w:color="auto"/>
        <w:bottom w:val="none" w:sz="0" w:space="0" w:color="auto"/>
        <w:right w:val="none" w:sz="0" w:space="0" w:color="auto"/>
      </w:divBdr>
    </w:div>
    <w:div w:id="18588107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2004</Words>
  <Characters>11025</Characters>
  <Application>Microsoft Office Word</Application>
  <DocSecurity>0</DocSecurity>
  <Lines>91</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LEIDY TOLEDO ROJAS</dc:creator>
  <cp:lastModifiedBy>LEIDY TOLEDO ROJAS</cp:lastModifiedBy>
  <cp:revision>2</cp:revision>
  <dcterms:created xsi:type="dcterms:W3CDTF">2026-05-08T11:52:00Z</dcterms:created>
  <dcterms:modified xsi:type="dcterms:W3CDTF">2026-05-08T11:52:00Z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-1062735231</vt:i4>
  </property>
</Properties>
</file>