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EF7D" w14:textId="77777777" w:rsidR="005B524B" w:rsidRDefault="005B524B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INFORME TÉCNICO DE EVALUACIÓN, SELECCIÓN Y ADOPCIÓN DE GUÍA DE PRÁCTICA CLÍNICA PARA EL MANEJO DE LA LUMBALGIA EN UN HOSPITAL DE SEGUNDO NIVEL DE COMPLEJIDAD</w:t>
      </w:r>
    </w:p>
    <w:p w14:paraId="7A9B6480" w14:textId="77777777" w:rsidR="005B524B" w:rsidRDefault="005B524B">
      <w:pPr>
        <w:pStyle w:val="Ttulo2"/>
        <w:rPr>
          <w:rFonts w:eastAsia="Times New Roman"/>
        </w:rPr>
      </w:pPr>
      <w:r>
        <w:rPr>
          <w:rFonts w:eastAsia="Times New Roman"/>
        </w:rPr>
        <w:t>1. OBJETIVO</w:t>
      </w:r>
    </w:p>
    <w:p w14:paraId="366B7764" w14:textId="77777777" w:rsidR="005B524B" w:rsidRDefault="005B524B">
      <w:pPr>
        <w:pStyle w:val="NormalWeb"/>
      </w:pPr>
      <w:r>
        <w:t>Realizar la evaluación crítica de guías de práctica clínica disponibles para el diagnóstico y tratamiento de la lumbalgia mediante la herramienta AGREE II, con el fin de seleccionar la guía con mejor calidad metodológica para su adopción institucional y adaptación al contexto asistencial del Hospital.</w:t>
      </w:r>
    </w:p>
    <w:p w14:paraId="53CFF897" w14:textId="77777777" w:rsidR="005B524B" w:rsidRDefault="005B524B">
      <w:pPr>
        <w:pStyle w:val="NormalWeb"/>
      </w:pPr>
      <w:r>
        <w:t>La presente evaluación busca fortalecer la atención integral de los pacientes con lumbalgia en los diferentes servicios institucionales, incluyendo urgencias, consulta externa, atención primaria, consulta rural, medicina familiar, fisiatría, ortopedia y neurocirugía, promoviendo una atención basada en evidencia, optimizando el uso de recursos diagnósticos y terapéuticos, y disminuyendo la variabilidad clínica.</w:t>
      </w:r>
    </w:p>
    <w:p w14:paraId="6C809AB6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659FBA" wp14:editId="5AE821F7">
                <wp:extent cx="5400040" cy="1270"/>
                <wp:effectExtent l="0" t="31750" r="0" b="36830"/>
                <wp:docPr id="83549500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951AD" id="Rectá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BC1A80" w14:textId="77777777" w:rsidR="005B524B" w:rsidRDefault="005B524B">
      <w:pPr>
        <w:pStyle w:val="Ttulo1"/>
        <w:rPr>
          <w:rFonts w:eastAsia="Times New Roman"/>
        </w:rPr>
      </w:pPr>
      <w:r>
        <w:rPr>
          <w:rFonts w:eastAsia="Times New Roman"/>
        </w:rPr>
        <w:t>2. JUSTIFICACIÓN</w:t>
      </w:r>
    </w:p>
    <w:p w14:paraId="77516701" w14:textId="77777777" w:rsidR="005B524B" w:rsidRDefault="005B524B">
      <w:pPr>
        <w:pStyle w:val="NormalWeb"/>
      </w:pPr>
      <w:r>
        <w:t>La lumbalgia constituye una de las principales causas de consulta médica, discapacidad laboral y utilización de recursos sanitarios a nivel mundial.</w:t>
      </w:r>
    </w:p>
    <w:p w14:paraId="08E98EA6" w14:textId="77777777" w:rsidR="005B524B" w:rsidRDefault="005B524B">
      <w:pPr>
        <w:pStyle w:val="NormalWeb"/>
      </w:pPr>
      <w:r>
        <w:t>En la práctica clínica se observa una alta variabilidad en los procesos diagnósticos y terapéuticos, con tendencia al uso excesivo de estudios de imagen, remisiones tempranas a especialidades y utilización de intervenciones de bajo valor clínico.</w:t>
      </w:r>
    </w:p>
    <w:p w14:paraId="03121E65" w14:textId="77777777" w:rsidR="005B524B" w:rsidRDefault="005B524B">
      <w:pPr>
        <w:pStyle w:val="NormalWeb"/>
      </w:pPr>
      <w:r>
        <w:t>La adopción de una guía de práctica clínica basada en evidencia busca:</w:t>
      </w:r>
    </w:p>
    <w:p w14:paraId="6924C2FC" w14:textId="77777777" w:rsidR="005B524B" w:rsidRDefault="005B524B" w:rsidP="005B5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Estandarizar la atención.</w:t>
      </w:r>
    </w:p>
    <w:p w14:paraId="42592387" w14:textId="77777777" w:rsidR="005B524B" w:rsidRDefault="005B524B" w:rsidP="005B5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Favorecer el manejo desde atención primaria.</w:t>
      </w:r>
    </w:p>
    <w:p w14:paraId="70B4C4B0" w14:textId="77777777" w:rsidR="005B524B" w:rsidRDefault="005B524B" w:rsidP="005B5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Reducir la solicitud innecesaria de resonancias magnéticas y tomografías.</w:t>
      </w:r>
    </w:p>
    <w:p w14:paraId="61EA7B30" w14:textId="77777777" w:rsidR="005B524B" w:rsidRDefault="005B524B" w:rsidP="005B5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Mejorar la pertinencia de la remisión a ortopedia, neurocirugía y fisiatría.</w:t>
      </w:r>
    </w:p>
    <w:p w14:paraId="7B84C5D0" w14:textId="77777777" w:rsidR="005B524B" w:rsidRDefault="005B524B" w:rsidP="005B5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Optimizar el uso de los recursos institucionales.</w:t>
      </w:r>
    </w:p>
    <w:p w14:paraId="2FA5B38D" w14:textId="77777777" w:rsidR="005B524B" w:rsidRDefault="005B524B" w:rsidP="005B5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Mejorar los desenlaces funcionales de los pacientes.</w:t>
      </w:r>
    </w:p>
    <w:p w14:paraId="02E5ECC9" w14:textId="77777777" w:rsidR="005B524B" w:rsidRDefault="005B524B" w:rsidP="005B5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Fortalecer el modelo biopsicosocial recomendado por la evidencia actual.</w:t>
      </w:r>
    </w:p>
    <w:p w14:paraId="49B99636" w14:textId="77777777" w:rsidR="005B524B" w:rsidRDefault="005B524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AD6E3F" wp14:editId="1F33438A">
                <wp:extent cx="5400040" cy="1270"/>
                <wp:effectExtent l="0" t="31750" r="0" b="36830"/>
                <wp:docPr id="1443256790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EBDD2" id="Rectá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6FC4827D" w14:textId="77777777" w:rsidR="005B524B" w:rsidRDefault="005B524B">
      <w:pPr>
        <w:pStyle w:val="Ttulo1"/>
        <w:rPr>
          <w:rFonts w:eastAsia="Times New Roman"/>
        </w:rPr>
      </w:pPr>
      <w:r>
        <w:rPr>
          <w:rFonts w:eastAsia="Times New Roman"/>
        </w:rPr>
        <w:t>3. CONTEXTO INSTITUCIONAL</w:t>
      </w:r>
    </w:p>
    <w:p w14:paraId="60CEE354" w14:textId="77777777" w:rsidR="005B524B" w:rsidRDefault="005B524B">
      <w:pPr>
        <w:pStyle w:val="NormalWeb"/>
      </w:pPr>
      <w:r>
        <w:t>La evaluación se realiza para un hospital de segundo nivel que dispone de:</w:t>
      </w:r>
    </w:p>
    <w:p w14:paraId="7BF3F956" w14:textId="77777777" w:rsidR="005B524B" w:rsidRDefault="005B524B" w:rsidP="005B5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Servicio de urgencias.</w:t>
      </w:r>
    </w:p>
    <w:p w14:paraId="59B140B1" w14:textId="77777777" w:rsidR="005B524B" w:rsidRDefault="005B524B" w:rsidP="005B5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Consulta externa general.</w:t>
      </w:r>
    </w:p>
    <w:p w14:paraId="000BA816" w14:textId="77777777" w:rsidR="005B524B" w:rsidRDefault="005B524B" w:rsidP="005B5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Consulta rural.</w:t>
      </w:r>
    </w:p>
    <w:p w14:paraId="5A3C090A" w14:textId="77777777" w:rsidR="005B524B" w:rsidRDefault="005B524B" w:rsidP="005B5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Medicina familiar.</w:t>
      </w:r>
    </w:p>
    <w:p w14:paraId="4C33B58D" w14:textId="77777777" w:rsidR="005B524B" w:rsidRDefault="005B524B" w:rsidP="005B5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Medicina física y rehabilitación.</w:t>
      </w:r>
    </w:p>
    <w:p w14:paraId="76C8BF6E" w14:textId="77777777" w:rsidR="005B524B" w:rsidRDefault="005B524B" w:rsidP="005B5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Ortopedia.</w:t>
      </w:r>
    </w:p>
    <w:p w14:paraId="0E64DDAB" w14:textId="77777777" w:rsidR="005B524B" w:rsidRDefault="005B524B" w:rsidP="005B5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Neurocirugía.</w:t>
      </w:r>
    </w:p>
    <w:p w14:paraId="4E98A297" w14:textId="77777777" w:rsidR="005B524B" w:rsidRDefault="005B524B" w:rsidP="005B5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Radiografía convencional.</w:t>
      </w:r>
    </w:p>
    <w:p w14:paraId="50A260E8" w14:textId="77777777" w:rsidR="005B524B" w:rsidRDefault="005B524B" w:rsidP="005B5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Tomografía computarizada.</w:t>
      </w:r>
    </w:p>
    <w:p w14:paraId="006C8D43" w14:textId="77777777" w:rsidR="005B524B" w:rsidRDefault="005B524B" w:rsidP="005B5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Resonancia magnética.</w:t>
      </w:r>
    </w:p>
    <w:p w14:paraId="5F73E2CF" w14:textId="77777777" w:rsidR="005B524B" w:rsidRDefault="005B524B">
      <w:pPr>
        <w:pStyle w:val="NormalWeb"/>
      </w:pPr>
      <w:r>
        <w:t>El modelo asistencial institucional prioriza el fortalecimiento de la atención primaria y la gestión adecuada de remisiones hacia servicios especializados.</w:t>
      </w:r>
    </w:p>
    <w:p w14:paraId="7BD10420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6B5243" wp14:editId="36966B1B">
                <wp:extent cx="5400040" cy="1270"/>
                <wp:effectExtent l="0" t="31750" r="0" b="36830"/>
                <wp:docPr id="407052647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F1722" id="Rectá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983EA2" w14:textId="77777777" w:rsidR="005B524B" w:rsidRDefault="005B524B">
      <w:pPr>
        <w:pStyle w:val="Ttulo1"/>
        <w:rPr>
          <w:rFonts w:eastAsia="Times New Roman"/>
        </w:rPr>
      </w:pPr>
      <w:r>
        <w:rPr>
          <w:rFonts w:eastAsia="Times New Roman"/>
        </w:rPr>
        <w:t>4. GUÍAS EVALUADAS</w:t>
      </w:r>
    </w:p>
    <w:p w14:paraId="17A77BD6" w14:textId="77777777" w:rsidR="005B524B" w:rsidRDefault="005B524B">
      <w:pPr>
        <w:pStyle w:val="Ttulo2"/>
        <w:rPr>
          <w:rFonts w:eastAsia="Times New Roman"/>
        </w:rPr>
      </w:pPr>
      <w:r>
        <w:rPr>
          <w:rFonts w:eastAsia="Times New Roman"/>
        </w:rPr>
        <w:t>Guía 1</w:t>
      </w:r>
    </w:p>
    <w:p w14:paraId="0F466FF3" w14:textId="77777777" w:rsidR="005B524B" w:rsidRDefault="005B524B">
      <w:pPr>
        <w:pStyle w:val="NormalWeb"/>
      </w:pPr>
      <w:proofErr w:type="spellStart"/>
      <w:r>
        <w:t>National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and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Excellence</w:t>
      </w:r>
      <w:proofErr w:type="spellEnd"/>
      <w:r>
        <w:t xml:space="preserve"> (NICE).</w:t>
      </w:r>
    </w:p>
    <w:p w14:paraId="1C418164" w14:textId="77777777" w:rsidR="005B524B" w:rsidRDefault="005B524B">
      <w:pPr>
        <w:pStyle w:val="NormalWeb"/>
      </w:pPr>
      <w:proofErr w:type="spellStart"/>
      <w:r>
        <w:t>Low</w:t>
      </w:r>
      <w:proofErr w:type="spellEnd"/>
      <w:r>
        <w:t xml:space="preserve"> Back </w:t>
      </w:r>
      <w:proofErr w:type="spellStart"/>
      <w:r>
        <w:t>Pain</w:t>
      </w:r>
      <w:proofErr w:type="spellEnd"/>
      <w:r>
        <w:t xml:space="preserve"> and </w:t>
      </w:r>
      <w:proofErr w:type="spellStart"/>
      <w:r>
        <w:t>Sciatica</w:t>
      </w:r>
      <w:proofErr w:type="spellEnd"/>
      <w:r>
        <w:t xml:space="preserve"> in </w:t>
      </w:r>
      <w:proofErr w:type="spellStart"/>
      <w:r>
        <w:t>Over</w:t>
      </w:r>
      <w:proofErr w:type="spellEnd"/>
      <w:r>
        <w:t xml:space="preserve"> 16s: </w:t>
      </w:r>
      <w:proofErr w:type="spellStart"/>
      <w:r>
        <w:t>Assessment</w:t>
      </w:r>
      <w:proofErr w:type="spellEnd"/>
      <w:r>
        <w:t xml:space="preserve"> and Management (NG59).</w:t>
      </w:r>
    </w:p>
    <w:p w14:paraId="180D9114" w14:textId="77777777" w:rsidR="005B524B" w:rsidRDefault="005B524B">
      <w:pPr>
        <w:pStyle w:val="NormalWeb"/>
      </w:pPr>
      <w:r>
        <w:t>Actualización vigente: 2020.</w:t>
      </w:r>
    </w:p>
    <w:p w14:paraId="5B836523" w14:textId="77777777" w:rsidR="005B524B" w:rsidRDefault="005B524B">
      <w:pPr>
        <w:pStyle w:val="NormalWeb"/>
      </w:pPr>
      <w:r>
        <w:t>País de origen: Reino Unido.</w:t>
      </w:r>
    </w:p>
    <w:p w14:paraId="5ACBC462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3F930F" wp14:editId="297091E9">
                <wp:extent cx="5400040" cy="1270"/>
                <wp:effectExtent l="0" t="31750" r="0" b="36830"/>
                <wp:docPr id="1848283077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D5A13" id="Rectá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39C72E" w14:textId="77777777" w:rsidR="005B524B" w:rsidRDefault="005B524B">
      <w:pPr>
        <w:pStyle w:val="Ttulo2"/>
        <w:rPr>
          <w:rFonts w:eastAsia="Times New Roman"/>
        </w:rPr>
      </w:pPr>
      <w:r>
        <w:rPr>
          <w:rFonts w:eastAsia="Times New Roman"/>
        </w:rPr>
        <w:t>Guía 2</w:t>
      </w:r>
    </w:p>
    <w:p w14:paraId="019B18EA" w14:textId="77777777" w:rsidR="005B524B" w:rsidRDefault="005B524B">
      <w:pPr>
        <w:pStyle w:val="NormalWeb"/>
      </w:pPr>
      <w:proofErr w:type="spellStart"/>
      <w:r>
        <w:t>Department</w:t>
      </w:r>
      <w:proofErr w:type="spellEnd"/>
      <w:r>
        <w:t xml:space="preserve"> of </w:t>
      </w:r>
      <w:proofErr w:type="spellStart"/>
      <w:r>
        <w:t>Veterans</w:t>
      </w:r>
      <w:proofErr w:type="spellEnd"/>
      <w:r>
        <w:t xml:space="preserve"> </w:t>
      </w:r>
      <w:proofErr w:type="spellStart"/>
      <w:r>
        <w:t>Affairs</w:t>
      </w:r>
      <w:proofErr w:type="spellEnd"/>
      <w:r>
        <w:t xml:space="preserve"> / </w:t>
      </w:r>
      <w:proofErr w:type="spellStart"/>
      <w:r>
        <w:t>Department</w:t>
      </w:r>
      <w:proofErr w:type="spellEnd"/>
      <w:r>
        <w:t xml:space="preserve"> of </w:t>
      </w:r>
      <w:proofErr w:type="spellStart"/>
      <w:r>
        <w:t>Defense</w:t>
      </w:r>
      <w:proofErr w:type="spellEnd"/>
      <w:r>
        <w:t xml:space="preserve"> (VA/</w:t>
      </w:r>
      <w:proofErr w:type="spellStart"/>
      <w:r>
        <w:t>DoD</w:t>
      </w:r>
      <w:proofErr w:type="spellEnd"/>
      <w:r>
        <w:t>).</w:t>
      </w:r>
    </w:p>
    <w:p w14:paraId="36177D62" w14:textId="77777777" w:rsidR="005B524B" w:rsidRDefault="005B524B">
      <w:pPr>
        <w:pStyle w:val="NormalWeb"/>
      </w:pPr>
      <w:proofErr w:type="spellStart"/>
      <w:r>
        <w:t>Clinical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Guideline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Diagnosis and </w:t>
      </w:r>
      <w:proofErr w:type="spellStart"/>
      <w:r>
        <w:t>Treatment</w:t>
      </w:r>
      <w:proofErr w:type="spellEnd"/>
      <w:r>
        <w:t xml:space="preserve"> of </w:t>
      </w:r>
      <w:proofErr w:type="spellStart"/>
      <w:r>
        <w:t>Low</w:t>
      </w:r>
      <w:proofErr w:type="spellEnd"/>
      <w:r>
        <w:t xml:space="preserve"> Back </w:t>
      </w:r>
      <w:proofErr w:type="spellStart"/>
      <w:r>
        <w:t>Pain</w:t>
      </w:r>
      <w:proofErr w:type="spellEnd"/>
      <w:r>
        <w:t>.</w:t>
      </w:r>
    </w:p>
    <w:p w14:paraId="3E31F12B" w14:textId="77777777" w:rsidR="005B524B" w:rsidRDefault="005B524B">
      <w:pPr>
        <w:pStyle w:val="NormalWeb"/>
      </w:pPr>
      <w:r>
        <w:t>Versión 3.0.</w:t>
      </w:r>
    </w:p>
    <w:p w14:paraId="1CFDD863" w14:textId="77777777" w:rsidR="005B524B" w:rsidRDefault="005B524B">
      <w:pPr>
        <w:pStyle w:val="NormalWeb"/>
      </w:pPr>
      <w:r>
        <w:t>Publicación: 2022.</w:t>
      </w:r>
    </w:p>
    <w:p w14:paraId="516318AB" w14:textId="77777777" w:rsidR="005B524B" w:rsidRDefault="005B524B">
      <w:pPr>
        <w:pStyle w:val="NormalWeb"/>
      </w:pPr>
      <w:r>
        <w:t>País de origen: Estados Unidos.</w:t>
      </w:r>
    </w:p>
    <w:p w14:paraId="61B635A1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F95B33" wp14:editId="1B085EF7">
                <wp:extent cx="5400040" cy="1270"/>
                <wp:effectExtent l="0" t="31750" r="0" b="36830"/>
                <wp:docPr id="154670408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907A54" id="Rectá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3455B4" w14:textId="77777777" w:rsidR="005B524B" w:rsidRDefault="005B524B">
      <w:pPr>
        <w:pStyle w:val="Ttulo1"/>
        <w:rPr>
          <w:rFonts w:eastAsia="Times New Roman"/>
        </w:rPr>
      </w:pPr>
      <w:r>
        <w:rPr>
          <w:rFonts w:eastAsia="Times New Roman"/>
        </w:rPr>
        <w:t>5. METODOLOGÍA</w:t>
      </w:r>
    </w:p>
    <w:p w14:paraId="40C8A9AA" w14:textId="77777777" w:rsidR="005B524B" w:rsidRDefault="005B524B">
      <w:pPr>
        <w:pStyle w:val="NormalWeb"/>
      </w:pPr>
      <w:r>
        <w:t>Se utilizó el instrumento AGREE II (</w:t>
      </w:r>
      <w:proofErr w:type="spellStart"/>
      <w:r>
        <w:t>Appraisal</w:t>
      </w:r>
      <w:proofErr w:type="spellEnd"/>
      <w:r>
        <w:t xml:space="preserve"> of </w:t>
      </w:r>
      <w:proofErr w:type="spellStart"/>
      <w:r>
        <w:t>Guidelines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Evaluation</w:t>
      </w:r>
      <w:proofErr w:type="spellEnd"/>
      <w:r>
        <w:t xml:space="preserve"> II), reconocido internacionalmente para la evaluación de calidad metodológica de guías de práctica clínica.</w:t>
      </w:r>
    </w:p>
    <w:p w14:paraId="6D21BF57" w14:textId="77777777" w:rsidR="005B524B" w:rsidRDefault="005B524B">
      <w:pPr>
        <w:pStyle w:val="NormalWeb"/>
      </w:pPr>
      <w:r>
        <w:t>La herramienta valora seis dominios:</w:t>
      </w:r>
    </w:p>
    <w:p w14:paraId="42B64B9D" w14:textId="77777777" w:rsidR="005B524B" w:rsidRDefault="005B524B" w:rsidP="005B5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Alcance y propósito.</w:t>
      </w:r>
    </w:p>
    <w:p w14:paraId="667FAC29" w14:textId="77777777" w:rsidR="005B524B" w:rsidRDefault="005B524B" w:rsidP="005B5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Participación de los implicados.</w:t>
      </w:r>
    </w:p>
    <w:p w14:paraId="4AFC90D6" w14:textId="77777777" w:rsidR="005B524B" w:rsidRDefault="005B524B" w:rsidP="005B5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Rigor en la elaboración.</w:t>
      </w:r>
    </w:p>
    <w:p w14:paraId="564D49D1" w14:textId="77777777" w:rsidR="005B524B" w:rsidRDefault="005B524B" w:rsidP="005B5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Claridad de presentación.</w:t>
      </w:r>
    </w:p>
    <w:p w14:paraId="6E15BC3A" w14:textId="77777777" w:rsidR="005B524B" w:rsidRDefault="005B524B" w:rsidP="005B5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Aplicabilidad.</w:t>
      </w:r>
    </w:p>
    <w:p w14:paraId="52E2ED16" w14:textId="77777777" w:rsidR="005B524B" w:rsidRDefault="005B524B" w:rsidP="005B5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Independencia editorial.</w:t>
      </w:r>
    </w:p>
    <w:p w14:paraId="66AE541C" w14:textId="77777777" w:rsidR="005B524B" w:rsidRDefault="005B524B">
      <w:pPr>
        <w:pStyle w:val="NormalWeb"/>
      </w:pPr>
      <w:r>
        <w:t>Cada dominio fue analizado a partir de la información disponible en las guías evaluadas.</w:t>
      </w:r>
    </w:p>
    <w:p w14:paraId="48DD9E52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2C9413" wp14:editId="7E0C9FAD">
                <wp:extent cx="5400040" cy="1270"/>
                <wp:effectExtent l="0" t="31750" r="0" b="36830"/>
                <wp:docPr id="627006598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EE0A2" id="Rectá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0F9C0F" w14:textId="77777777" w:rsidR="005B524B" w:rsidRDefault="005B524B">
      <w:pPr>
        <w:pStyle w:val="Ttulo1"/>
        <w:rPr>
          <w:rFonts w:eastAsia="Times New Roman"/>
        </w:rPr>
      </w:pPr>
      <w:r>
        <w:rPr>
          <w:rFonts w:eastAsia="Times New Roman"/>
        </w:rPr>
        <w:t>6. RESULTADOS DE LA EVALUACIÓN AGREE II</w:t>
      </w:r>
    </w:p>
    <w:p w14:paraId="66E2D758" w14:textId="77777777" w:rsidR="005B524B" w:rsidRDefault="005B524B">
      <w:pPr>
        <w:pStyle w:val="Ttulo2"/>
        <w:rPr>
          <w:rFonts w:eastAsia="Times New Roman"/>
        </w:rPr>
      </w:pPr>
      <w:r>
        <w:rPr>
          <w:rFonts w:eastAsia="Times New Roman"/>
        </w:rPr>
        <w:t>Dominio 1. Alcance y propósito</w:t>
      </w:r>
    </w:p>
    <w:p w14:paraId="276C3A64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NICE</w:t>
      </w:r>
    </w:p>
    <w:p w14:paraId="7E08C59F" w14:textId="77777777" w:rsidR="005B524B" w:rsidRDefault="005B524B">
      <w:pPr>
        <w:pStyle w:val="NormalWeb"/>
      </w:pPr>
      <w:r>
        <w:t>Puntaje estimado: 100%</w:t>
      </w:r>
    </w:p>
    <w:p w14:paraId="319266EA" w14:textId="77777777" w:rsidR="005B524B" w:rsidRDefault="005B524B">
      <w:pPr>
        <w:pStyle w:val="NormalWeb"/>
      </w:pPr>
      <w:r>
        <w:t>La guía define claramente los objetivos clínicos, la población objetivo y el alcance de las recomendaciones.</w:t>
      </w:r>
    </w:p>
    <w:p w14:paraId="5882E61D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VA/</w:t>
      </w:r>
      <w:proofErr w:type="spellStart"/>
      <w:r>
        <w:rPr>
          <w:rFonts w:eastAsia="Times New Roman"/>
        </w:rPr>
        <w:t>DoD</w:t>
      </w:r>
      <w:proofErr w:type="spellEnd"/>
    </w:p>
    <w:p w14:paraId="30C2CED6" w14:textId="77777777" w:rsidR="005B524B" w:rsidRDefault="005B524B">
      <w:pPr>
        <w:pStyle w:val="NormalWeb"/>
      </w:pPr>
      <w:r>
        <w:t>Puntaje estimado: 100%</w:t>
      </w:r>
    </w:p>
    <w:p w14:paraId="3C85BB96" w14:textId="77777777" w:rsidR="005B524B" w:rsidRDefault="005B524B">
      <w:pPr>
        <w:pStyle w:val="NormalWeb"/>
      </w:pPr>
      <w:r>
        <w:t>Presenta una definición detallada de la población objetivo, preguntas clínicas y alcance asistencial.</w:t>
      </w:r>
    </w:p>
    <w:p w14:paraId="717A4D25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Conclusión</w:t>
      </w:r>
    </w:p>
    <w:p w14:paraId="7BEE749B" w14:textId="77777777" w:rsidR="005B524B" w:rsidRDefault="005B524B">
      <w:pPr>
        <w:pStyle w:val="NormalWeb"/>
      </w:pPr>
      <w:r>
        <w:t>No se identifican diferencias relevantes entre ambas guías.</w:t>
      </w:r>
    </w:p>
    <w:p w14:paraId="05FC5B5E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396548" wp14:editId="15CC115D">
                <wp:extent cx="5400040" cy="1270"/>
                <wp:effectExtent l="0" t="31750" r="0" b="36830"/>
                <wp:docPr id="159424441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B1BB94" id="Rectá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49DEC5" w14:textId="77777777" w:rsidR="005B524B" w:rsidRDefault="005B524B">
      <w:pPr>
        <w:pStyle w:val="Ttulo2"/>
        <w:rPr>
          <w:rFonts w:eastAsia="Times New Roman"/>
        </w:rPr>
      </w:pPr>
      <w:r>
        <w:rPr>
          <w:rFonts w:eastAsia="Times New Roman"/>
        </w:rPr>
        <w:t>Dominio 2. Participación de los implicados</w:t>
      </w:r>
    </w:p>
    <w:p w14:paraId="55F3F931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NICE</w:t>
      </w:r>
    </w:p>
    <w:p w14:paraId="0BABAD89" w14:textId="77777777" w:rsidR="005B524B" w:rsidRDefault="005B524B">
      <w:pPr>
        <w:pStyle w:val="NormalWeb"/>
      </w:pPr>
      <w:r>
        <w:t>Puntaje estimado: 78%</w:t>
      </w:r>
    </w:p>
    <w:p w14:paraId="542D275A" w14:textId="77777777" w:rsidR="005B524B" w:rsidRDefault="005B524B">
      <w:pPr>
        <w:pStyle w:val="NormalWeb"/>
      </w:pPr>
      <w:r>
        <w:t>Incluye participación multidisciplinaria y consideración de usuarios finales.</w:t>
      </w:r>
    </w:p>
    <w:p w14:paraId="634B8594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VA/</w:t>
      </w:r>
      <w:proofErr w:type="spellStart"/>
      <w:r>
        <w:rPr>
          <w:rFonts w:eastAsia="Times New Roman"/>
        </w:rPr>
        <w:t>DoD</w:t>
      </w:r>
      <w:proofErr w:type="spellEnd"/>
    </w:p>
    <w:p w14:paraId="63506F75" w14:textId="77777777" w:rsidR="005B524B" w:rsidRDefault="005B524B">
      <w:pPr>
        <w:pStyle w:val="NormalWeb"/>
      </w:pPr>
      <w:r>
        <w:t>Puntaje estimado: 89%</w:t>
      </w:r>
    </w:p>
    <w:p w14:paraId="1FD0BC8A" w14:textId="77777777" w:rsidR="005B524B" w:rsidRDefault="005B524B">
      <w:pPr>
        <w:pStyle w:val="NormalWeb"/>
      </w:pPr>
      <w:r>
        <w:t>Presenta una descripción más robusta del grupo desarrollador, participación de pacientes y definición de usuarios objetivo.</w:t>
      </w:r>
    </w:p>
    <w:p w14:paraId="25DDB63A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Conclusión</w:t>
      </w:r>
    </w:p>
    <w:p w14:paraId="45A49C79" w14:textId="77777777" w:rsidR="005B524B" w:rsidRDefault="005B524B">
      <w:pPr>
        <w:pStyle w:val="NormalWeb"/>
      </w:pPr>
      <w:r>
        <w:t>La guía VA/</w:t>
      </w:r>
      <w:proofErr w:type="spellStart"/>
      <w:r>
        <w:t>DoD</w:t>
      </w:r>
      <w:proofErr w:type="spellEnd"/>
      <w:r>
        <w:t xml:space="preserve"> presenta mejor desempeño en este dominio.</w:t>
      </w:r>
    </w:p>
    <w:p w14:paraId="571399C9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EF66D3" wp14:editId="76E072FD">
                <wp:extent cx="5400040" cy="1270"/>
                <wp:effectExtent l="0" t="31750" r="0" b="36830"/>
                <wp:docPr id="886617197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FED4F" id="Rectá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FF86F8" w14:textId="77777777" w:rsidR="005B524B" w:rsidRDefault="005B524B">
      <w:pPr>
        <w:pStyle w:val="Ttulo2"/>
        <w:rPr>
          <w:rFonts w:eastAsia="Times New Roman"/>
        </w:rPr>
      </w:pPr>
      <w:r>
        <w:rPr>
          <w:rFonts w:eastAsia="Times New Roman"/>
        </w:rPr>
        <w:t>Dominio 3. Rigor en la elaboración</w:t>
      </w:r>
    </w:p>
    <w:p w14:paraId="56E98E7E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NICE</w:t>
      </w:r>
    </w:p>
    <w:p w14:paraId="590C4CAA" w14:textId="77777777" w:rsidR="005B524B" w:rsidRDefault="005B524B">
      <w:pPr>
        <w:pStyle w:val="NormalWeb"/>
      </w:pPr>
      <w:r>
        <w:t>Puntaje estimado: 83%</w:t>
      </w:r>
    </w:p>
    <w:p w14:paraId="47E60E3E" w14:textId="77777777" w:rsidR="005B524B" w:rsidRDefault="005B524B">
      <w:pPr>
        <w:pStyle w:val="NormalWeb"/>
      </w:pPr>
      <w:r>
        <w:t>Basada en evidencia científica de alta calidad, aunque el documento resumido presenta menor nivel de detalle metodológico.</w:t>
      </w:r>
    </w:p>
    <w:p w14:paraId="5FBD3D5C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VA/</w:t>
      </w:r>
      <w:proofErr w:type="spellStart"/>
      <w:r>
        <w:rPr>
          <w:rFonts w:eastAsia="Times New Roman"/>
        </w:rPr>
        <w:t>DoD</w:t>
      </w:r>
      <w:proofErr w:type="spellEnd"/>
    </w:p>
    <w:p w14:paraId="79E7CE48" w14:textId="77777777" w:rsidR="005B524B" w:rsidRDefault="005B524B">
      <w:pPr>
        <w:pStyle w:val="NormalWeb"/>
      </w:pPr>
      <w:r>
        <w:t>Puntaje estimado: 98%</w:t>
      </w:r>
    </w:p>
    <w:p w14:paraId="4CE19485" w14:textId="77777777" w:rsidR="005B524B" w:rsidRDefault="005B524B">
      <w:pPr>
        <w:pStyle w:val="NormalWeb"/>
      </w:pPr>
      <w:r>
        <w:t>Describe de forma explícita:</w:t>
      </w:r>
    </w:p>
    <w:p w14:paraId="050B8F9B" w14:textId="77777777" w:rsidR="005B524B" w:rsidRDefault="005B524B" w:rsidP="005B5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Estrategias de búsqueda.</w:t>
      </w:r>
    </w:p>
    <w:p w14:paraId="2790E642" w14:textId="77777777" w:rsidR="005B524B" w:rsidRDefault="005B524B" w:rsidP="005B5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Selección de evidencia.</w:t>
      </w:r>
    </w:p>
    <w:p w14:paraId="7CDE273F" w14:textId="77777777" w:rsidR="005B524B" w:rsidRDefault="005B524B" w:rsidP="005B5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Metodología GRADE.</w:t>
      </w:r>
    </w:p>
    <w:p w14:paraId="7194A1B5" w14:textId="77777777" w:rsidR="005B524B" w:rsidRDefault="005B524B" w:rsidP="005B5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Fuerza de recomendaciones.</w:t>
      </w:r>
    </w:p>
    <w:p w14:paraId="6E0C8653" w14:textId="77777777" w:rsidR="005B524B" w:rsidRDefault="005B524B" w:rsidP="005B5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Revisión externa.</w:t>
      </w:r>
    </w:p>
    <w:p w14:paraId="718A1BCE" w14:textId="77777777" w:rsidR="005B524B" w:rsidRDefault="005B524B" w:rsidP="005B5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Actualización.</w:t>
      </w:r>
    </w:p>
    <w:p w14:paraId="5A599F33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Conclusión</w:t>
      </w:r>
    </w:p>
    <w:p w14:paraId="3B3D60FD" w14:textId="77777777" w:rsidR="005B524B" w:rsidRDefault="005B524B">
      <w:pPr>
        <w:pStyle w:val="NormalWeb"/>
      </w:pPr>
      <w:r>
        <w:t>La guía VA/</w:t>
      </w:r>
      <w:proofErr w:type="spellStart"/>
      <w:r>
        <w:t>DoD</w:t>
      </w:r>
      <w:proofErr w:type="spellEnd"/>
      <w:r>
        <w:t xml:space="preserve"> demuestra una superioridad metodológica importante.</w:t>
      </w:r>
    </w:p>
    <w:p w14:paraId="3CBE8E3F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48AD88" wp14:editId="6AE73A9C">
                <wp:extent cx="5400040" cy="1270"/>
                <wp:effectExtent l="0" t="31750" r="0" b="36830"/>
                <wp:docPr id="46589740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1C4B8" id="Rectá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63D389" w14:textId="77777777" w:rsidR="005B524B" w:rsidRDefault="005B524B">
      <w:pPr>
        <w:pStyle w:val="Ttulo2"/>
        <w:rPr>
          <w:rFonts w:eastAsia="Times New Roman"/>
        </w:rPr>
      </w:pPr>
      <w:r>
        <w:rPr>
          <w:rFonts w:eastAsia="Times New Roman"/>
        </w:rPr>
        <w:t>Dominio 4. Claridad de presentación</w:t>
      </w:r>
    </w:p>
    <w:p w14:paraId="11B72802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NICE</w:t>
      </w:r>
    </w:p>
    <w:p w14:paraId="3A868428" w14:textId="77777777" w:rsidR="005B524B" w:rsidRDefault="005B524B">
      <w:pPr>
        <w:pStyle w:val="NormalWeb"/>
      </w:pPr>
      <w:r>
        <w:t>Puntaje estimado: 94%</w:t>
      </w:r>
    </w:p>
    <w:p w14:paraId="5588CB8C" w14:textId="77777777" w:rsidR="005B524B" w:rsidRDefault="005B524B">
      <w:pPr>
        <w:pStyle w:val="NormalWeb"/>
      </w:pPr>
      <w:r>
        <w:t>Recomendaciones concretas y fácilmente identificables.</w:t>
      </w:r>
    </w:p>
    <w:p w14:paraId="7BF58B9A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VA/</w:t>
      </w:r>
      <w:proofErr w:type="spellStart"/>
      <w:r>
        <w:rPr>
          <w:rFonts w:eastAsia="Times New Roman"/>
        </w:rPr>
        <w:t>DoD</w:t>
      </w:r>
      <w:proofErr w:type="spellEnd"/>
    </w:p>
    <w:p w14:paraId="15F999AB" w14:textId="77777777" w:rsidR="005B524B" w:rsidRDefault="005B524B">
      <w:pPr>
        <w:pStyle w:val="NormalWeb"/>
      </w:pPr>
      <w:r>
        <w:t>Puntaje estimado: 100%</w:t>
      </w:r>
    </w:p>
    <w:p w14:paraId="2388FF3A" w14:textId="77777777" w:rsidR="005B524B" w:rsidRDefault="005B524B">
      <w:pPr>
        <w:pStyle w:val="NormalWeb"/>
      </w:pPr>
      <w:r>
        <w:t>Incorpora algoritmos diagnósticos y terapéuticos completos.</w:t>
      </w:r>
    </w:p>
    <w:p w14:paraId="59B42032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Conclusión</w:t>
      </w:r>
    </w:p>
    <w:p w14:paraId="6E440CFB" w14:textId="77777777" w:rsidR="005B524B" w:rsidRDefault="005B524B">
      <w:pPr>
        <w:pStyle w:val="NormalWeb"/>
      </w:pPr>
      <w:r>
        <w:t>Ambas guías presentan excelente claridad.</w:t>
      </w:r>
    </w:p>
    <w:p w14:paraId="43B2EBD3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35FE12" wp14:editId="219D844B">
                <wp:extent cx="5400040" cy="1270"/>
                <wp:effectExtent l="0" t="31750" r="0" b="36830"/>
                <wp:docPr id="1143414724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A3966" id="Rectá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0DD40B" w14:textId="77777777" w:rsidR="005B524B" w:rsidRDefault="005B524B">
      <w:pPr>
        <w:pStyle w:val="Ttulo2"/>
        <w:rPr>
          <w:rFonts w:eastAsia="Times New Roman"/>
        </w:rPr>
      </w:pPr>
      <w:r>
        <w:rPr>
          <w:rFonts w:eastAsia="Times New Roman"/>
        </w:rPr>
        <w:t>Dominio 5. Aplicabilidad</w:t>
      </w:r>
    </w:p>
    <w:p w14:paraId="278C9465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NICE</w:t>
      </w:r>
    </w:p>
    <w:p w14:paraId="5725BDD5" w14:textId="77777777" w:rsidR="005B524B" w:rsidRDefault="005B524B">
      <w:pPr>
        <w:pStyle w:val="NormalWeb"/>
      </w:pPr>
      <w:r>
        <w:t>Puntaje estimado: 75%</w:t>
      </w:r>
    </w:p>
    <w:p w14:paraId="5DF077BB" w14:textId="77777777" w:rsidR="005B524B" w:rsidRDefault="005B524B">
      <w:pPr>
        <w:pStyle w:val="NormalWeb"/>
      </w:pPr>
      <w:r>
        <w:t>Destaca por sus recomendaciones para evitar imágenes innecesarias y promover manejo escalonado.</w:t>
      </w:r>
    </w:p>
    <w:p w14:paraId="6D2E3B97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VA/</w:t>
      </w:r>
      <w:proofErr w:type="spellStart"/>
      <w:r>
        <w:rPr>
          <w:rFonts w:eastAsia="Times New Roman"/>
        </w:rPr>
        <w:t>DoD</w:t>
      </w:r>
      <w:proofErr w:type="spellEnd"/>
    </w:p>
    <w:p w14:paraId="21B0F6F5" w14:textId="77777777" w:rsidR="005B524B" w:rsidRDefault="005B524B">
      <w:pPr>
        <w:pStyle w:val="NormalWeb"/>
      </w:pPr>
      <w:r>
        <w:t>Puntaje estimado: 75%</w:t>
      </w:r>
    </w:p>
    <w:p w14:paraId="1CFEEC73" w14:textId="77777777" w:rsidR="005B524B" w:rsidRDefault="005B524B">
      <w:pPr>
        <w:pStyle w:val="NormalWeb"/>
      </w:pPr>
      <w:r>
        <w:t>Presenta algoritmos clínicos útiles para implementación institucional.</w:t>
      </w:r>
    </w:p>
    <w:p w14:paraId="7AC1AA47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Conclusión</w:t>
      </w:r>
    </w:p>
    <w:p w14:paraId="72AE4FF7" w14:textId="77777777" w:rsidR="005B524B" w:rsidRDefault="005B524B">
      <w:pPr>
        <w:pStyle w:val="NormalWeb"/>
      </w:pPr>
      <w:r>
        <w:t>Empate técnico.</w:t>
      </w:r>
    </w:p>
    <w:p w14:paraId="243E9F68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60ACD7" wp14:editId="60860F8A">
                <wp:extent cx="5400040" cy="1270"/>
                <wp:effectExtent l="0" t="31750" r="0" b="36830"/>
                <wp:docPr id="2004396816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3BD91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76292F" w14:textId="77777777" w:rsidR="005B524B" w:rsidRDefault="005B524B">
      <w:pPr>
        <w:pStyle w:val="Ttulo2"/>
        <w:rPr>
          <w:rFonts w:eastAsia="Times New Roman"/>
        </w:rPr>
      </w:pPr>
      <w:r>
        <w:rPr>
          <w:rFonts w:eastAsia="Times New Roman"/>
        </w:rPr>
        <w:t>Dominio 6. Independencia editorial</w:t>
      </w:r>
    </w:p>
    <w:p w14:paraId="7D169FBA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NICE</w:t>
      </w:r>
    </w:p>
    <w:p w14:paraId="67FA907D" w14:textId="77777777" w:rsidR="005B524B" w:rsidRDefault="005B524B">
      <w:pPr>
        <w:pStyle w:val="NormalWeb"/>
      </w:pPr>
      <w:r>
        <w:t>Puntaje estimado: 67%</w:t>
      </w:r>
    </w:p>
    <w:p w14:paraId="1285F73C" w14:textId="77777777" w:rsidR="005B524B" w:rsidRDefault="005B524B">
      <w:pPr>
        <w:pStyle w:val="NormalWeb"/>
      </w:pPr>
      <w:r>
        <w:t>Adecuada declaración editorial.</w:t>
      </w:r>
    </w:p>
    <w:p w14:paraId="386A7AE2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VA/</w:t>
      </w:r>
      <w:proofErr w:type="spellStart"/>
      <w:r>
        <w:rPr>
          <w:rFonts w:eastAsia="Times New Roman"/>
        </w:rPr>
        <w:t>DoD</w:t>
      </w:r>
      <w:proofErr w:type="spellEnd"/>
    </w:p>
    <w:p w14:paraId="67F911E2" w14:textId="77777777" w:rsidR="005B524B" w:rsidRDefault="005B524B">
      <w:pPr>
        <w:pStyle w:val="NormalWeb"/>
      </w:pPr>
      <w:r>
        <w:t>Puntaje estimado: 83%</w:t>
      </w:r>
    </w:p>
    <w:p w14:paraId="592FE683" w14:textId="77777777" w:rsidR="005B524B" w:rsidRDefault="005B524B">
      <w:pPr>
        <w:pStyle w:val="NormalWeb"/>
      </w:pPr>
      <w:r>
        <w:t>Describe con mayor amplitud conflictos de interés y procesos de control metodológico.</w:t>
      </w:r>
    </w:p>
    <w:p w14:paraId="1DAB2082" w14:textId="77777777" w:rsidR="005B524B" w:rsidRDefault="005B524B">
      <w:pPr>
        <w:pStyle w:val="Ttulo3"/>
        <w:rPr>
          <w:rFonts w:eastAsia="Times New Roman"/>
        </w:rPr>
      </w:pPr>
      <w:r>
        <w:rPr>
          <w:rFonts w:eastAsia="Times New Roman"/>
        </w:rPr>
        <w:t>Conclusión</w:t>
      </w:r>
    </w:p>
    <w:p w14:paraId="490AEACD" w14:textId="77777777" w:rsidR="005B524B" w:rsidRDefault="005B524B">
      <w:pPr>
        <w:pStyle w:val="NormalWeb"/>
      </w:pPr>
      <w:r>
        <w:t>La guía VA/</w:t>
      </w:r>
      <w:proofErr w:type="spellStart"/>
      <w:r>
        <w:t>DoD</w:t>
      </w:r>
      <w:proofErr w:type="spellEnd"/>
      <w:r>
        <w:t xml:space="preserve"> presenta mejor desempeño.</w:t>
      </w:r>
    </w:p>
    <w:p w14:paraId="42DE9091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D385B4" wp14:editId="3893577F">
                <wp:extent cx="5400040" cy="1270"/>
                <wp:effectExtent l="0" t="31750" r="0" b="36830"/>
                <wp:docPr id="160123564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7762C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5CD933" w14:textId="77777777" w:rsidR="005B524B" w:rsidRDefault="005B524B">
      <w:pPr>
        <w:pStyle w:val="Ttulo1"/>
        <w:rPr>
          <w:rFonts w:eastAsia="Times New Roman"/>
        </w:rPr>
      </w:pPr>
      <w:r>
        <w:rPr>
          <w:rFonts w:eastAsia="Times New Roman"/>
        </w:rPr>
        <w:t>7. RESUMEN COMPARATIVO DE PUNTAJES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643"/>
        <w:gridCol w:w="932"/>
      </w:tblGrid>
      <w:tr w:rsidR="005B524B" w14:paraId="23035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56127" w14:textId="77777777" w:rsidR="005B524B" w:rsidRDefault="005B524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616CF719" w14:textId="77777777" w:rsidR="005B524B" w:rsidRDefault="005B524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NICE</w:t>
            </w:r>
          </w:p>
        </w:tc>
        <w:tc>
          <w:tcPr>
            <w:tcW w:w="0" w:type="auto"/>
            <w:vAlign w:val="center"/>
            <w:hideMark/>
          </w:tcPr>
          <w:p w14:paraId="2C50636F" w14:textId="77777777" w:rsidR="005B524B" w:rsidRDefault="005B524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VA/</w:t>
            </w:r>
            <w:proofErr w:type="spellStart"/>
            <w:r>
              <w:rPr>
                <w:rFonts w:eastAsia="Times New Roman"/>
                <w:b/>
                <w:bCs/>
              </w:rPr>
              <w:t>DoD</w:t>
            </w:r>
            <w:proofErr w:type="spellEnd"/>
          </w:p>
        </w:tc>
      </w:tr>
      <w:tr w:rsidR="005B524B" w14:paraId="62731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4C8A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Alcance y propósito</w:t>
            </w:r>
          </w:p>
        </w:tc>
        <w:tc>
          <w:tcPr>
            <w:tcW w:w="0" w:type="auto"/>
            <w:vAlign w:val="center"/>
            <w:hideMark/>
          </w:tcPr>
          <w:p w14:paraId="5B88192E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F3AEBC1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100%</w:t>
            </w:r>
          </w:p>
        </w:tc>
      </w:tr>
      <w:tr w:rsidR="005B524B" w14:paraId="1A0CA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5A43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Participación de implicados</w:t>
            </w:r>
          </w:p>
        </w:tc>
        <w:tc>
          <w:tcPr>
            <w:tcW w:w="0" w:type="auto"/>
            <w:vAlign w:val="center"/>
            <w:hideMark/>
          </w:tcPr>
          <w:p w14:paraId="3A19B6D9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14:paraId="07887C13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89%</w:t>
            </w:r>
          </w:p>
        </w:tc>
      </w:tr>
      <w:tr w:rsidR="005B524B" w14:paraId="37FB9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1CCB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Rigor metodológico</w:t>
            </w:r>
          </w:p>
        </w:tc>
        <w:tc>
          <w:tcPr>
            <w:tcW w:w="0" w:type="auto"/>
            <w:vAlign w:val="center"/>
            <w:hideMark/>
          </w:tcPr>
          <w:p w14:paraId="549F8956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83%</w:t>
            </w:r>
          </w:p>
        </w:tc>
        <w:tc>
          <w:tcPr>
            <w:tcW w:w="0" w:type="auto"/>
            <w:vAlign w:val="center"/>
            <w:hideMark/>
          </w:tcPr>
          <w:p w14:paraId="0764902C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98%</w:t>
            </w:r>
          </w:p>
        </w:tc>
      </w:tr>
      <w:tr w:rsidR="005B524B" w14:paraId="6F4E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F3CE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Claridad</w:t>
            </w:r>
          </w:p>
        </w:tc>
        <w:tc>
          <w:tcPr>
            <w:tcW w:w="0" w:type="auto"/>
            <w:vAlign w:val="center"/>
            <w:hideMark/>
          </w:tcPr>
          <w:p w14:paraId="201E1422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3CF71E37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100%</w:t>
            </w:r>
          </w:p>
        </w:tc>
      </w:tr>
      <w:tr w:rsidR="005B524B" w14:paraId="0EC5E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E956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Aplicabilidad</w:t>
            </w:r>
          </w:p>
        </w:tc>
        <w:tc>
          <w:tcPr>
            <w:tcW w:w="0" w:type="auto"/>
            <w:vAlign w:val="center"/>
            <w:hideMark/>
          </w:tcPr>
          <w:p w14:paraId="005651C0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0A8AED7F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75%</w:t>
            </w:r>
          </w:p>
        </w:tc>
      </w:tr>
      <w:tr w:rsidR="005B524B" w14:paraId="7BCDE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502F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Independencia editorial</w:t>
            </w:r>
          </w:p>
        </w:tc>
        <w:tc>
          <w:tcPr>
            <w:tcW w:w="0" w:type="auto"/>
            <w:vAlign w:val="center"/>
            <w:hideMark/>
          </w:tcPr>
          <w:p w14:paraId="4AA0F999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67%</w:t>
            </w:r>
          </w:p>
        </w:tc>
        <w:tc>
          <w:tcPr>
            <w:tcW w:w="0" w:type="auto"/>
            <w:vAlign w:val="center"/>
            <w:hideMark/>
          </w:tcPr>
          <w:p w14:paraId="1C942EA3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83%</w:t>
            </w:r>
          </w:p>
        </w:tc>
      </w:tr>
      <w:tr w:rsidR="005B524B" w14:paraId="11258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9DCA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PROMEDIO GLOBAL</w:t>
            </w:r>
          </w:p>
        </w:tc>
        <w:tc>
          <w:tcPr>
            <w:tcW w:w="0" w:type="auto"/>
            <w:vAlign w:val="center"/>
            <w:hideMark/>
          </w:tcPr>
          <w:p w14:paraId="3271247A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83%</w:t>
            </w:r>
          </w:p>
        </w:tc>
        <w:tc>
          <w:tcPr>
            <w:tcW w:w="0" w:type="auto"/>
            <w:vAlign w:val="center"/>
            <w:hideMark/>
          </w:tcPr>
          <w:p w14:paraId="39912AD9" w14:textId="77777777" w:rsidR="005B524B" w:rsidRDefault="005B52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91%</w:t>
            </w:r>
          </w:p>
        </w:tc>
      </w:tr>
    </w:tbl>
    <w:p w14:paraId="67E2E293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BD1CD0" wp14:editId="70183BD4">
                <wp:extent cx="5400040" cy="1270"/>
                <wp:effectExtent l="0" t="31750" r="0" b="36830"/>
                <wp:docPr id="849989575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912D5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1B03C9" w14:textId="77777777" w:rsidR="005B524B" w:rsidRDefault="005B524B">
      <w:pPr>
        <w:pStyle w:val="Ttulo1"/>
        <w:rPr>
          <w:rFonts w:eastAsia="Times New Roman"/>
        </w:rPr>
      </w:pPr>
      <w:r>
        <w:rPr>
          <w:rFonts w:eastAsia="Times New Roman"/>
        </w:rPr>
        <w:t>8. ANÁLISIS PARA EL CONTEXTO INSTITUCIONAL</w:t>
      </w:r>
    </w:p>
    <w:p w14:paraId="556CFC73" w14:textId="77777777" w:rsidR="005B524B" w:rsidRDefault="005B524B">
      <w:pPr>
        <w:pStyle w:val="NormalWeb"/>
      </w:pPr>
      <w:r>
        <w:t>Ambas guías promueven:</w:t>
      </w:r>
    </w:p>
    <w:p w14:paraId="511DBE17" w14:textId="77777777" w:rsidR="005B524B" w:rsidRDefault="005B524B" w:rsidP="005B5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Evaluación inicial basada en banderas rojas.</w:t>
      </w:r>
    </w:p>
    <w:p w14:paraId="7D124AEC" w14:textId="77777777" w:rsidR="005B524B" w:rsidRDefault="005B524B" w:rsidP="005B5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Reducción de imágenes innecesarias.</w:t>
      </w:r>
    </w:p>
    <w:p w14:paraId="41D14661" w14:textId="77777777" w:rsidR="005B524B" w:rsidRDefault="005B524B" w:rsidP="005B5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Educación del paciente.</w:t>
      </w:r>
    </w:p>
    <w:p w14:paraId="1485E0D1" w14:textId="77777777" w:rsidR="005B524B" w:rsidRDefault="005B524B" w:rsidP="005B5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Ejercicio terapéutico.</w:t>
      </w:r>
    </w:p>
    <w:p w14:paraId="6F0E62C7" w14:textId="77777777" w:rsidR="005B524B" w:rsidRDefault="005B524B" w:rsidP="005B5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Modelo biopsicosocial.</w:t>
      </w:r>
    </w:p>
    <w:p w14:paraId="15F0569E" w14:textId="77777777" w:rsidR="005B524B" w:rsidRDefault="005B524B" w:rsidP="005B5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Evitación de intervenciones de bajo valor.</w:t>
      </w:r>
    </w:p>
    <w:p w14:paraId="4037BBA6" w14:textId="77777777" w:rsidR="005B524B" w:rsidRDefault="005B524B">
      <w:pPr>
        <w:pStyle w:val="NormalWeb"/>
      </w:pPr>
      <w:r>
        <w:t>Sin embargo, la guía VA/</w:t>
      </w:r>
      <w:proofErr w:type="spellStart"/>
      <w:r>
        <w:t>DoD</w:t>
      </w:r>
      <w:proofErr w:type="spellEnd"/>
      <w:r>
        <w:t xml:space="preserve"> ofrece ventajas adicionales para el contexto institucional debido a:</w:t>
      </w:r>
    </w:p>
    <w:p w14:paraId="35269763" w14:textId="77777777" w:rsidR="005B524B" w:rsidRDefault="005B524B" w:rsidP="005B5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Mayor desarrollo de algoritmos diagnósticos.</w:t>
      </w:r>
    </w:p>
    <w:p w14:paraId="248A80C4" w14:textId="77777777" w:rsidR="005B524B" w:rsidRDefault="005B524B" w:rsidP="005B5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Mejor definición de criterios para resonancia magnética, tomografía y radiografía.</w:t>
      </w:r>
    </w:p>
    <w:p w14:paraId="707AA3D6" w14:textId="77777777" w:rsidR="005B524B" w:rsidRDefault="005B524B" w:rsidP="005B5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Mayor profundidad en farmacoterapia.</w:t>
      </w:r>
    </w:p>
    <w:p w14:paraId="2BEC3145" w14:textId="77777777" w:rsidR="005B524B" w:rsidRDefault="005B524B" w:rsidP="005B5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Inclusión de recomendaciones para procedimientos invasivos.</w:t>
      </w:r>
    </w:p>
    <w:p w14:paraId="1F2AE688" w14:textId="77777777" w:rsidR="005B524B" w:rsidRDefault="005B524B" w:rsidP="005B5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Integración más clara entre atención primaria y especialidades.</w:t>
      </w:r>
    </w:p>
    <w:p w14:paraId="4BDAA74D" w14:textId="77777777" w:rsidR="005B524B" w:rsidRDefault="005B524B">
      <w:pPr>
        <w:pStyle w:val="NormalWeb"/>
      </w:pPr>
      <w:r>
        <w:t>Estas características facilitan la construcción de rutas institucionales que involucren urgencias, medicina familiar, fisiatría, ortopedia y neurocirugía.</w:t>
      </w:r>
    </w:p>
    <w:p w14:paraId="1E512225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0729E9" wp14:editId="47EE0870">
                <wp:extent cx="5400040" cy="1270"/>
                <wp:effectExtent l="0" t="31750" r="0" b="36830"/>
                <wp:docPr id="1750662288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618B7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97B1DF" w14:textId="77777777" w:rsidR="005B524B" w:rsidRDefault="005B524B">
      <w:pPr>
        <w:pStyle w:val="Ttulo1"/>
        <w:rPr>
          <w:rFonts w:eastAsia="Times New Roman"/>
        </w:rPr>
      </w:pPr>
      <w:r>
        <w:rPr>
          <w:rFonts w:eastAsia="Times New Roman"/>
        </w:rPr>
        <w:t>9. RECOMENDACIÓN DEL GRUPO EVALUADOR</w:t>
      </w:r>
    </w:p>
    <w:p w14:paraId="3B8F75FA" w14:textId="77777777" w:rsidR="005B524B" w:rsidRDefault="005B524B">
      <w:pPr>
        <w:pStyle w:val="NormalWeb"/>
      </w:pPr>
      <w:r>
        <w:t>Con base en la evaluación AGREE II realizada, se recomienda:</w:t>
      </w:r>
    </w:p>
    <w:p w14:paraId="09ADD9FB" w14:textId="77777777" w:rsidR="005B524B" w:rsidRDefault="005B524B">
      <w:pPr>
        <w:pStyle w:val="Ttulo2"/>
        <w:rPr>
          <w:rFonts w:eastAsia="Times New Roman"/>
        </w:rPr>
      </w:pPr>
      <w:r>
        <w:rPr>
          <w:rFonts w:eastAsia="Times New Roman"/>
        </w:rPr>
        <w:t>Adoptar como guía institucional principal</w:t>
      </w:r>
    </w:p>
    <w:p w14:paraId="6D9023B5" w14:textId="77777777" w:rsidR="005B524B" w:rsidRDefault="005B524B">
      <w:pPr>
        <w:pStyle w:val="NormalWeb"/>
      </w:pPr>
      <w:r>
        <w:t>VA/</w:t>
      </w:r>
      <w:proofErr w:type="spellStart"/>
      <w:r>
        <w:t>DoD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Guideline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Diagnosis and </w:t>
      </w:r>
      <w:proofErr w:type="spellStart"/>
      <w:r>
        <w:t>Treatment</w:t>
      </w:r>
      <w:proofErr w:type="spellEnd"/>
      <w:r>
        <w:t xml:space="preserve"> of </w:t>
      </w:r>
      <w:proofErr w:type="spellStart"/>
      <w:r>
        <w:t>Low</w:t>
      </w:r>
      <w:proofErr w:type="spellEnd"/>
      <w:r>
        <w:t xml:space="preserve"> Back </w:t>
      </w:r>
      <w:proofErr w:type="spellStart"/>
      <w:r>
        <w:t>Pain</w:t>
      </w:r>
      <w:proofErr w:type="spellEnd"/>
      <w:r>
        <w:t xml:space="preserve"> (2022).</w:t>
      </w:r>
    </w:p>
    <w:p w14:paraId="4DB6D96E" w14:textId="77777777" w:rsidR="005B524B" w:rsidRDefault="005B524B">
      <w:pPr>
        <w:pStyle w:val="Ttulo2"/>
        <w:rPr>
          <w:rFonts w:eastAsia="Times New Roman"/>
        </w:rPr>
      </w:pPr>
      <w:r>
        <w:rPr>
          <w:rFonts w:eastAsia="Times New Roman"/>
        </w:rPr>
        <w:t>Adaptar complementariamente</w:t>
      </w:r>
    </w:p>
    <w:p w14:paraId="7AC02268" w14:textId="77777777" w:rsidR="005B524B" w:rsidRDefault="005B524B">
      <w:pPr>
        <w:pStyle w:val="NormalWeb"/>
      </w:pPr>
      <w:r>
        <w:t xml:space="preserve">NICE NG59 </w:t>
      </w:r>
      <w:proofErr w:type="spellStart"/>
      <w:r>
        <w:t>Low</w:t>
      </w:r>
      <w:proofErr w:type="spellEnd"/>
      <w:r>
        <w:t xml:space="preserve"> Back </w:t>
      </w:r>
      <w:proofErr w:type="spellStart"/>
      <w:r>
        <w:t>Pain</w:t>
      </w:r>
      <w:proofErr w:type="spellEnd"/>
      <w:r>
        <w:t xml:space="preserve"> and </w:t>
      </w:r>
      <w:proofErr w:type="spellStart"/>
      <w:r>
        <w:t>Sciatica</w:t>
      </w:r>
      <w:proofErr w:type="spellEnd"/>
      <w:r>
        <w:t xml:space="preserve"> in </w:t>
      </w:r>
      <w:proofErr w:type="spellStart"/>
      <w:r>
        <w:t>Over</w:t>
      </w:r>
      <w:proofErr w:type="spellEnd"/>
      <w:r>
        <w:t xml:space="preserve"> 16s (2020).</w:t>
      </w:r>
    </w:p>
    <w:p w14:paraId="37F4DAA1" w14:textId="77777777" w:rsidR="005B524B" w:rsidRDefault="005B52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DF9B07" wp14:editId="43E9378D">
                <wp:extent cx="5400040" cy="1270"/>
                <wp:effectExtent l="0" t="31750" r="0" b="36830"/>
                <wp:docPr id="816127020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57235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742D14" w14:textId="77777777" w:rsidR="005B524B" w:rsidRDefault="005B524B">
      <w:pPr>
        <w:pStyle w:val="Ttulo1"/>
        <w:rPr>
          <w:rFonts w:eastAsia="Times New Roman"/>
        </w:rPr>
      </w:pPr>
      <w:r>
        <w:rPr>
          <w:rFonts w:eastAsia="Times New Roman"/>
        </w:rPr>
        <w:t>10. DECISIÓN DE ADOPCIÓN</w:t>
      </w:r>
    </w:p>
    <w:p w14:paraId="4EF222E5" w14:textId="77777777" w:rsidR="005B524B" w:rsidRDefault="005B524B">
      <w:pPr>
        <w:pStyle w:val="NormalWeb"/>
      </w:pPr>
      <w:r>
        <w:t>La guía VA/</w:t>
      </w:r>
      <w:proofErr w:type="spellStart"/>
      <w:r>
        <w:t>DoD</w:t>
      </w:r>
      <w:proofErr w:type="spellEnd"/>
      <w:r>
        <w:t xml:space="preserve"> 2022 cumple adecuadamente los criterios metodológicos exigidos para adopción institucional, obteniendo el mayor puntaje global en la evaluación AGREE II y mostrando mayor aplicabilidad para un hospital de segundo nivel con capacidad diagnóstica mediante radiografía, tomografía computarizada y resonancia magnética.</w:t>
      </w:r>
    </w:p>
    <w:p w14:paraId="3A3181BC" w14:textId="77777777" w:rsidR="005B524B" w:rsidRDefault="005B524B">
      <w:pPr>
        <w:pStyle w:val="NormalWeb"/>
      </w:pPr>
      <w:r>
        <w:t>Se recomienda que la guía institucional resultante incorpore adicionalmente las recomendaciones de NICE relacionadas con:</w:t>
      </w:r>
    </w:p>
    <w:p w14:paraId="184ADB45" w14:textId="77777777" w:rsidR="005B524B" w:rsidRDefault="005B524B" w:rsidP="005B5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Estratificación del riesgo.</w:t>
      </w:r>
    </w:p>
    <w:p w14:paraId="0ACAB4F8" w14:textId="77777777" w:rsidR="005B524B" w:rsidRDefault="005B524B" w:rsidP="005B5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Autocuidado.</w:t>
      </w:r>
    </w:p>
    <w:p w14:paraId="1D8D4BD6" w14:textId="77777777" w:rsidR="005B524B" w:rsidRDefault="005B524B" w:rsidP="005B5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Educación del paciente.</w:t>
      </w:r>
    </w:p>
    <w:p w14:paraId="50A31DFE" w14:textId="77777777" w:rsidR="005B524B" w:rsidRDefault="005B524B" w:rsidP="005B5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Reducción de imágenes innecesarias.</w:t>
      </w:r>
    </w:p>
    <w:p w14:paraId="1CC27D88" w14:textId="77777777" w:rsidR="005B524B" w:rsidRDefault="005B524B" w:rsidP="005B5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Fortalecimiento de la atención primaria.</w:t>
      </w:r>
    </w:p>
    <w:p w14:paraId="6C567F3A" w14:textId="77777777" w:rsidR="005B524B" w:rsidRDefault="005B524B">
      <w:pPr>
        <w:pStyle w:val="NormalWeb"/>
      </w:pPr>
      <w:r>
        <w:t>Lo anterior permitirá disponer de una guía adaptada al contexto colombiano, alineada con la evidencia científica contemporánea y orientada a la atención integral y costo-efectiva de los pacientes con lumbalgia.</w:t>
      </w:r>
    </w:p>
    <w:p w14:paraId="4D5BD672" w14:textId="77777777" w:rsidR="005B524B" w:rsidRDefault="005B524B"/>
    <w:p w14:paraId="3E4AE14B" w14:textId="77777777" w:rsidR="0059481D" w:rsidRDefault="0059481D"/>
    <w:p w14:paraId="14B23239" w14:textId="77777777" w:rsidR="0059481D" w:rsidRDefault="0059481D"/>
    <w:p w14:paraId="34517614" w14:textId="77777777" w:rsidR="0059481D" w:rsidRDefault="0059481D"/>
    <w:p w14:paraId="0890015A" w14:textId="77777777" w:rsidR="0059481D" w:rsidRDefault="0059481D"/>
    <w:p w14:paraId="1F22E70E" w14:textId="77777777" w:rsidR="0059481D" w:rsidRDefault="0059481D"/>
    <w:sectPr w:rsidR="005948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42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71D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B67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DF2C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139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86B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B6C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072963">
    <w:abstractNumId w:val="1"/>
  </w:num>
  <w:num w:numId="2" w16cid:durableId="123743172">
    <w:abstractNumId w:val="6"/>
  </w:num>
  <w:num w:numId="3" w16cid:durableId="1953123975">
    <w:abstractNumId w:val="2"/>
  </w:num>
  <w:num w:numId="4" w16cid:durableId="1676683373">
    <w:abstractNumId w:val="4"/>
  </w:num>
  <w:num w:numId="5" w16cid:durableId="1081412694">
    <w:abstractNumId w:val="0"/>
  </w:num>
  <w:num w:numId="6" w16cid:durableId="1220096699">
    <w:abstractNumId w:val="5"/>
  </w:num>
  <w:num w:numId="7" w16cid:durableId="1715038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4B"/>
    <w:rsid w:val="00486586"/>
    <w:rsid w:val="0059481D"/>
    <w:rsid w:val="005B524B"/>
    <w:rsid w:val="00A83E38"/>
    <w:rsid w:val="00E636D9"/>
    <w:rsid w:val="00F3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623222"/>
  <w15:chartTrackingRefBased/>
  <w15:docId w15:val="{E851AEBC-BB50-F842-89AF-C143ABB4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5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5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2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2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2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2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2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2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2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52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2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2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52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24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Vanessa Ortiz Calderon</dc:creator>
  <cp:keywords/>
  <dc:description/>
  <cp:lastModifiedBy>Martha Vanessa Ortiz Calderon</cp:lastModifiedBy>
  <cp:revision>2</cp:revision>
  <dcterms:created xsi:type="dcterms:W3CDTF">2026-06-06T13:28:00Z</dcterms:created>
  <dcterms:modified xsi:type="dcterms:W3CDTF">2026-06-06T13:28:00Z</dcterms:modified>
</cp:coreProperties>
</file>