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79376" w14:textId="77777777" w:rsidR="00882E1A" w:rsidRPr="005F22DE" w:rsidRDefault="00882E1A" w:rsidP="005F22DE">
      <w:pPr>
        <w:jc w:val="center"/>
        <w:rPr>
          <w:rFonts w:cstheme="minorHAnsi"/>
          <w:b/>
          <w:bCs/>
          <w:color w:val="385623" w:themeColor="accent6" w:themeShade="80"/>
          <w:sz w:val="32"/>
          <w:szCs w:val="32"/>
          <w:lang w:val="es-CO" w:eastAsia="es-CO"/>
        </w:rPr>
      </w:pPr>
      <w:r w:rsidRPr="005F22DE">
        <w:rPr>
          <w:rFonts w:cstheme="minorHAnsi"/>
          <w:b/>
          <w:bCs/>
          <w:color w:val="385623" w:themeColor="accent6" w:themeShade="80"/>
          <w:sz w:val="32"/>
          <w:szCs w:val="32"/>
          <w:lang w:val="es-CO" w:eastAsia="es-CO"/>
        </w:rPr>
        <w:t>CRITERIOS DE EVALUACIÓN</w:t>
      </w:r>
    </w:p>
    <w:p w14:paraId="676652EF" w14:textId="3B976539" w:rsidR="00882E1A" w:rsidRPr="005F22DE" w:rsidRDefault="00882E1A" w:rsidP="005F22DE">
      <w:pPr>
        <w:jc w:val="center"/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</w:pPr>
      <w:r w:rsidRPr="005F22DE"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  <w:t xml:space="preserve">Adherencia a Guía de Práctica Clínica – </w:t>
      </w:r>
      <w:r w:rsidR="00017BE9"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  <w:t>Dolor Lumbar</w:t>
      </w:r>
    </w:p>
    <w:p w14:paraId="5EF4E1D9" w14:textId="77777777" w:rsidR="003F0035" w:rsidRPr="003F0035" w:rsidRDefault="003F0035" w:rsidP="003F0035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  <w:r w:rsidRPr="003F0035">
        <w:rPr>
          <w:rFonts w:asciiTheme="majorHAnsi" w:hAnsiTheme="majorHAnsi" w:cstheme="majorHAnsi"/>
          <w:sz w:val="24"/>
          <w:szCs w:val="24"/>
          <w:u w:val="single"/>
        </w:rPr>
        <w:t>Parámetro 1. Evaluación diagnóstica y clasificación del dolor lumbar</w:t>
      </w:r>
    </w:p>
    <w:p w14:paraId="73892303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Pregunta de evaluación:</w:t>
      </w:r>
    </w:p>
    <w:p w14:paraId="6F111A7B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¿Se documentó una evaluación clínica integral que permitiera clasificar el tipo de dolor lumbar?</w:t>
      </w:r>
    </w:p>
    <w:p w14:paraId="7E31CC34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Descripción de lo que debe registrarse:</w:t>
      </w:r>
    </w:p>
    <w:p w14:paraId="5773D9E8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Debe evidenciarse:</w:t>
      </w:r>
    </w:p>
    <w:p w14:paraId="127B6C3B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• Caracterización del dolor (inicio, duración, irradiación, intensidad).</w:t>
      </w:r>
      <w:r w:rsidRPr="003F0035">
        <w:rPr>
          <w:rFonts w:asciiTheme="majorHAnsi" w:hAnsiTheme="majorHAnsi" w:cstheme="majorHAnsi"/>
        </w:rPr>
        <w:br/>
        <w:t>• Síntomas asociados (alteraciones sensitivas, motoras o claudicación neurógena).</w:t>
      </w:r>
      <w:r w:rsidRPr="003F0035">
        <w:rPr>
          <w:rFonts w:asciiTheme="majorHAnsi" w:hAnsiTheme="majorHAnsi" w:cstheme="majorHAnsi"/>
        </w:rPr>
        <w:br/>
        <w:t>• Examen físico orientado (fuerza, sensibilidad, reflejos y maniobras neurológicas).</w:t>
      </w:r>
      <w:r w:rsidRPr="003F0035">
        <w:rPr>
          <w:rFonts w:asciiTheme="majorHAnsi" w:hAnsiTheme="majorHAnsi" w:cstheme="majorHAnsi"/>
        </w:rPr>
        <w:br/>
        <w:t>• Clasificación clínica del dolor lumbar (inespecífico, lumboradicular, claudicación neurógena o inflamatorio).</w:t>
      </w:r>
    </w:p>
    <w:p w14:paraId="23F3C9D5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Criterios de calificación</w:t>
      </w:r>
    </w:p>
    <w:p w14:paraId="5A92C545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5 – Sí cumple:</w:t>
      </w:r>
      <w:r w:rsidRPr="003F0035">
        <w:rPr>
          <w:rFonts w:asciiTheme="majorHAnsi" w:hAnsiTheme="majorHAnsi" w:cstheme="majorHAnsi"/>
        </w:rPr>
        <w:br/>
        <w:t>Documenta evaluación clínica completa y clasificación del dolor lumbar.</w:t>
      </w:r>
    </w:p>
    <w:p w14:paraId="4BA6E08D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4 – Cumple adecuadamente:</w:t>
      </w:r>
      <w:r w:rsidRPr="003F0035">
        <w:rPr>
          <w:rFonts w:asciiTheme="majorHAnsi" w:hAnsiTheme="majorHAnsi" w:cstheme="majorHAnsi"/>
        </w:rPr>
        <w:br/>
        <w:t>Describe el dolor y realiza examen parcial, pero no clasifica claramente el tipo de dolor.</w:t>
      </w:r>
    </w:p>
    <w:p w14:paraId="5C015E0F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1 – No cumple:</w:t>
      </w:r>
      <w:r w:rsidRPr="003F0035">
        <w:rPr>
          <w:rFonts w:asciiTheme="majorHAnsi" w:hAnsiTheme="majorHAnsi" w:cstheme="majorHAnsi"/>
        </w:rPr>
        <w:br/>
        <w:t>No evidencia evaluación estructurada ni clasificación clínica.</w:t>
      </w:r>
    </w:p>
    <w:p w14:paraId="3B824150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NA – No aplica</w:t>
      </w:r>
    </w:p>
    <w:p w14:paraId="513C72EA" w14:textId="77777777" w:rsidR="003F0035" w:rsidRPr="003F0035" w:rsidRDefault="003F0035" w:rsidP="003F0035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</w:p>
    <w:p w14:paraId="03750B07" w14:textId="6FF97CFA" w:rsidR="003F0035" w:rsidRPr="003F0035" w:rsidRDefault="003F0035" w:rsidP="003F0035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  <w:r w:rsidRPr="003F0035">
        <w:rPr>
          <w:rFonts w:asciiTheme="majorHAnsi" w:hAnsiTheme="majorHAnsi" w:cstheme="majorHAnsi"/>
          <w:sz w:val="24"/>
          <w:szCs w:val="24"/>
          <w:u w:val="single"/>
        </w:rPr>
        <w:t>Parámetro 2. Identificación de banderas rojas y amarillas</w:t>
      </w:r>
    </w:p>
    <w:p w14:paraId="3C34BD85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Pregunta de evaluación:</w:t>
      </w:r>
    </w:p>
    <w:p w14:paraId="4E577713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¿Se evaluó y registró la presencia o ausencia de banderas rojas y factores de cronificación (banderas amarillas)?</w:t>
      </w:r>
    </w:p>
    <w:p w14:paraId="0C7FF2FD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Descripción de lo que debe registrarse:</w:t>
      </w:r>
    </w:p>
    <w:p w14:paraId="23999AA5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lastRenderedPageBreak/>
        <w:t>Debe incluir evaluación de:</w:t>
      </w:r>
    </w:p>
    <w:p w14:paraId="56CE7166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Banderas rojas:</w:t>
      </w:r>
    </w:p>
    <w:p w14:paraId="48E13E81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• Cauda equina.</w:t>
      </w:r>
      <w:r w:rsidRPr="003F0035">
        <w:rPr>
          <w:rFonts w:asciiTheme="majorHAnsi" w:hAnsiTheme="majorHAnsi" w:cstheme="majorHAnsi"/>
        </w:rPr>
        <w:br/>
        <w:t>• Cáncer.</w:t>
      </w:r>
      <w:r w:rsidRPr="003F0035">
        <w:rPr>
          <w:rFonts w:asciiTheme="majorHAnsi" w:hAnsiTheme="majorHAnsi" w:cstheme="majorHAnsi"/>
        </w:rPr>
        <w:br/>
        <w:t>• Infección.</w:t>
      </w:r>
      <w:r w:rsidRPr="003F0035">
        <w:rPr>
          <w:rFonts w:asciiTheme="majorHAnsi" w:hAnsiTheme="majorHAnsi" w:cstheme="majorHAnsi"/>
        </w:rPr>
        <w:br/>
        <w:t>• Fractura.</w:t>
      </w:r>
      <w:r w:rsidRPr="003F0035">
        <w:rPr>
          <w:rFonts w:asciiTheme="majorHAnsi" w:hAnsiTheme="majorHAnsi" w:cstheme="majorHAnsi"/>
        </w:rPr>
        <w:br/>
        <w:t>• Enfermedad inflamatoria.</w:t>
      </w:r>
    </w:p>
    <w:p w14:paraId="0427BCA6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Banderas amarillas:</w:t>
      </w:r>
    </w:p>
    <w:p w14:paraId="037CE15C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• Ansiedad, depresión o estrés.</w:t>
      </w:r>
      <w:r w:rsidRPr="003F0035">
        <w:rPr>
          <w:rFonts w:asciiTheme="majorHAnsi" w:hAnsiTheme="majorHAnsi" w:cstheme="majorHAnsi"/>
        </w:rPr>
        <w:br/>
        <w:t>• Miedo al movimiento.</w:t>
      </w:r>
      <w:r w:rsidRPr="003F0035">
        <w:rPr>
          <w:rFonts w:asciiTheme="majorHAnsi" w:hAnsiTheme="majorHAnsi" w:cstheme="majorHAnsi"/>
        </w:rPr>
        <w:br/>
        <w:t>• Ausentismo laboral.</w:t>
      </w:r>
      <w:r w:rsidRPr="003F0035">
        <w:rPr>
          <w:rFonts w:asciiTheme="majorHAnsi" w:hAnsiTheme="majorHAnsi" w:cstheme="majorHAnsi"/>
        </w:rPr>
        <w:br/>
        <w:t>• Conductas evitativas.</w:t>
      </w:r>
      <w:r w:rsidRPr="003F0035">
        <w:rPr>
          <w:rFonts w:asciiTheme="majorHAnsi" w:hAnsiTheme="majorHAnsi" w:cstheme="majorHAnsi"/>
        </w:rPr>
        <w:br/>
        <w:t>• Problemas sociales o laborales.</w:t>
      </w:r>
    </w:p>
    <w:p w14:paraId="68DE2A9C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Criterios de calificación</w:t>
      </w:r>
    </w:p>
    <w:p w14:paraId="2E15989C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5 – Sí cumple:</w:t>
      </w:r>
      <w:r w:rsidRPr="003F0035">
        <w:rPr>
          <w:rFonts w:asciiTheme="majorHAnsi" w:hAnsiTheme="majorHAnsi" w:cstheme="majorHAnsi"/>
        </w:rPr>
        <w:br/>
        <w:t>Documenta búsqueda de banderas rojas y amarillas con conducta acorde a los hallazgos.</w:t>
      </w:r>
    </w:p>
    <w:p w14:paraId="0D8C6EC5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4 – Cumple adecuadamente:</w:t>
      </w:r>
      <w:r w:rsidRPr="003F0035">
        <w:rPr>
          <w:rFonts w:asciiTheme="majorHAnsi" w:hAnsiTheme="majorHAnsi" w:cstheme="majorHAnsi"/>
        </w:rPr>
        <w:br/>
        <w:t>Registra parcialmente banderas rojas o amarillas.</w:t>
      </w:r>
    </w:p>
    <w:p w14:paraId="5F8223BA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1 – No cumple:</w:t>
      </w:r>
      <w:r w:rsidRPr="003F0035">
        <w:rPr>
          <w:rFonts w:asciiTheme="majorHAnsi" w:hAnsiTheme="majorHAnsi" w:cstheme="majorHAnsi"/>
        </w:rPr>
        <w:br/>
        <w:t>No documenta evaluación de factores de alarma o cronificación.</w:t>
      </w:r>
    </w:p>
    <w:p w14:paraId="1EA17E33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NA – No aplica</w:t>
      </w:r>
    </w:p>
    <w:p w14:paraId="40867033" w14:textId="77777777" w:rsidR="003F0035" w:rsidRPr="003F0035" w:rsidRDefault="003F0035" w:rsidP="003F0035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  <w:r w:rsidRPr="003F0035">
        <w:rPr>
          <w:rFonts w:asciiTheme="majorHAnsi" w:hAnsiTheme="majorHAnsi" w:cstheme="majorHAnsi"/>
          <w:sz w:val="24"/>
          <w:szCs w:val="24"/>
          <w:u w:val="single"/>
        </w:rPr>
        <w:t>Parámetro 3. Pertinencia en la solicitud de imágenes diagnósticas</w:t>
      </w:r>
    </w:p>
    <w:p w14:paraId="008B1AF7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Pregunta de evaluación:</w:t>
      </w:r>
    </w:p>
    <w:p w14:paraId="73961F50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¿La solicitud o no solicitud de estudios de imagen fue consistente con los criterios clínicos establecidos?</w:t>
      </w:r>
    </w:p>
    <w:p w14:paraId="613C38FF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Descripción de lo que debe registrarse:</w:t>
      </w:r>
    </w:p>
    <w:p w14:paraId="5E637A75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Debe evidenciarse:</w:t>
      </w:r>
    </w:p>
    <w:p w14:paraId="295DC2F5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• Justificación clínica para solicitar imágenes.</w:t>
      </w:r>
      <w:r w:rsidRPr="003F0035">
        <w:rPr>
          <w:rFonts w:asciiTheme="majorHAnsi" w:hAnsiTheme="majorHAnsi" w:cstheme="majorHAnsi"/>
        </w:rPr>
        <w:br/>
        <w:t>• Presencia de banderas rojas o déficit neurológico cuando se solicita RM.</w:t>
      </w:r>
      <w:r w:rsidRPr="003F0035">
        <w:rPr>
          <w:rFonts w:asciiTheme="majorHAnsi" w:hAnsiTheme="majorHAnsi" w:cstheme="majorHAnsi"/>
        </w:rPr>
        <w:br/>
        <w:t>• Sospecha de fractura, cáncer o enfermedad inflamatoria para radiografía.</w:t>
      </w:r>
      <w:r w:rsidRPr="003F0035">
        <w:rPr>
          <w:rFonts w:asciiTheme="majorHAnsi" w:hAnsiTheme="majorHAnsi" w:cstheme="majorHAnsi"/>
        </w:rPr>
        <w:br/>
      </w:r>
      <w:r w:rsidRPr="003F0035">
        <w:rPr>
          <w:rFonts w:asciiTheme="majorHAnsi" w:hAnsiTheme="majorHAnsi" w:cstheme="majorHAnsi"/>
        </w:rPr>
        <w:lastRenderedPageBreak/>
        <w:t>• Justificación de TC cuando la RM esté contraindicada.</w:t>
      </w:r>
      <w:r w:rsidRPr="003F0035">
        <w:rPr>
          <w:rFonts w:asciiTheme="majorHAnsi" w:hAnsiTheme="majorHAnsi" w:cstheme="majorHAnsi"/>
        </w:rPr>
        <w:br/>
        <w:t>• En dolor lumbar agudo sin alarmas, evidencia de manejo sin imágenes de rutina.</w:t>
      </w:r>
    </w:p>
    <w:p w14:paraId="0D0CEC6D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Criterios de calificación</w:t>
      </w:r>
    </w:p>
    <w:p w14:paraId="43D6C6A6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5 – Sí cumple:</w:t>
      </w:r>
      <w:r w:rsidRPr="003F0035">
        <w:rPr>
          <w:rFonts w:asciiTheme="majorHAnsi" w:hAnsiTheme="majorHAnsi" w:cstheme="majorHAnsi"/>
        </w:rPr>
        <w:br/>
        <w:t>La conducta respecto a imágenes es totalmente consistente con la guía.</w:t>
      </w:r>
    </w:p>
    <w:p w14:paraId="218F98DC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4 – Cumple adecuadamente:</w:t>
      </w:r>
      <w:r w:rsidRPr="003F0035">
        <w:rPr>
          <w:rFonts w:asciiTheme="majorHAnsi" w:hAnsiTheme="majorHAnsi" w:cstheme="majorHAnsi"/>
        </w:rPr>
        <w:br/>
        <w:t>Solicita imágenes con justificación parcial.</w:t>
      </w:r>
    </w:p>
    <w:p w14:paraId="1CE7FF80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1 – No cumple:</w:t>
      </w:r>
      <w:r w:rsidRPr="003F0035">
        <w:rPr>
          <w:rFonts w:asciiTheme="majorHAnsi" w:hAnsiTheme="majorHAnsi" w:cstheme="majorHAnsi"/>
        </w:rPr>
        <w:br/>
        <w:t>Solicita imágenes sin indicación clínica o no las solicita cuando estaban indicadas.</w:t>
      </w:r>
    </w:p>
    <w:p w14:paraId="0B41813C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NA – No aplica</w:t>
      </w:r>
    </w:p>
    <w:p w14:paraId="1A37D8A2" w14:textId="77777777" w:rsidR="003F0035" w:rsidRPr="003F0035" w:rsidRDefault="003F0035" w:rsidP="003F0035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  <w:r w:rsidRPr="003F0035">
        <w:rPr>
          <w:rFonts w:asciiTheme="majorHAnsi" w:hAnsiTheme="majorHAnsi" w:cstheme="majorHAnsi"/>
          <w:sz w:val="24"/>
          <w:szCs w:val="24"/>
          <w:u w:val="single"/>
        </w:rPr>
        <w:t>Parámetro 4. Tratamiento inicial</w:t>
      </w:r>
    </w:p>
    <w:p w14:paraId="6B7E7A6B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Pregunta de evaluación:</w:t>
      </w:r>
    </w:p>
    <w:p w14:paraId="6E2B4438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¿El manejo instaurado corresponde con las recomendaciones institucionales para dolor lumbar?</w:t>
      </w:r>
    </w:p>
    <w:p w14:paraId="0CE5012C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Descripción de lo que debe registrarse:</w:t>
      </w:r>
    </w:p>
    <w:p w14:paraId="486AACF5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Debe incluir:</w:t>
      </w:r>
    </w:p>
    <w:p w14:paraId="3F7A00C8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• Educación y autocuidado.</w:t>
      </w:r>
      <w:r w:rsidRPr="003F0035">
        <w:rPr>
          <w:rFonts w:asciiTheme="majorHAnsi" w:hAnsiTheme="majorHAnsi" w:cstheme="majorHAnsi"/>
        </w:rPr>
        <w:br/>
        <w:t>• Recomendación de mantener actividad física.</w:t>
      </w:r>
      <w:r w:rsidRPr="003F0035">
        <w:rPr>
          <w:rFonts w:asciiTheme="majorHAnsi" w:hAnsiTheme="majorHAnsi" w:cstheme="majorHAnsi"/>
        </w:rPr>
        <w:br/>
        <w:t>• Ejercicio terapéutico o medidas no farmacológicas.</w:t>
      </w:r>
      <w:r w:rsidRPr="003F0035">
        <w:rPr>
          <w:rFonts w:asciiTheme="majorHAnsi" w:hAnsiTheme="majorHAnsi" w:cstheme="majorHAnsi"/>
        </w:rPr>
        <w:br/>
        <w:t>• Uso racional de AINE cuando esté indicado.</w:t>
      </w:r>
      <w:r w:rsidRPr="003F0035">
        <w:rPr>
          <w:rFonts w:asciiTheme="majorHAnsi" w:hAnsiTheme="majorHAnsi" w:cstheme="majorHAnsi"/>
        </w:rPr>
        <w:br/>
        <w:t>• Justificación clínica de tratamientos farmacológicos.</w:t>
      </w:r>
    </w:p>
    <w:p w14:paraId="467CC0F6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Criterios de calificación</w:t>
      </w:r>
    </w:p>
    <w:p w14:paraId="3B038212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5 – Sí cumple:</w:t>
      </w:r>
      <w:r w:rsidRPr="003F0035">
        <w:rPr>
          <w:rFonts w:asciiTheme="majorHAnsi" w:hAnsiTheme="majorHAnsi" w:cstheme="majorHAnsi"/>
        </w:rPr>
        <w:br/>
        <w:t>Tratamiento farmacológico y no farmacológico acorde con la guía.</w:t>
      </w:r>
    </w:p>
    <w:p w14:paraId="10A1CB2D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4 – Cumple adecuadamente:</w:t>
      </w:r>
      <w:r w:rsidRPr="003F0035">
        <w:rPr>
          <w:rFonts w:asciiTheme="majorHAnsi" w:hAnsiTheme="majorHAnsi" w:cstheme="majorHAnsi"/>
        </w:rPr>
        <w:br/>
        <w:t>Tratamiento parcialmente acorde, con omisión de algunas recomendaciones.</w:t>
      </w:r>
    </w:p>
    <w:p w14:paraId="29FC40A3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1 – No cumple:</w:t>
      </w:r>
      <w:r w:rsidRPr="003F0035">
        <w:rPr>
          <w:rFonts w:asciiTheme="majorHAnsi" w:hAnsiTheme="majorHAnsi" w:cstheme="majorHAnsi"/>
        </w:rPr>
        <w:br/>
        <w:t>Tratamiento no consistente con las recomendaciones institucionales.</w:t>
      </w:r>
    </w:p>
    <w:p w14:paraId="4D486509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NA – No aplica</w:t>
      </w:r>
    </w:p>
    <w:p w14:paraId="080E2282" w14:textId="77777777" w:rsidR="003F0035" w:rsidRPr="003F0035" w:rsidRDefault="003F0035" w:rsidP="003F0035">
      <w:pPr>
        <w:pStyle w:val="Ttulo1"/>
        <w:rPr>
          <w:rFonts w:asciiTheme="majorHAnsi" w:hAnsiTheme="majorHAnsi" w:cstheme="majorHAnsi"/>
          <w:sz w:val="24"/>
          <w:szCs w:val="24"/>
          <w:u w:val="single"/>
        </w:rPr>
      </w:pPr>
      <w:r w:rsidRPr="003F0035">
        <w:rPr>
          <w:rFonts w:asciiTheme="majorHAnsi" w:hAnsiTheme="majorHAnsi" w:cstheme="majorHAnsi"/>
          <w:sz w:val="24"/>
          <w:szCs w:val="24"/>
          <w:u w:val="single"/>
        </w:rPr>
        <w:lastRenderedPageBreak/>
        <w:t>Parámetro 5. Remisión y seguimiento</w:t>
      </w:r>
    </w:p>
    <w:p w14:paraId="214E92E5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Pregunta de evaluación:</w:t>
      </w:r>
    </w:p>
    <w:p w14:paraId="5E662179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¿Se documentó seguimiento o remisión adecuada según los hallazgos clínicos?</w:t>
      </w:r>
    </w:p>
    <w:p w14:paraId="0F1F0756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Descripción de lo que debe registrarse:</w:t>
      </w:r>
    </w:p>
    <w:p w14:paraId="346922B1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Debe incluir:</w:t>
      </w:r>
    </w:p>
    <w:p w14:paraId="4064BFD6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Fonts w:asciiTheme="majorHAnsi" w:hAnsiTheme="majorHAnsi" w:cstheme="majorHAnsi"/>
        </w:rPr>
        <w:t>• Plan de seguimiento.</w:t>
      </w:r>
      <w:r w:rsidRPr="003F0035">
        <w:rPr>
          <w:rFonts w:asciiTheme="majorHAnsi" w:hAnsiTheme="majorHAnsi" w:cstheme="majorHAnsi"/>
        </w:rPr>
        <w:br/>
        <w:t>• Reevaluación clínica cuando corresponda.</w:t>
      </w:r>
      <w:r w:rsidRPr="003F0035">
        <w:rPr>
          <w:rFonts w:asciiTheme="majorHAnsi" w:hAnsiTheme="majorHAnsi" w:cstheme="majorHAnsi"/>
        </w:rPr>
        <w:br/>
        <w:t>• Remisión prioritaria ante banderas rojas.</w:t>
      </w:r>
      <w:r w:rsidRPr="003F0035">
        <w:rPr>
          <w:rFonts w:asciiTheme="majorHAnsi" w:hAnsiTheme="majorHAnsi" w:cstheme="majorHAnsi"/>
        </w:rPr>
        <w:br/>
        <w:t>• Remisión a neurocirugía, fisiatría, reumatología o medicina interna según criterios clínicos.</w:t>
      </w:r>
    </w:p>
    <w:p w14:paraId="74203EEB" w14:textId="77777777" w:rsidR="003F0035" w:rsidRPr="003F0035" w:rsidRDefault="003F0035" w:rsidP="003F0035">
      <w:pPr>
        <w:pStyle w:val="Ttulo3"/>
        <w:rPr>
          <w:rFonts w:asciiTheme="majorHAnsi" w:hAnsiTheme="majorHAnsi" w:cstheme="majorHAnsi"/>
          <w:sz w:val="24"/>
          <w:szCs w:val="24"/>
        </w:rPr>
      </w:pPr>
      <w:r w:rsidRPr="003F0035">
        <w:rPr>
          <w:rFonts w:asciiTheme="majorHAnsi" w:hAnsiTheme="majorHAnsi" w:cstheme="majorHAnsi"/>
          <w:sz w:val="24"/>
          <w:szCs w:val="24"/>
        </w:rPr>
        <w:t>Criterios de calificación</w:t>
      </w:r>
    </w:p>
    <w:p w14:paraId="141AB6D5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5 – Sí cumple:</w:t>
      </w:r>
      <w:r w:rsidRPr="003F0035">
        <w:rPr>
          <w:rFonts w:asciiTheme="majorHAnsi" w:hAnsiTheme="majorHAnsi" w:cstheme="majorHAnsi"/>
        </w:rPr>
        <w:br/>
        <w:t>Documenta seguimiento y remisión apropiada según la ruta clínica.</w:t>
      </w:r>
    </w:p>
    <w:p w14:paraId="5FE4CDC9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4 – Cumple adecuadamente:</w:t>
      </w:r>
      <w:r w:rsidRPr="003F0035">
        <w:rPr>
          <w:rFonts w:asciiTheme="majorHAnsi" w:hAnsiTheme="majorHAnsi" w:cstheme="majorHAnsi"/>
        </w:rPr>
        <w:br/>
        <w:t>Menciona seguimiento o remisión, pero sin criterios claramente documentados.</w:t>
      </w:r>
    </w:p>
    <w:p w14:paraId="67B79200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1 – No cumple:</w:t>
      </w:r>
      <w:r w:rsidRPr="003F0035">
        <w:rPr>
          <w:rFonts w:asciiTheme="majorHAnsi" w:hAnsiTheme="majorHAnsi" w:cstheme="majorHAnsi"/>
        </w:rPr>
        <w:br/>
        <w:t>No documenta seguimiento ni remisión cuando estaba indicada.</w:t>
      </w:r>
    </w:p>
    <w:p w14:paraId="0868FF1E" w14:textId="77777777" w:rsidR="003F0035" w:rsidRPr="003F0035" w:rsidRDefault="003F0035" w:rsidP="003F0035">
      <w:pPr>
        <w:pStyle w:val="NormalWeb"/>
        <w:rPr>
          <w:rFonts w:asciiTheme="majorHAnsi" w:hAnsiTheme="majorHAnsi" w:cstheme="majorHAnsi"/>
        </w:rPr>
      </w:pPr>
      <w:r w:rsidRPr="003F0035">
        <w:rPr>
          <w:rStyle w:val="Textoennegrita"/>
          <w:rFonts w:asciiTheme="majorHAnsi" w:hAnsiTheme="majorHAnsi" w:cstheme="majorHAnsi"/>
        </w:rPr>
        <w:t>NA – No aplica</w:t>
      </w:r>
    </w:p>
    <w:p w14:paraId="335F32C3" w14:textId="0A9942A4" w:rsidR="00D469A0" w:rsidRPr="003F0035" w:rsidRDefault="00D469A0" w:rsidP="001E3E7B">
      <w:pPr>
        <w:spacing w:line="276" w:lineRule="auto"/>
        <w:jc w:val="both"/>
        <w:rPr>
          <w:rFonts w:ascii="Calibri Light" w:hAnsi="Calibri Light" w:cs="Calibri Light"/>
          <w:sz w:val="20"/>
          <w:szCs w:val="20"/>
          <w:lang w:val="es-CO"/>
        </w:rPr>
      </w:pPr>
      <w:r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 xml:space="preserve">La metodología de evaluación propuesta fue revisada y validada por </w:t>
      </w:r>
      <w:r w:rsidR="00D7282D"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>el Grupo Estratégico y Clínico de GPC</w:t>
      </w:r>
      <w:r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>. Durante dicha revisión se consideró que la herramienta presenta preguntas claras y pertinentes para evaluar la</w:t>
      </w:r>
      <w:r w:rsidR="007F1221"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 xml:space="preserve"> GPC de</w:t>
      </w:r>
      <w:r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 xml:space="preserve"> </w:t>
      </w:r>
      <w:r w:rsid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>Dolor Lumbar</w:t>
      </w:r>
      <w:r w:rsidR="001E3E7B"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 xml:space="preserve"> </w:t>
      </w:r>
      <w:r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 xml:space="preserve">conforme a las recomendaciones </w:t>
      </w:r>
      <w:r w:rsidR="007F1221" w:rsidRPr="003F0035">
        <w:rPr>
          <w:rFonts w:ascii="Calibri Light" w:hAnsi="Calibri Light" w:cs="Calibri Light"/>
          <w:b/>
          <w:bCs/>
          <w:sz w:val="20"/>
          <w:szCs w:val="20"/>
          <w:lang w:val="es-CO"/>
        </w:rPr>
        <w:t xml:space="preserve">trazadoras. </w:t>
      </w:r>
    </w:p>
    <w:sectPr w:rsidR="00D469A0" w:rsidRPr="003F0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EFE68" w14:textId="77777777" w:rsidR="001E48F1" w:rsidRDefault="001E48F1" w:rsidP="008F650C">
      <w:pPr>
        <w:spacing w:after="0" w:line="240" w:lineRule="auto"/>
      </w:pPr>
      <w:r>
        <w:separator/>
      </w:r>
    </w:p>
  </w:endnote>
  <w:endnote w:type="continuationSeparator" w:id="0">
    <w:p w14:paraId="69C8E728" w14:textId="77777777" w:rsidR="001E48F1" w:rsidRDefault="001E48F1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1BB94" w14:textId="77777777" w:rsidR="001E48F1" w:rsidRDefault="001E48F1" w:rsidP="008F650C">
      <w:pPr>
        <w:spacing w:after="0" w:line="240" w:lineRule="auto"/>
      </w:pPr>
      <w:r>
        <w:separator/>
      </w:r>
    </w:p>
  </w:footnote>
  <w:footnote w:type="continuationSeparator" w:id="0">
    <w:p w14:paraId="72AEF719" w14:textId="77777777" w:rsidR="001E48F1" w:rsidRDefault="001E48F1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1E48F1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1E48F1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1E48F1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14CC"/>
    <w:multiLevelType w:val="hybridMultilevel"/>
    <w:tmpl w:val="06AE7BD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365A"/>
    <w:multiLevelType w:val="multilevel"/>
    <w:tmpl w:val="8EF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7841"/>
    <w:multiLevelType w:val="hybridMultilevel"/>
    <w:tmpl w:val="3072E530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D9F411F"/>
    <w:multiLevelType w:val="hybridMultilevel"/>
    <w:tmpl w:val="6B08826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25A3F"/>
    <w:multiLevelType w:val="multilevel"/>
    <w:tmpl w:val="C86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63A3F"/>
    <w:multiLevelType w:val="multilevel"/>
    <w:tmpl w:val="AAB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C0C73"/>
    <w:multiLevelType w:val="multilevel"/>
    <w:tmpl w:val="935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E305B"/>
    <w:multiLevelType w:val="hybridMultilevel"/>
    <w:tmpl w:val="8488B6BA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946378B"/>
    <w:multiLevelType w:val="hybridMultilevel"/>
    <w:tmpl w:val="32D452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8A0974"/>
    <w:multiLevelType w:val="hybridMultilevel"/>
    <w:tmpl w:val="BB9601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204DA"/>
    <w:multiLevelType w:val="hybridMultilevel"/>
    <w:tmpl w:val="B3FC567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9791C"/>
    <w:multiLevelType w:val="hybridMultilevel"/>
    <w:tmpl w:val="CEBA38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A0930"/>
    <w:multiLevelType w:val="hybridMultilevel"/>
    <w:tmpl w:val="41746A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368FF"/>
    <w:multiLevelType w:val="multilevel"/>
    <w:tmpl w:val="8FC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93F8F"/>
    <w:multiLevelType w:val="multilevel"/>
    <w:tmpl w:val="492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F166D"/>
    <w:multiLevelType w:val="multilevel"/>
    <w:tmpl w:val="316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53628"/>
    <w:multiLevelType w:val="hybridMultilevel"/>
    <w:tmpl w:val="E82C81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20B61"/>
    <w:multiLevelType w:val="hybridMultilevel"/>
    <w:tmpl w:val="6CDA40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67F47"/>
    <w:multiLevelType w:val="multilevel"/>
    <w:tmpl w:val="375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90FE8"/>
    <w:multiLevelType w:val="hybridMultilevel"/>
    <w:tmpl w:val="B414F6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876DDD"/>
    <w:multiLevelType w:val="hybridMultilevel"/>
    <w:tmpl w:val="FF063C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0475B"/>
    <w:multiLevelType w:val="multilevel"/>
    <w:tmpl w:val="51F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B5DDA"/>
    <w:multiLevelType w:val="multilevel"/>
    <w:tmpl w:val="9B0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5759F"/>
    <w:multiLevelType w:val="multilevel"/>
    <w:tmpl w:val="32CC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02EAF"/>
    <w:multiLevelType w:val="hybridMultilevel"/>
    <w:tmpl w:val="618210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373DE7"/>
    <w:multiLevelType w:val="hybridMultilevel"/>
    <w:tmpl w:val="F15E662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87269E"/>
    <w:multiLevelType w:val="hybridMultilevel"/>
    <w:tmpl w:val="70BECB3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871D2C"/>
    <w:multiLevelType w:val="hybridMultilevel"/>
    <w:tmpl w:val="976809F2"/>
    <w:lvl w:ilvl="0" w:tplc="2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E575B"/>
    <w:multiLevelType w:val="hybridMultilevel"/>
    <w:tmpl w:val="16BA261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56444"/>
    <w:multiLevelType w:val="multilevel"/>
    <w:tmpl w:val="7C6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F286D"/>
    <w:multiLevelType w:val="hybridMultilevel"/>
    <w:tmpl w:val="1D349B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50D1F"/>
    <w:multiLevelType w:val="multilevel"/>
    <w:tmpl w:val="017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C5869"/>
    <w:multiLevelType w:val="multilevel"/>
    <w:tmpl w:val="DCA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535A6"/>
    <w:multiLevelType w:val="multilevel"/>
    <w:tmpl w:val="C68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55373"/>
    <w:multiLevelType w:val="multilevel"/>
    <w:tmpl w:val="67C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A154B"/>
    <w:multiLevelType w:val="hybridMultilevel"/>
    <w:tmpl w:val="15ACB9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34404"/>
    <w:multiLevelType w:val="multilevel"/>
    <w:tmpl w:val="027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9679A"/>
    <w:multiLevelType w:val="hybridMultilevel"/>
    <w:tmpl w:val="873EC59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57519"/>
    <w:multiLevelType w:val="multilevel"/>
    <w:tmpl w:val="266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00F64"/>
    <w:multiLevelType w:val="multilevel"/>
    <w:tmpl w:val="234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F396A"/>
    <w:multiLevelType w:val="multilevel"/>
    <w:tmpl w:val="92D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200B4"/>
    <w:multiLevelType w:val="multilevel"/>
    <w:tmpl w:val="589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76D5A"/>
    <w:multiLevelType w:val="hybridMultilevel"/>
    <w:tmpl w:val="E2961A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F73301"/>
    <w:multiLevelType w:val="hybridMultilevel"/>
    <w:tmpl w:val="EB801BCA"/>
    <w:lvl w:ilvl="0" w:tplc="240A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40"/>
  </w:num>
  <w:num w:numId="4">
    <w:abstractNumId w:val="18"/>
  </w:num>
  <w:num w:numId="5">
    <w:abstractNumId w:val="31"/>
  </w:num>
  <w:num w:numId="6">
    <w:abstractNumId w:val="4"/>
  </w:num>
  <w:num w:numId="7">
    <w:abstractNumId w:val="33"/>
  </w:num>
  <w:num w:numId="8">
    <w:abstractNumId w:val="23"/>
  </w:num>
  <w:num w:numId="9">
    <w:abstractNumId w:val="34"/>
  </w:num>
  <w:num w:numId="10">
    <w:abstractNumId w:val="41"/>
  </w:num>
  <w:num w:numId="11">
    <w:abstractNumId w:val="29"/>
  </w:num>
  <w:num w:numId="12">
    <w:abstractNumId w:val="22"/>
  </w:num>
  <w:num w:numId="13">
    <w:abstractNumId w:val="36"/>
  </w:num>
  <w:num w:numId="14">
    <w:abstractNumId w:val="27"/>
  </w:num>
  <w:num w:numId="15">
    <w:abstractNumId w:val="0"/>
  </w:num>
  <w:num w:numId="16">
    <w:abstractNumId w:val="30"/>
  </w:num>
  <w:num w:numId="17">
    <w:abstractNumId w:val="9"/>
  </w:num>
  <w:num w:numId="18">
    <w:abstractNumId w:val="16"/>
  </w:num>
  <w:num w:numId="19">
    <w:abstractNumId w:val="2"/>
  </w:num>
  <w:num w:numId="20">
    <w:abstractNumId w:val="7"/>
  </w:num>
  <w:num w:numId="21">
    <w:abstractNumId w:val="11"/>
  </w:num>
  <w:num w:numId="22">
    <w:abstractNumId w:val="43"/>
  </w:num>
  <w:num w:numId="23">
    <w:abstractNumId w:val="28"/>
  </w:num>
  <w:num w:numId="24">
    <w:abstractNumId w:val="42"/>
  </w:num>
  <w:num w:numId="25">
    <w:abstractNumId w:val="8"/>
  </w:num>
  <w:num w:numId="26">
    <w:abstractNumId w:val="25"/>
  </w:num>
  <w:num w:numId="27">
    <w:abstractNumId w:val="35"/>
  </w:num>
  <w:num w:numId="28">
    <w:abstractNumId w:val="17"/>
  </w:num>
  <w:num w:numId="29">
    <w:abstractNumId w:val="19"/>
  </w:num>
  <w:num w:numId="30">
    <w:abstractNumId w:val="10"/>
  </w:num>
  <w:num w:numId="31">
    <w:abstractNumId w:val="12"/>
  </w:num>
  <w:num w:numId="32">
    <w:abstractNumId w:val="3"/>
  </w:num>
  <w:num w:numId="33">
    <w:abstractNumId w:val="20"/>
  </w:num>
  <w:num w:numId="34">
    <w:abstractNumId w:val="24"/>
  </w:num>
  <w:num w:numId="35">
    <w:abstractNumId w:val="26"/>
  </w:num>
  <w:num w:numId="36">
    <w:abstractNumId w:val="37"/>
  </w:num>
  <w:num w:numId="37">
    <w:abstractNumId w:val="39"/>
  </w:num>
  <w:num w:numId="38">
    <w:abstractNumId w:val="32"/>
  </w:num>
  <w:num w:numId="39">
    <w:abstractNumId w:val="38"/>
  </w:num>
  <w:num w:numId="40">
    <w:abstractNumId w:val="15"/>
  </w:num>
  <w:num w:numId="41">
    <w:abstractNumId w:val="14"/>
  </w:num>
  <w:num w:numId="42">
    <w:abstractNumId w:val="1"/>
  </w:num>
  <w:num w:numId="43">
    <w:abstractNumId w:val="13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017BE9"/>
    <w:rsid w:val="00106A86"/>
    <w:rsid w:val="00107682"/>
    <w:rsid w:val="00116DE2"/>
    <w:rsid w:val="00161CF0"/>
    <w:rsid w:val="001E3E7B"/>
    <w:rsid w:val="001E48F1"/>
    <w:rsid w:val="001F4864"/>
    <w:rsid w:val="0034091C"/>
    <w:rsid w:val="00363957"/>
    <w:rsid w:val="003F0035"/>
    <w:rsid w:val="00405E4D"/>
    <w:rsid w:val="00476DD4"/>
    <w:rsid w:val="005F22DE"/>
    <w:rsid w:val="00643573"/>
    <w:rsid w:val="007F1221"/>
    <w:rsid w:val="00833CBE"/>
    <w:rsid w:val="00882E1A"/>
    <w:rsid w:val="008F650C"/>
    <w:rsid w:val="009971B1"/>
    <w:rsid w:val="009B2A72"/>
    <w:rsid w:val="00A90C2D"/>
    <w:rsid w:val="00B01274"/>
    <w:rsid w:val="00B440DF"/>
    <w:rsid w:val="00CB64B4"/>
    <w:rsid w:val="00D469A0"/>
    <w:rsid w:val="00D63826"/>
    <w:rsid w:val="00D7282D"/>
    <w:rsid w:val="00FE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2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882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882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paragraph" w:styleId="NormalWeb">
    <w:name w:val="Normal (Web)"/>
    <w:basedOn w:val="Normal"/>
    <w:uiPriority w:val="99"/>
    <w:semiHidden/>
    <w:unhideWhenUsed/>
    <w:rsid w:val="00D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882E1A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82E1A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82E1A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882E1A"/>
    <w:rPr>
      <w:b/>
      <w:bCs/>
    </w:rPr>
  </w:style>
  <w:style w:type="paragraph" w:styleId="Prrafodelista">
    <w:name w:val="List Paragraph"/>
    <w:basedOn w:val="Normal"/>
    <w:uiPriority w:val="34"/>
    <w:qFormat/>
    <w:rsid w:val="00882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19</cp:revision>
  <dcterms:created xsi:type="dcterms:W3CDTF">2026-02-17T14:58:00Z</dcterms:created>
  <dcterms:modified xsi:type="dcterms:W3CDTF">2026-06-11T12:50:00Z</dcterms:modified>
</cp:coreProperties>
</file>