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9EEA" w14:textId="1AF9E598" w:rsidR="00AC72C9" w:rsidRDefault="00DD79E4">
      <w:pPr>
        <w:spacing w:line="240" w:lineRule="auto"/>
        <w:jc w:val="center"/>
        <w:rPr>
          <w:rFonts w:asciiTheme="majorHAnsi" w:hAnsiTheme="majorHAnsi" w:cstheme="majorHAnsi"/>
          <w:b/>
          <w:bCs/>
          <w:color w:val="385623"/>
          <w:sz w:val="40"/>
          <w:szCs w:val="40"/>
        </w:rPr>
      </w:pPr>
      <w:r w:rsidRPr="00C429EA">
        <w:rPr>
          <w:rFonts w:asciiTheme="majorHAnsi" w:hAnsiTheme="majorHAnsi" w:cstheme="majorHAnsi"/>
          <w:b/>
          <w:bCs/>
          <w:color w:val="385623"/>
          <w:sz w:val="40"/>
          <w:szCs w:val="40"/>
        </w:rPr>
        <w:t xml:space="preserve">RECOMENDACIONES TRAZADORAS </w:t>
      </w:r>
    </w:p>
    <w:p w14:paraId="7E7AE700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Fonts w:ascii="Calibri Light" w:hAnsi="Calibri Light" w:cs="Calibri Light"/>
        </w:rPr>
        <w:t>A continuación se presentan de manera resumida las recomendaciones trazadoras adaptadas de la Guía para la Atención Clínica Integral del Paciente con Dengue y del Algoritmo Nacional de Diagnóstico y Tratamiento de Dengue del Ministerio de Salud y Protección Social de Colombia, ajustadas al contexto y a los procesos asistenciales de nuestra institución, con el fin de orientar una atención oportuna, estandarizada y basada en la evidencia.</w:t>
      </w:r>
    </w:p>
    <w:p w14:paraId="4BFCDCD1" w14:textId="53818B2A" w:rsidR="00D37609" w:rsidRPr="00D37609" w:rsidRDefault="00D37609" w:rsidP="00D37609">
      <w:pPr>
        <w:pStyle w:val="Ttulo2"/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  <w:u w:val="single"/>
        </w:rPr>
        <w:t>Recomendación 1</w:t>
      </w:r>
      <w:r w:rsidRPr="00D37609">
        <w:rPr>
          <w:rFonts w:ascii="Calibri Light" w:hAnsi="Calibri Light" w:cs="Calibri Light"/>
          <w:sz w:val="24"/>
          <w:szCs w:val="24"/>
        </w:rPr>
        <w:t xml:space="preserve">: Realizar </w:t>
      </w:r>
      <w:r>
        <w:rPr>
          <w:rFonts w:ascii="Calibri Light" w:hAnsi="Calibri Light" w:cs="Calibri Light"/>
          <w:sz w:val="24"/>
          <w:szCs w:val="24"/>
        </w:rPr>
        <w:t xml:space="preserve">identificación de paciente con </w:t>
      </w:r>
      <w:r w:rsidRPr="00D37609">
        <w:rPr>
          <w:rFonts w:ascii="Calibri Light" w:hAnsi="Calibri Light" w:cs="Calibri Light"/>
          <w:sz w:val="24"/>
          <w:szCs w:val="24"/>
        </w:rPr>
        <w:t>sospecha de dengue.</w:t>
      </w:r>
    </w:p>
    <w:p w14:paraId="3EB01478" w14:textId="6178DA35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¿Quién? – Responsable:</w:t>
      </w:r>
      <w:r w:rsidRPr="00D37609">
        <w:rPr>
          <w:rFonts w:ascii="Calibri Light" w:hAnsi="Calibri Light" w:cs="Calibri Light"/>
        </w:rPr>
        <w:t xml:space="preserve"> Médico </w:t>
      </w:r>
      <w:r>
        <w:rPr>
          <w:rFonts w:ascii="Calibri Light" w:hAnsi="Calibri Light" w:cs="Calibri Light"/>
        </w:rPr>
        <w:t>tratante</w:t>
      </w:r>
    </w:p>
    <w:p w14:paraId="040E1192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¿Cómo? – Acciones:</w:t>
      </w:r>
    </w:p>
    <w:p w14:paraId="2AC4B694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Fonts w:ascii="Calibri Light" w:hAnsi="Calibri Light" w:cs="Calibri Light"/>
        </w:rPr>
        <w:t>Registrar en la historia clínica:</w:t>
      </w:r>
    </w:p>
    <w:p w14:paraId="579D0981" w14:textId="77777777" w:rsidR="00D37609" w:rsidRPr="00D37609" w:rsidRDefault="00D37609" w:rsidP="00D37609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Antecedente de residencia o viaje a zona endémica en los últimos 14 días.</w:t>
      </w:r>
    </w:p>
    <w:p w14:paraId="3E828D7A" w14:textId="77777777" w:rsidR="00D37609" w:rsidRPr="00D37609" w:rsidRDefault="00D37609" w:rsidP="00D37609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Tiempo de evolución de la fiebre.</w:t>
      </w:r>
    </w:p>
    <w:p w14:paraId="317A6593" w14:textId="77777777" w:rsidR="00D37609" w:rsidRPr="00D37609" w:rsidRDefault="00D37609" w:rsidP="00D37609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Presencia de dos o más manifestaciones compatibles:</w:t>
      </w:r>
    </w:p>
    <w:p w14:paraId="3F979397" w14:textId="77777777" w:rsidR="00D37609" w:rsidRPr="00D37609" w:rsidRDefault="00D37609" w:rsidP="00D37609">
      <w:pPr>
        <w:numPr>
          <w:ilvl w:val="1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Cefalea.</w:t>
      </w:r>
    </w:p>
    <w:p w14:paraId="3505E3DE" w14:textId="77777777" w:rsidR="00D37609" w:rsidRPr="00D37609" w:rsidRDefault="00D37609" w:rsidP="00D37609">
      <w:pPr>
        <w:numPr>
          <w:ilvl w:val="1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Dolor retroocular.</w:t>
      </w:r>
    </w:p>
    <w:p w14:paraId="3E039796" w14:textId="77777777" w:rsidR="00D37609" w:rsidRPr="00D37609" w:rsidRDefault="00D37609" w:rsidP="00D37609">
      <w:pPr>
        <w:numPr>
          <w:ilvl w:val="1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Mialgias.</w:t>
      </w:r>
    </w:p>
    <w:p w14:paraId="2ADB2A76" w14:textId="77777777" w:rsidR="00D37609" w:rsidRPr="00D37609" w:rsidRDefault="00D37609" w:rsidP="00D37609">
      <w:pPr>
        <w:numPr>
          <w:ilvl w:val="1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Artralgias.</w:t>
      </w:r>
    </w:p>
    <w:p w14:paraId="34F8C9F5" w14:textId="77777777" w:rsidR="00D37609" w:rsidRPr="00D37609" w:rsidRDefault="00D37609" w:rsidP="00D37609">
      <w:pPr>
        <w:numPr>
          <w:ilvl w:val="1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Exantema.</w:t>
      </w:r>
    </w:p>
    <w:p w14:paraId="476894B8" w14:textId="77777777" w:rsidR="00D37609" w:rsidRPr="00D37609" w:rsidRDefault="00D37609" w:rsidP="00D37609">
      <w:pPr>
        <w:numPr>
          <w:ilvl w:val="1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Náuseas o vómito.</w:t>
      </w:r>
    </w:p>
    <w:p w14:paraId="121E3315" w14:textId="553D23E6" w:rsidR="00D37609" w:rsidRDefault="00D37609" w:rsidP="00D37609">
      <w:pPr>
        <w:numPr>
          <w:ilvl w:val="1"/>
          <w:numId w:val="29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Leucopenia.</w:t>
      </w:r>
    </w:p>
    <w:p w14:paraId="259719DB" w14:textId="36A141F0" w:rsidR="006149E2" w:rsidRPr="006149E2" w:rsidRDefault="006149E2" w:rsidP="006149E2">
      <w:p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6149E2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EN CASO PROBABLE DE DENGUE: </w:t>
      </w:r>
    </w:p>
    <w:p w14:paraId="662E88C6" w14:textId="5E59511F" w:rsidR="006149E2" w:rsidRPr="006149E2" w:rsidRDefault="006149E2" w:rsidP="006149E2">
      <w:pPr>
        <w:pStyle w:val="Prrafodelista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</w:pPr>
      <w:r w:rsidRPr="006149E2"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  <w:t xml:space="preserve">Si síntomas </w:t>
      </w:r>
      <w:r w:rsidRPr="006149E2"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  <w:t>&lt;</w:t>
      </w:r>
      <w:r w:rsidRPr="006149E2"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  <w:t xml:space="preserve"> de 5 días: Indicar Dengue </w:t>
      </w:r>
      <w:r w:rsidRPr="006149E2"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  <w:t>AgNS1 CUPS: 906305</w:t>
      </w:r>
    </w:p>
    <w:p w14:paraId="6C6C511D" w14:textId="01A5590C" w:rsidR="006149E2" w:rsidRPr="006149E2" w:rsidRDefault="006149E2" w:rsidP="006149E2">
      <w:pPr>
        <w:pStyle w:val="Prrafodelista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</w:pPr>
      <w:r w:rsidRPr="006149E2"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  <w:t>Si síntomas &gt; o igual de 5 días: Indicar Dengue IgM CUPS: 906208</w:t>
      </w:r>
    </w:p>
    <w:p w14:paraId="61C9E805" w14:textId="13154797" w:rsidR="00D37609" w:rsidRPr="00D37609" w:rsidRDefault="00D37609" w:rsidP="00D37609">
      <w:pPr>
        <w:pStyle w:val="Ttulo2"/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  <w:u w:val="single"/>
        </w:rPr>
        <w:t>Recomendación 2</w:t>
      </w:r>
      <w:r w:rsidRPr="00D37609">
        <w:rPr>
          <w:rFonts w:ascii="Calibri Light" w:hAnsi="Calibri Light" w:cs="Calibri Light"/>
          <w:sz w:val="24"/>
          <w:szCs w:val="24"/>
        </w:rPr>
        <w:t>: Identificar y documentar sistemáticamente los signos de alarma.</w:t>
      </w:r>
    </w:p>
    <w:p w14:paraId="19D6FE48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¿Quién? – Responsable:</w:t>
      </w:r>
      <w:r w:rsidRPr="00D37609">
        <w:rPr>
          <w:rFonts w:ascii="Calibri Light" w:hAnsi="Calibri Light" w:cs="Calibri Light"/>
        </w:rPr>
        <w:t xml:space="preserve"> Médico general, urgencias y hospitalización.</w:t>
      </w:r>
    </w:p>
    <w:p w14:paraId="67E5CA4C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¿Cómo? – Acciones:</w:t>
      </w:r>
    </w:p>
    <w:p w14:paraId="758EC403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Fonts w:ascii="Calibri Light" w:hAnsi="Calibri Light" w:cs="Calibri Light"/>
        </w:rPr>
        <w:t>Verificar y registrar la presencia o ausencia de:</w:t>
      </w:r>
    </w:p>
    <w:p w14:paraId="01029158" w14:textId="77777777" w:rsidR="00D37609" w:rsidRPr="00D37609" w:rsidRDefault="00D37609" w:rsidP="00D3760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lastRenderedPageBreak/>
        <w:t>Dolor abdominal intenso o continuo.</w:t>
      </w:r>
    </w:p>
    <w:p w14:paraId="5A8E7FF5" w14:textId="77777777" w:rsidR="00D37609" w:rsidRPr="00D37609" w:rsidRDefault="00D37609" w:rsidP="00D3760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Vómitos persistentes.</w:t>
      </w:r>
    </w:p>
    <w:p w14:paraId="27CFD38A" w14:textId="77777777" w:rsidR="00D37609" w:rsidRPr="00D37609" w:rsidRDefault="00D37609" w:rsidP="00D3760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Sangrado de mucosas.</w:t>
      </w:r>
    </w:p>
    <w:p w14:paraId="6AF32BE6" w14:textId="77777777" w:rsidR="00D37609" w:rsidRPr="00D37609" w:rsidRDefault="00D37609" w:rsidP="00D3760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Acumulación de líquidos (ascitis o derrames).</w:t>
      </w:r>
    </w:p>
    <w:p w14:paraId="0DE7FD6F" w14:textId="77777777" w:rsidR="00D37609" w:rsidRPr="00D37609" w:rsidRDefault="00D37609" w:rsidP="00D3760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Letargo o irritabilidad.</w:t>
      </w:r>
    </w:p>
    <w:p w14:paraId="17F24DF0" w14:textId="77777777" w:rsidR="00D37609" w:rsidRPr="00D37609" w:rsidRDefault="00D37609" w:rsidP="00D3760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Hipotensión postural.</w:t>
      </w:r>
    </w:p>
    <w:p w14:paraId="45A4B605" w14:textId="77777777" w:rsidR="00D37609" w:rsidRPr="00D37609" w:rsidRDefault="00D37609" w:rsidP="00D3760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Hepatomegalia mayor de 2 cm.</w:t>
      </w:r>
    </w:p>
    <w:p w14:paraId="5AE7C2BE" w14:textId="77777777" w:rsidR="00D37609" w:rsidRPr="00D37609" w:rsidRDefault="00D37609" w:rsidP="00D3760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Incremento progresivo del hematocrito.</w:t>
      </w:r>
    </w:p>
    <w:p w14:paraId="0826E691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  <w:b/>
          <w:bCs/>
          <w:color w:val="C00000"/>
        </w:rPr>
      </w:pPr>
      <w:r w:rsidRPr="00D37609">
        <w:rPr>
          <w:rFonts w:ascii="Calibri Light" w:hAnsi="Calibri Light" w:cs="Calibri Light"/>
          <w:b/>
          <w:bCs/>
          <w:color w:val="C00000"/>
        </w:rPr>
        <w:t>Todo paciente con uno o más signos de alarma debe clasificarse como dengue con signos de alarma y requerir observación intrahospitalaria.</w:t>
      </w:r>
    </w:p>
    <w:p w14:paraId="5767FF99" w14:textId="77777777" w:rsidR="00D37609" w:rsidRPr="00D37609" w:rsidRDefault="00D37609" w:rsidP="00D37609">
      <w:pPr>
        <w:pStyle w:val="Ttulo2"/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  <w:u w:val="single"/>
        </w:rPr>
        <w:t>Recomendación 3</w:t>
      </w:r>
      <w:r w:rsidRPr="00D37609">
        <w:rPr>
          <w:rFonts w:ascii="Calibri Light" w:hAnsi="Calibri Light" w:cs="Calibri Light"/>
          <w:sz w:val="24"/>
          <w:szCs w:val="24"/>
        </w:rPr>
        <w:t>: Realizar hidratación temprana y adecuada según la clasificación clínica.</w:t>
      </w:r>
    </w:p>
    <w:p w14:paraId="4BC56FE4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¿Quién? – Responsable:</w:t>
      </w:r>
      <w:r w:rsidRPr="00D37609">
        <w:rPr>
          <w:rFonts w:ascii="Calibri Light" w:hAnsi="Calibri Light" w:cs="Calibri Light"/>
        </w:rPr>
        <w:t xml:space="preserve"> Médico tratante.</w:t>
      </w:r>
    </w:p>
    <w:p w14:paraId="70625976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¿Cómo? – Acciones:</w:t>
      </w:r>
    </w:p>
    <w:p w14:paraId="080F09B1" w14:textId="77777777" w:rsidR="00D37609" w:rsidRPr="00D37609" w:rsidRDefault="00D37609" w:rsidP="00D37609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Grupo A: Hidratación oral y manejo ambulatorio.</w:t>
      </w:r>
    </w:p>
    <w:p w14:paraId="43F38EA9" w14:textId="77777777" w:rsidR="00D37609" w:rsidRPr="00D37609" w:rsidRDefault="00D37609" w:rsidP="00D37609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Grupo B1: Hidratación oral supervisada y observación.</w:t>
      </w:r>
    </w:p>
    <w:p w14:paraId="71B4CE8C" w14:textId="77777777" w:rsidR="00D37609" w:rsidRPr="00D37609" w:rsidRDefault="00D37609" w:rsidP="00D37609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Grupo B2: Inicio de líquidos intravenosos con cristaloides.</w:t>
      </w:r>
    </w:p>
    <w:p w14:paraId="4064B2F1" w14:textId="78E19629" w:rsidR="00D37609" w:rsidRDefault="00D37609" w:rsidP="00D37609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Grupo C: Reanimación inmediata con líquidos intravenosos y manejo en unidad de mayor complejidad.</w:t>
      </w:r>
    </w:p>
    <w:p w14:paraId="00EB7551" w14:textId="77777777" w:rsidR="00D37609" w:rsidRPr="00D37609" w:rsidRDefault="00D37609" w:rsidP="00D37609">
      <w:pPr>
        <w:pStyle w:val="isselectedend"/>
        <w:spacing w:line="276" w:lineRule="auto"/>
        <w:ind w:left="720"/>
        <w:jc w:val="center"/>
        <w:rPr>
          <w:rFonts w:ascii="Calibri Light" w:hAnsi="Calibri Light" w:cs="Calibri Light"/>
          <w:b/>
          <w:bCs/>
          <w:color w:val="C00000"/>
        </w:rPr>
      </w:pPr>
      <w:r w:rsidRPr="00D37609">
        <w:rPr>
          <w:rFonts w:ascii="Calibri Light" w:hAnsi="Calibri Light" w:cs="Calibri Light"/>
          <w:b/>
          <w:bCs/>
          <w:color w:val="C00000"/>
        </w:rPr>
        <w:t>No retrasar la hidratación por ausencia de resultados de laboratorio.</w:t>
      </w:r>
    </w:p>
    <w:p w14:paraId="3F4FC4D3" w14:textId="3EAF21B2" w:rsidR="00D37609" w:rsidRPr="00D37609" w:rsidRDefault="00D37609" w:rsidP="00D37609">
      <w:pPr>
        <w:spacing w:before="100" w:beforeAutospacing="1" w:after="100" w:afterAutospacing="1" w:line="276" w:lineRule="auto"/>
        <w:ind w:left="720"/>
        <w:jc w:val="right"/>
        <w:rPr>
          <w:rFonts w:ascii="Calibri Light" w:hAnsi="Calibri Light" w:cs="Calibri Light"/>
          <w:b/>
          <w:bCs/>
          <w:u w:val="single"/>
        </w:rPr>
      </w:pPr>
      <w:r w:rsidRPr="00D37609">
        <w:rPr>
          <w:rFonts w:ascii="Calibri Light" w:hAnsi="Calibri Light" w:cs="Calibri Light"/>
          <w:b/>
          <w:bCs/>
          <w:u w:val="single"/>
        </w:rPr>
        <w:t>(VER RUTA CLÍNICA INSTITUCIONAL)</w:t>
      </w:r>
    </w:p>
    <w:p w14:paraId="73B61A42" w14:textId="77777777" w:rsidR="00D37609" w:rsidRPr="006149E2" w:rsidRDefault="00D37609" w:rsidP="00D37609">
      <w:pPr>
        <w:pStyle w:val="Ttulo2"/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  <w:u w:val="single"/>
        </w:rPr>
        <w:t>Recomendación 4</w:t>
      </w:r>
      <w:r w:rsidRPr="006149E2">
        <w:rPr>
          <w:rFonts w:ascii="Calibri Light" w:hAnsi="Calibri Light" w:cs="Calibri Light"/>
          <w:sz w:val="22"/>
          <w:szCs w:val="22"/>
          <w:u w:val="single"/>
        </w:rPr>
        <w:t>:</w:t>
      </w:r>
      <w:r w:rsidRPr="006149E2">
        <w:rPr>
          <w:rFonts w:ascii="Calibri Light" w:hAnsi="Calibri Light" w:cs="Calibri Light"/>
          <w:sz w:val="22"/>
          <w:szCs w:val="22"/>
        </w:rPr>
        <w:t xml:space="preserve"> </w:t>
      </w:r>
      <w:r w:rsidRPr="006149E2">
        <w:rPr>
          <w:rFonts w:ascii="Calibri Light" w:hAnsi="Calibri Light" w:cs="Calibri Light"/>
          <w:sz w:val="24"/>
          <w:szCs w:val="24"/>
        </w:rPr>
        <w:t>Solicitar y realizar seguimiento con hemograma y hematocrito.</w:t>
      </w:r>
    </w:p>
    <w:p w14:paraId="2C1A494B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¿Quién? – Responsable:</w:t>
      </w:r>
      <w:r w:rsidRPr="00D37609">
        <w:rPr>
          <w:rFonts w:ascii="Calibri Light" w:hAnsi="Calibri Light" w:cs="Calibri Light"/>
        </w:rPr>
        <w:t xml:space="preserve"> Médico general, urgencias y hospitalización.</w:t>
      </w:r>
    </w:p>
    <w:p w14:paraId="077A8AB5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¿Cómo? – Acciones:</w:t>
      </w:r>
    </w:p>
    <w:p w14:paraId="0327E7AC" w14:textId="77777777" w:rsidR="00D37609" w:rsidRPr="00D37609" w:rsidRDefault="00D37609" w:rsidP="00D37609">
      <w:pPr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Solicitar hemograma según clasificación clínica.</w:t>
      </w:r>
    </w:p>
    <w:p w14:paraId="2CEF6184" w14:textId="77777777" w:rsidR="00D37609" w:rsidRPr="00D37609" w:rsidRDefault="00D37609" w:rsidP="00D37609">
      <w:pPr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Comparar evolución del hematocrito y recuento plaquetario.</w:t>
      </w:r>
    </w:p>
    <w:p w14:paraId="767CC8FD" w14:textId="77777777" w:rsidR="00D37609" w:rsidRPr="00D37609" w:rsidRDefault="00D37609" w:rsidP="00D37609">
      <w:pPr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Identificar oportunamente:</w:t>
      </w:r>
    </w:p>
    <w:p w14:paraId="2C37800E" w14:textId="77777777" w:rsidR="00D37609" w:rsidRPr="00D37609" w:rsidRDefault="00D37609" w:rsidP="00D37609">
      <w:pPr>
        <w:numPr>
          <w:ilvl w:val="1"/>
          <w:numId w:val="32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Hemoconcentración.</w:t>
      </w:r>
    </w:p>
    <w:p w14:paraId="68387386" w14:textId="77777777" w:rsidR="00D37609" w:rsidRPr="00D37609" w:rsidRDefault="00D37609" w:rsidP="00D37609">
      <w:pPr>
        <w:numPr>
          <w:ilvl w:val="1"/>
          <w:numId w:val="32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Trombocitopenia progresiva.</w:t>
      </w:r>
    </w:p>
    <w:p w14:paraId="58B4BEBC" w14:textId="77777777" w:rsidR="00D37609" w:rsidRPr="00D37609" w:rsidRDefault="00D37609" w:rsidP="00D37609">
      <w:pPr>
        <w:numPr>
          <w:ilvl w:val="1"/>
          <w:numId w:val="32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Leucopenia.</w:t>
      </w:r>
    </w:p>
    <w:p w14:paraId="29061115" w14:textId="576AAE01" w:rsid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Fonts w:ascii="Calibri Light" w:hAnsi="Calibri Light" w:cs="Calibri Light"/>
        </w:rPr>
        <w:lastRenderedPageBreak/>
        <w:t>La interpretación de estos resultados debe orientar las decisiones de manejo y seguimiento.</w:t>
      </w:r>
    </w:p>
    <w:p w14:paraId="6C576899" w14:textId="47939E7F" w:rsidR="00D37609" w:rsidRPr="00D37609" w:rsidRDefault="00D37609" w:rsidP="00D37609">
      <w:pPr>
        <w:pStyle w:val="Ttulo2"/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  <w:u w:val="single"/>
        </w:rPr>
        <w:t xml:space="preserve">Recomendación </w:t>
      </w:r>
      <w:r w:rsidR="00D77329">
        <w:rPr>
          <w:rFonts w:ascii="Calibri Light" w:hAnsi="Calibri Light" w:cs="Calibri Light"/>
          <w:sz w:val="24"/>
          <w:szCs w:val="24"/>
          <w:u w:val="single"/>
        </w:rPr>
        <w:t>5</w:t>
      </w:r>
      <w:r w:rsidRPr="00D37609">
        <w:rPr>
          <w:rFonts w:ascii="Calibri Light" w:hAnsi="Calibri Light" w:cs="Calibri Light"/>
          <w:sz w:val="24"/>
          <w:szCs w:val="24"/>
          <w:u w:val="single"/>
        </w:rPr>
        <w:t>:</w:t>
      </w:r>
      <w:r w:rsidRPr="00D37609">
        <w:rPr>
          <w:rFonts w:ascii="Calibri Light" w:hAnsi="Calibri Light" w:cs="Calibri Light"/>
          <w:sz w:val="24"/>
          <w:szCs w:val="24"/>
        </w:rPr>
        <w:t xml:space="preserve"> Brindar educación al paciente y su familia sobre signos de alarma y seguimiento.</w:t>
      </w:r>
    </w:p>
    <w:p w14:paraId="70549B1B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¿Quién? – Responsable:</w:t>
      </w:r>
      <w:r w:rsidRPr="00D37609">
        <w:rPr>
          <w:rFonts w:ascii="Calibri Light" w:hAnsi="Calibri Light" w:cs="Calibri Light"/>
        </w:rPr>
        <w:t xml:space="preserve"> Médico y personal de enfermería.</w:t>
      </w:r>
    </w:p>
    <w:p w14:paraId="78CF5FCE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¿Cómo? – Acciones:</w:t>
      </w:r>
    </w:p>
    <w:p w14:paraId="469B4B8F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Fonts w:ascii="Calibri Light" w:hAnsi="Calibri Light" w:cs="Calibri Light"/>
        </w:rPr>
        <w:t>Antes del egreso o manejo ambulatorio:</w:t>
      </w:r>
    </w:p>
    <w:p w14:paraId="4EAE922D" w14:textId="77777777" w:rsidR="00D37609" w:rsidRPr="00D37609" w:rsidRDefault="00D37609" w:rsidP="00D37609">
      <w:pPr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Explicar signos de alarma.</w:t>
      </w:r>
    </w:p>
    <w:p w14:paraId="1A2AB166" w14:textId="77777777" w:rsidR="00D37609" w:rsidRPr="00D37609" w:rsidRDefault="00D37609" w:rsidP="00D37609">
      <w:pPr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Indicar adecuada hidratación oral.</w:t>
      </w:r>
    </w:p>
    <w:p w14:paraId="72E462DA" w14:textId="77777777" w:rsidR="00D37609" w:rsidRPr="00D37609" w:rsidRDefault="00D37609" w:rsidP="00D37609">
      <w:pPr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Recomendar uso de acetaminofén como antipirético.</w:t>
      </w:r>
    </w:p>
    <w:p w14:paraId="3EB14C5E" w14:textId="77777777" w:rsidR="00D37609" w:rsidRPr="00D37609" w:rsidRDefault="00D37609" w:rsidP="00D37609">
      <w:pPr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Evitar AINES, aspirina e inyecciones intramusculares.</w:t>
      </w:r>
    </w:p>
    <w:p w14:paraId="32CB7FB3" w14:textId="77777777" w:rsidR="00D37609" w:rsidRPr="00D37609" w:rsidRDefault="00D37609" w:rsidP="00D37609">
      <w:pPr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 xml:space="preserve">Informar signos que obligan a </w:t>
      </w:r>
      <w:proofErr w:type="spellStart"/>
      <w:r w:rsidRPr="00D37609">
        <w:rPr>
          <w:rFonts w:ascii="Calibri Light" w:hAnsi="Calibri Light" w:cs="Calibri Light"/>
          <w:sz w:val="24"/>
          <w:szCs w:val="24"/>
        </w:rPr>
        <w:t>reconsulta</w:t>
      </w:r>
      <w:proofErr w:type="spellEnd"/>
      <w:r w:rsidRPr="00D37609">
        <w:rPr>
          <w:rFonts w:ascii="Calibri Light" w:hAnsi="Calibri Light" w:cs="Calibri Light"/>
          <w:sz w:val="24"/>
          <w:szCs w:val="24"/>
        </w:rPr>
        <w:t xml:space="preserve"> inmediata.</w:t>
      </w:r>
    </w:p>
    <w:p w14:paraId="43EECFCB" w14:textId="3F875B20" w:rsidR="00D37609" w:rsidRDefault="00D37609" w:rsidP="00D37609">
      <w:pPr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Programar seguimiento clínico según evolución.</w:t>
      </w:r>
    </w:p>
    <w:p w14:paraId="43194F4D" w14:textId="77777777" w:rsidR="00D77329" w:rsidRPr="00D77329" w:rsidRDefault="00D77329" w:rsidP="00D77329">
      <w:pPr>
        <w:pStyle w:val="Prrafodelista"/>
        <w:spacing w:before="100" w:beforeAutospacing="1" w:after="100" w:afterAutospacing="1" w:line="276" w:lineRule="auto"/>
        <w:jc w:val="right"/>
        <w:rPr>
          <w:rFonts w:ascii="Calibri Light" w:hAnsi="Calibri Light" w:cs="Calibri Light"/>
          <w:b/>
          <w:bCs/>
          <w:u w:val="single"/>
        </w:rPr>
      </w:pPr>
      <w:r w:rsidRPr="00D77329">
        <w:rPr>
          <w:rFonts w:ascii="Calibri Light" w:hAnsi="Calibri Light" w:cs="Calibri Light"/>
          <w:b/>
          <w:bCs/>
          <w:u w:val="single"/>
        </w:rPr>
        <w:t>(VER RUTA CLÍNICA INSTITUCIONAL)</w:t>
      </w:r>
    </w:p>
    <w:p w14:paraId="3BA66973" w14:textId="444C55E0" w:rsidR="00D37609" w:rsidRPr="00D77329" w:rsidRDefault="00D37609" w:rsidP="00D37609">
      <w:pPr>
        <w:pStyle w:val="Ttulo2"/>
        <w:spacing w:line="276" w:lineRule="auto"/>
        <w:jc w:val="both"/>
        <w:rPr>
          <w:rFonts w:ascii="Calibri Light" w:hAnsi="Calibri Light" w:cs="Calibri Light"/>
          <w:sz w:val="24"/>
          <w:szCs w:val="24"/>
          <w:u w:val="single"/>
        </w:rPr>
      </w:pPr>
      <w:r w:rsidRPr="00D77329">
        <w:rPr>
          <w:rFonts w:ascii="Calibri Light" w:hAnsi="Calibri Light" w:cs="Calibri Light"/>
          <w:sz w:val="24"/>
          <w:szCs w:val="24"/>
          <w:u w:val="single"/>
        </w:rPr>
        <w:t xml:space="preserve">Recomendación </w:t>
      </w:r>
      <w:r w:rsidR="00D77329">
        <w:rPr>
          <w:rFonts w:ascii="Calibri Light" w:hAnsi="Calibri Light" w:cs="Calibri Light"/>
          <w:sz w:val="24"/>
          <w:szCs w:val="24"/>
          <w:u w:val="single"/>
        </w:rPr>
        <w:t>6</w:t>
      </w:r>
      <w:r w:rsidRPr="00D77329">
        <w:rPr>
          <w:rFonts w:ascii="Calibri Light" w:hAnsi="Calibri Light" w:cs="Calibri Light"/>
          <w:sz w:val="24"/>
          <w:szCs w:val="24"/>
          <w:u w:val="single"/>
        </w:rPr>
        <w:t>: Verificar cumplimiento de criterios de alta hospitalaria.</w:t>
      </w:r>
    </w:p>
    <w:p w14:paraId="7A283E49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¿Quién? – Responsable:</w:t>
      </w:r>
      <w:r w:rsidRPr="00D37609">
        <w:rPr>
          <w:rFonts w:ascii="Calibri Light" w:hAnsi="Calibri Light" w:cs="Calibri Light"/>
        </w:rPr>
        <w:t xml:space="preserve"> Médico tratante.</w:t>
      </w:r>
    </w:p>
    <w:p w14:paraId="74EA6ABB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Style w:val="Textoennegrita"/>
          <w:rFonts w:ascii="Calibri Light" w:hAnsi="Calibri Light" w:cs="Calibri Light"/>
        </w:rPr>
        <w:t>¿Cómo? – Acciones:</w:t>
      </w:r>
    </w:p>
    <w:p w14:paraId="600D7DA5" w14:textId="77777777" w:rsidR="00D37609" w:rsidRPr="00D37609" w:rsidRDefault="00D37609" w:rsidP="00D37609">
      <w:pPr>
        <w:pStyle w:val="isselectedend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Fonts w:ascii="Calibri Light" w:hAnsi="Calibri Light" w:cs="Calibri Light"/>
        </w:rPr>
        <w:t>Confirmar:</w:t>
      </w:r>
    </w:p>
    <w:p w14:paraId="009A0A92" w14:textId="77777777" w:rsidR="00D37609" w:rsidRPr="00D37609" w:rsidRDefault="00D37609" w:rsidP="00D37609">
      <w:pPr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Ausencia de fiebre durante 48 horas sin antipiréticos.</w:t>
      </w:r>
    </w:p>
    <w:p w14:paraId="30943E89" w14:textId="77777777" w:rsidR="00D37609" w:rsidRPr="00D37609" w:rsidRDefault="00D37609" w:rsidP="00D37609">
      <w:pPr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Mejoría clínica evidente.</w:t>
      </w:r>
    </w:p>
    <w:p w14:paraId="422FC9CA" w14:textId="77777777" w:rsidR="00D37609" w:rsidRPr="00D37609" w:rsidRDefault="00D37609" w:rsidP="00D37609">
      <w:pPr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Estabilidad hemodinámica.</w:t>
      </w:r>
    </w:p>
    <w:p w14:paraId="3E5D1C51" w14:textId="77777777" w:rsidR="00D37609" w:rsidRPr="00D37609" w:rsidRDefault="00D37609" w:rsidP="00D37609">
      <w:pPr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Diuresis adecuada.</w:t>
      </w:r>
    </w:p>
    <w:p w14:paraId="15142DFD" w14:textId="77777777" w:rsidR="00D37609" w:rsidRPr="00D37609" w:rsidRDefault="00D37609" w:rsidP="00D37609">
      <w:pPr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Ausencia de dificultad respiratoria.</w:t>
      </w:r>
    </w:p>
    <w:p w14:paraId="4234FF3A" w14:textId="77777777" w:rsidR="00D37609" w:rsidRPr="00D37609" w:rsidRDefault="00D37609" w:rsidP="00D37609">
      <w:pPr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Ausencia de sangrado.</w:t>
      </w:r>
    </w:p>
    <w:p w14:paraId="06303661" w14:textId="77777777" w:rsidR="00D37609" w:rsidRPr="00D37609" w:rsidRDefault="00D37609" w:rsidP="00D37609">
      <w:pPr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D37609">
        <w:rPr>
          <w:rFonts w:ascii="Calibri Light" w:hAnsi="Calibri Light" w:cs="Calibri Light"/>
          <w:sz w:val="24"/>
          <w:szCs w:val="24"/>
        </w:rPr>
        <w:t>Tendencia ascendente de plaquetas.</w:t>
      </w:r>
    </w:p>
    <w:p w14:paraId="02A2E6B5" w14:textId="19DA7B38" w:rsidR="00D37609" w:rsidRDefault="00D37609" w:rsidP="00D37609">
      <w:pPr>
        <w:pStyle w:val="NormalWeb"/>
        <w:spacing w:line="276" w:lineRule="auto"/>
        <w:jc w:val="both"/>
        <w:rPr>
          <w:rFonts w:ascii="Calibri Light" w:hAnsi="Calibri Light" w:cs="Calibri Light"/>
        </w:rPr>
      </w:pPr>
      <w:r w:rsidRPr="00D37609">
        <w:rPr>
          <w:rFonts w:ascii="Calibri Light" w:hAnsi="Calibri Light" w:cs="Calibri Light"/>
        </w:rPr>
        <w:t>Todos los criterios deben quedar registrados en la historia clínica antes del egreso hospitalario.</w:t>
      </w:r>
    </w:p>
    <w:p w14:paraId="7FE9C4F1" w14:textId="5BC426D8" w:rsidR="00D37609" w:rsidRPr="00D37609" w:rsidRDefault="00D77329" w:rsidP="00D77329">
      <w:pPr>
        <w:pStyle w:val="Prrafodelista"/>
        <w:spacing w:before="100" w:beforeAutospacing="1" w:after="100" w:afterAutospacing="1" w:line="276" w:lineRule="auto"/>
        <w:jc w:val="right"/>
        <w:rPr>
          <w:rFonts w:asciiTheme="majorHAnsi" w:hAnsiTheme="majorHAnsi" w:cstheme="majorHAnsi"/>
          <w:b/>
          <w:bCs/>
          <w:color w:val="385623"/>
          <w:sz w:val="24"/>
          <w:szCs w:val="24"/>
        </w:rPr>
      </w:pPr>
      <w:r w:rsidRPr="00D77329">
        <w:rPr>
          <w:rFonts w:ascii="Calibri Light" w:hAnsi="Calibri Light" w:cs="Calibri Light"/>
          <w:b/>
          <w:bCs/>
          <w:u w:val="single"/>
        </w:rPr>
        <w:t>(VER RUTA CLÍNICA INSTITUCIONAL)</w:t>
      </w:r>
    </w:p>
    <w:sectPr w:rsidR="00D37609" w:rsidRPr="00D376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13298" w14:textId="77777777" w:rsidR="009A6F89" w:rsidRDefault="009A6F89">
      <w:pPr>
        <w:spacing w:after="0" w:line="240" w:lineRule="auto"/>
      </w:pPr>
      <w:r>
        <w:separator/>
      </w:r>
    </w:p>
  </w:endnote>
  <w:endnote w:type="continuationSeparator" w:id="0">
    <w:p w14:paraId="186B4A9F" w14:textId="77777777" w:rsidR="009A6F89" w:rsidRDefault="009A6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D4F66A3-5962-4087-9062-4DCEDE94F8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5C6207-88D6-49F1-AC63-D83D2E7C069E}"/>
    <w:embedBold r:id="rId3" w:fontKey="{1DB1062A-71B8-4596-98AB-713588062BE5}"/>
    <w:embedItalic r:id="rId4" w:fontKey="{6DBE818C-8A0F-4E8B-B858-81F311A178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EFFC90C-21EB-43E7-9F9D-7B32BC3796E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FAABFD7-B4CC-49D5-A22C-9555BE053957}"/>
    <w:embedBold r:id="rId7" w:fontKey="{808B9514-C011-448A-B928-37117FE272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3E223AE-723F-46F7-BC30-EFAEC07391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7286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494C1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E1CCC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042FC" w14:textId="77777777" w:rsidR="009A6F89" w:rsidRDefault="009A6F89">
      <w:pPr>
        <w:spacing w:after="0" w:line="240" w:lineRule="auto"/>
      </w:pPr>
      <w:r>
        <w:separator/>
      </w:r>
    </w:p>
  </w:footnote>
  <w:footnote w:type="continuationSeparator" w:id="0">
    <w:p w14:paraId="58ADE509" w14:textId="77777777" w:rsidR="009A6F89" w:rsidRDefault="009A6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88B30" w14:textId="77777777" w:rsidR="00AC72C9" w:rsidRDefault="009A6F8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98E1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616.1pt;height:791.5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21C01" w14:textId="77777777" w:rsidR="00AC72C9" w:rsidRDefault="009A6F8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B627D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0;margin-top:0;width:616.1pt;height:791.5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5B345" w14:textId="77777777" w:rsidR="00AC72C9" w:rsidRDefault="009A6F8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C7589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616.1pt;height:791.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420D"/>
    <w:multiLevelType w:val="multilevel"/>
    <w:tmpl w:val="82BE39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CF01A2"/>
    <w:multiLevelType w:val="hybridMultilevel"/>
    <w:tmpl w:val="BB46F1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A17520"/>
    <w:multiLevelType w:val="hybridMultilevel"/>
    <w:tmpl w:val="237CD1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D579F"/>
    <w:multiLevelType w:val="hybridMultilevel"/>
    <w:tmpl w:val="758E3DF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D86FAF"/>
    <w:multiLevelType w:val="multilevel"/>
    <w:tmpl w:val="B9F6B1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227FE3"/>
    <w:multiLevelType w:val="multilevel"/>
    <w:tmpl w:val="EC4007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4CF00C6"/>
    <w:multiLevelType w:val="multilevel"/>
    <w:tmpl w:val="A8F8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F4038"/>
    <w:multiLevelType w:val="multilevel"/>
    <w:tmpl w:val="DCF684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8" w15:restartNumberingAfterBreak="0">
    <w:nsid w:val="18B748D0"/>
    <w:multiLevelType w:val="multilevel"/>
    <w:tmpl w:val="4436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C1D90"/>
    <w:multiLevelType w:val="multilevel"/>
    <w:tmpl w:val="CE3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86CBD"/>
    <w:multiLevelType w:val="multilevel"/>
    <w:tmpl w:val="94B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D3930"/>
    <w:multiLevelType w:val="multilevel"/>
    <w:tmpl w:val="49521B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0C30895"/>
    <w:multiLevelType w:val="multilevel"/>
    <w:tmpl w:val="B548166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2F11F73"/>
    <w:multiLevelType w:val="multilevel"/>
    <w:tmpl w:val="54C6C1A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8B60419"/>
    <w:multiLevelType w:val="multilevel"/>
    <w:tmpl w:val="D51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74ECB"/>
    <w:multiLevelType w:val="multilevel"/>
    <w:tmpl w:val="EBA6F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6F356B3"/>
    <w:multiLevelType w:val="multilevel"/>
    <w:tmpl w:val="A27E3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7C3CEC"/>
    <w:multiLevelType w:val="multilevel"/>
    <w:tmpl w:val="E78EF9C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2447BAC"/>
    <w:multiLevelType w:val="multilevel"/>
    <w:tmpl w:val="A248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10830"/>
    <w:multiLevelType w:val="multilevel"/>
    <w:tmpl w:val="8AC065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7373E65"/>
    <w:multiLevelType w:val="hybridMultilevel"/>
    <w:tmpl w:val="B5C25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D1A9D"/>
    <w:multiLevelType w:val="multilevel"/>
    <w:tmpl w:val="4A9A58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E5F51C1"/>
    <w:multiLevelType w:val="hybridMultilevel"/>
    <w:tmpl w:val="312E3E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B13263"/>
    <w:multiLevelType w:val="multilevel"/>
    <w:tmpl w:val="56EAB0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A0D7219"/>
    <w:multiLevelType w:val="multilevel"/>
    <w:tmpl w:val="D8DC2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B533DDA"/>
    <w:multiLevelType w:val="hybridMultilevel"/>
    <w:tmpl w:val="4A1EEDF2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781697"/>
    <w:multiLevelType w:val="multilevel"/>
    <w:tmpl w:val="BD46DA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66A64AD0"/>
    <w:multiLevelType w:val="multilevel"/>
    <w:tmpl w:val="B6C8B2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86F45A7"/>
    <w:multiLevelType w:val="multilevel"/>
    <w:tmpl w:val="94A86D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A713346"/>
    <w:multiLevelType w:val="multilevel"/>
    <w:tmpl w:val="9D8C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35EEF"/>
    <w:multiLevelType w:val="multilevel"/>
    <w:tmpl w:val="6BD092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2003AD7"/>
    <w:multiLevelType w:val="multilevel"/>
    <w:tmpl w:val="08DEAF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775C44FF"/>
    <w:multiLevelType w:val="multilevel"/>
    <w:tmpl w:val="6ADA8D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79B26CC2"/>
    <w:multiLevelType w:val="multilevel"/>
    <w:tmpl w:val="43940C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EE30BC5"/>
    <w:multiLevelType w:val="multilevel"/>
    <w:tmpl w:val="502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523402"/>
    <w:multiLevelType w:val="multilevel"/>
    <w:tmpl w:val="BE347D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7"/>
  </w:num>
  <w:num w:numId="2">
    <w:abstractNumId w:val="32"/>
  </w:num>
  <w:num w:numId="3">
    <w:abstractNumId w:val="5"/>
  </w:num>
  <w:num w:numId="4">
    <w:abstractNumId w:val="28"/>
  </w:num>
  <w:num w:numId="5">
    <w:abstractNumId w:val="4"/>
  </w:num>
  <w:num w:numId="6">
    <w:abstractNumId w:val="0"/>
  </w:num>
  <w:num w:numId="7">
    <w:abstractNumId w:val="11"/>
  </w:num>
  <w:num w:numId="8">
    <w:abstractNumId w:val="21"/>
  </w:num>
  <w:num w:numId="9">
    <w:abstractNumId w:val="15"/>
  </w:num>
  <w:num w:numId="10">
    <w:abstractNumId w:val="19"/>
  </w:num>
  <w:num w:numId="11">
    <w:abstractNumId w:val="12"/>
  </w:num>
  <w:num w:numId="12">
    <w:abstractNumId w:val="31"/>
  </w:num>
  <w:num w:numId="13">
    <w:abstractNumId w:val="35"/>
  </w:num>
  <w:num w:numId="14">
    <w:abstractNumId w:val="24"/>
  </w:num>
  <w:num w:numId="15">
    <w:abstractNumId w:val="17"/>
  </w:num>
  <w:num w:numId="16">
    <w:abstractNumId w:val="33"/>
  </w:num>
  <w:num w:numId="17">
    <w:abstractNumId w:val="30"/>
  </w:num>
  <w:num w:numId="18">
    <w:abstractNumId w:val="22"/>
  </w:num>
  <w:num w:numId="19">
    <w:abstractNumId w:val="25"/>
  </w:num>
  <w:num w:numId="20">
    <w:abstractNumId w:val="7"/>
  </w:num>
  <w:num w:numId="21">
    <w:abstractNumId w:val="13"/>
  </w:num>
  <w:num w:numId="22">
    <w:abstractNumId w:val="1"/>
  </w:num>
  <w:num w:numId="23">
    <w:abstractNumId w:val="2"/>
  </w:num>
  <w:num w:numId="24">
    <w:abstractNumId w:val="16"/>
  </w:num>
  <w:num w:numId="25">
    <w:abstractNumId w:val="23"/>
  </w:num>
  <w:num w:numId="26">
    <w:abstractNumId w:val="20"/>
  </w:num>
  <w:num w:numId="27">
    <w:abstractNumId w:val="26"/>
  </w:num>
  <w:num w:numId="28">
    <w:abstractNumId w:val="3"/>
  </w:num>
  <w:num w:numId="29">
    <w:abstractNumId w:val="9"/>
  </w:num>
  <w:num w:numId="30">
    <w:abstractNumId w:val="14"/>
  </w:num>
  <w:num w:numId="31">
    <w:abstractNumId w:val="6"/>
  </w:num>
  <w:num w:numId="32">
    <w:abstractNumId w:val="10"/>
  </w:num>
  <w:num w:numId="33">
    <w:abstractNumId w:val="29"/>
  </w:num>
  <w:num w:numId="34">
    <w:abstractNumId w:val="8"/>
  </w:num>
  <w:num w:numId="35">
    <w:abstractNumId w:val="18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C9"/>
    <w:rsid w:val="000E6D66"/>
    <w:rsid w:val="006149E2"/>
    <w:rsid w:val="009625A4"/>
    <w:rsid w:val="009A6F89"/>
    <w:rsid w:val="00AC72C9"/>
    <w:rsid w:val="00C429EA"/>
    <w:rsid w:val="00D37609"/>
    <w:rsid w:val="00D77329"/>
    <w:rsid w:val="00D941CF"/>
    <w:rsid w:val="00DD79E4"/>
    <w:rsid w:val="00EA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87E1F9C"/>
  <w15:docId w15:val="{DD9D9852-E39E-4EE7-A086-CC00A356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C429EA"/>
    <w:rPr>
      <w:b/>
      <w:bCs/>
    </w:rPr>
  </w:style>
  <w:style w:type="character" w:styleId="nfasis">
    <w:name w:val="Emphasis"/>
    <w:basedOn w:val="Fuentedeprrafopredeter"/>
    <w:uiPriority w:val="20"/>
    <w:qFormat/>
    <w:rsid w:val="00C429EA"/>
    <w:rPr>
      <w:i/>
      <w:iCs/>
    </w:rPr>
  </w:style>
  <w:style w:type="paragraph" w:styleId="Sinespaciado">
    <w:name w:val="No Spacing"/>
    <w:uiPriority w:val="1"/>
    <w:qFormat/>
    <w:rsid w:val="00C429E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4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uentedeprrafopredeter"/>
    <w:rsid w:val="00C429EA"/>
  </w:style>
  <w:style w:type="paragraph" w:styleId="Prrafodelista">
    <w:name w:val="List Paragraph"/>
    <w:basedOn w:val="Normal"/>
    <w:uiPriority w:val="34"/>
    <w:qFormat/>
    <w:rsid w:val="00EA7943"/>
    <w:pPr>
      <w:ind w:left="720"/>
      <w:contextualSpacing/>
    </w:pPr>
  </w:style>
  <w:style w:type="paragraph" w:customStyle="1" w:styleId="isselectedend">
    <w:name w:val="isselectedend"/>
    <w:basedOn w:val="Normal"/>
    <w:rsid w:val="00D37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0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9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4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7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6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5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+5U1KXuaqR6Seq1/BgI7a37xxQ==">CgMxLjAyDmguMzFpODZ4Z253bjB1Mg5oLnBhcHEzNWxseTZ0aDgAciExLVhFXzExMzh0eFpjRGdNeHJPT2NUeHB6Vkw0Y0U1ZnM=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555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LEIDY TOLEDO ROJAS</cp:lastModifiedBy>
  <cp:revision>5</cp:revision>
  <dcterms:created xsi:type="dcterms:W3CDTF">2026-05-14T10:16:00Z</dcterms:created>
  <dcterms:modified xsi:type="dcterms:W3CDTF">2026-06-11T13:27:00Z</dcterms:modified>
</cp:coreProperties>
</file>