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4E00F" w14:textId="651A0957" w:rsidR="00837FB3" w:rsidRPr="00837FB3" w:rsidRDefault="00DD79E4" w:rsidP="00837FB3">
      <w:pPr>
        <w:spacing w:line="240" w:lineRule="auto"/>
        <w:jc w:val="center"/>
        <w:rPr>
          <w:rFonts w:asciiTheme="majorHAnsi" w:hAnsiTheme="majorHAnsi" w:cstheme="majorHAnsi"/>
          <w:b/>
          <w:bCs/>
          <w:color w:val="006600"/>
          <w:sz w:val="40"/>
          <w:szCs w:val="40"/>
        </w:rPr>
      </w:pPr>
      <w:r w:rsidRPr="00837FB3">
        <w:rPr>
          <w:rFonts w:asciiTheme="majorHAnsi" w:hAnsiTheme="majorHAnsi" w:cstheme="majorHAnsi"/>
          <w:b/>
          <w:bCs/>
          <w:color w:val="006600"/>
          <w:sz w:val="40"/>
          <w:szCs w:val="40"/>
          <w:u w:val="single"/>
        </w:rPr>
        <w:t>RECOMENDACIONES TRAZADORAS</w:t>
      </w:r>
      <w:r w:rsidR="00837FB3" w:rsidRPr="00837FB3">
        <w:rPr>
          <w:rFonts w:asciiTheme="majorHAnsi" w:hAnsiTheme="majorHAnsi" w:cstheme="majorHAnsi"/>
          <w:b/>
          <w:bCs/>
          <w:color w:val="006600"/>
          <w:sz w:val="40"/>
          <w:szCs w:val="40"/>
          <w:u w:val="single"/>
        </w:rPr>
        <w:t xml:space="preserve">: INFECCIÓN DE VÍAS URINARIAS EN </w:t>
      </w:r>
      <w:r w:rsidR="00D60DF4">
        <w:rPr>
          <w:rFonts w:asciiTheme="majorHAnsi" w:hAnsiTheme="majorHAnsi" w:cstheme="majorHAnsi"/>
          <w:b/>
          <w:bCs/>
          <w:color w:val="006600"/>
          <w:sz w:val="40"/>
          <w:szCs w:val="40"/>
          <w:u w:val="single"/>
        </w:rPr>
        <w:t>POBLACIÓN ADULTA</w:t>
      </w:r>
    </w:p>
    <w:p w14:paraId="3AA84F28" w14:textId="18691F23" w:rsidR="00507A1D" w:rsidRPr="00D60DF4" w:rsidRDefault="00507A1D" w:rsidP="00117DA3">
      <w:pPr>
        <w:spacing w:line="276" w:lineRule="auto"/>
        <w:jc w:val="center"/>
        <w:rPr>
          <w:rFonts w:ascii="Arial" w:eastAsia="Times New Roman" w:hAnsi="Arial" w:cs="Arial"/>
          <w:b/>
          <w:bCs/>
          <w:color w:val="C00000"/>
          <w:u w:val="single"/>
        </w:rPr>
      </w:pPr>
    </w:p>
    <w:p w14:paraId="08971932" w14:textId="766A903E" w:rsidR="00D60DF4" w:rsidRPr="00D60DF4" w:rsidRDefault="00D60DF4" w:rsidP="00D60DF4">
      <w:pPr>
        <w:spacing w:line="276" w:lineRule="auto"/>
        <w:jc w:val="both"/>
        <w:rPr>
          <w:rFonts w:ascii="Arial" w:hAnsi="Arial" w:cs="Arial"/>
          <w:b/>
          <w:bCs/>
          <w:color w:val="C00000"/>
          <w:u w:val="single"/>
        </w:rPr>
      </w:pPr>
      <w:r w:rsidRPr="00D60DF4">
        <w:rPr>
          <w:rFonts w:ascii="Arial" w:hAnsi="Arial" w:cs="Arial"/>
          <w:b/>
          <w:bCs/>
          <w:color w:val="C00000"/>
          <w:u w:val="single"/>
        </w:rPr>
        <w:t xml:space="preserve">Recomendación 1: </w:t>
      </w:r>
      <w:r>
        <w:rPr>
          <w:rFonts w:ascii="Arial" w:hAnsi="Arial" w:cs="Arial"/>
          <w:b/>
          <w:bCs/>
          <w:color w:val="C00000"/>
          <w:u w:val="single"/>
        </w:rPr>
        <w:t>Evaluación</w:t>
      </w:r>
      <w:r w:rsidRPr="00D60DF4">
        <w:rPr>
          <w:rFonts w:ascii="Arial" w:hAnsi="Arial" w:cs="Arial"/>
          <w:b/>
          <w:bCs/>
          <w:color w:val="C00000"/>
          <w:u w:val="single"/>
        </w:rPr>
        <w:t xml:space="preserve"> clínica inicial</w:t>
      </w:r>
    </w:p>
    <w:p w14:paraId="13DC39B0" w14:textId="057C6E9B" w:rsidR="00D60DF4" w:rsidRPr="00D60DF4" w:rsidRDefault="00D60DF4" w:rsidP="00D60DF4">
      <w:pPr>
        <w:spacing w:line="276" w:lineRule="auto"/>
        <w:jc w:val="both"/>
        <w:rPr>
          <w:rFonts w:ascii="Arial" w:hAnsi="Arial" w:cs="Arial"/>
          <w:b/>
          <w:bCs/>
        </w:rPr>
      </w:pPr>
      <w:r w:rsidRPr="00D60DF4">
        <w:rPr>
          <w:rFonts w:ascii="Arial" w:hAnsi="Arial" w:cs="Arial"/>
          <w:b/>
          <w:bCs/>
        </w:rPr>
        <w:t xml:space="preserve">Todo paciente con sospecha de infección de vías urinarias deberá contar con un registro completo </w:t>
      </w:r>
      <w:r>
        <w:rPr>
          <w:rFonts w:ascii="Arial" w:hAnsi="Arial" w:cs="Arial"/>
          <w:b/>
          <w:bCs/>
        </w:rPr>
        <w:t xml:space="preserve">en la historia clínica </w:t>
      </w:r>
      <w:r w:rsidRPr="00D60DF4">
        <w:rPr>
          <w:rFonts w:ascii="Arial" w:hAnsi="Arial" w:cs="Arial"/>
          <w:b/>
          <w:bCs/>
        </w:rPr>
        <w:t>de los síntomas urinarios y de los signos de compromiso sistémico que fundamenten el diagnóstico</w:t>
      </w:r>
      <w:r>
        <w:rPr>
          <w:rFonts w:ascii="Arial" w:hAnsi="Arial" w:cs="Arial"/>
          <w:b/>
          <w:bCs/>
        </w:rPr>
        <w:t xml:space="preserve"> de IVU. </w:t>
      </w:r>
    </w:p>
    <w:p w14:paraId="6AB43DA7" w14:textId="1FAE14E6" w:rsidR="00D60DF4" w:rsidRPr="00D60DF4" w:rsidRDefault="00D60DF4" w:rsidP="00D60DF4">
      <w:pPr>
        <w:spacing w:line="276" w:lineRule="auto"/>
        <w:jc w:val="both"/>
        <w:rPr>
          <w:rFonts w:ascii="Arial" w:hAnsi="Arial" w:cs="Arial"/>
        </w:rPr>
      </w:pPr>
    </w:p>
    <w:p w14:paraId="74647E3D" w14:textId="72BE65BF" w:rsidR="00D60DF4" w:rsidRPr="00D60DF4" w:rsidRDefault="00D60DF4" w:rsidP="0080395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C00000"/>
          <w:sz w:val="20"/>
          <w:szCs w:val="20"/>
        </w:rPr>
      </w:pPr>
      <w:r w:rsidRPr="00D60DF4">
        <w:rPr>
          <w:rFonts w:ascii="Arial" w:hAnsi="Arial" w:cs="Arial"/>
        </w:rPr>
        <w:t>Durante la valoración inicial deberá documentarse</w:t>
      </w:r>
      <w:r w:rsidR="00906D7D">
        <w:rPr>
          <w:rFonts w:ascii="Arial" w:hAnsi="Arial" w:cs="Arial"/>
        </w:rPr>
        <w:t xml:space="preserve"> en la historia clínica institucional</w:t>
      </w:r>
      <w:r w:rsidRPr="00D60DF4">
        <w:rPr>
          <w:rFonts w:ascii="Arial" w:hAnsi="Arial" w:cs="Arial"/>
        </w:rPr>
        <w:t xml:space="preserve"> la presencia o ausencia de síntomas urinarios bajos como disuria, polaquiuria, urgencia urinaria, dolor suprapúbico y hematuria. De igual forma, se deberá evaluar la presencia de fiebre, escalofríos, náuseas, vómito, dolor lumbar o dolor a la puño-percusión lumbar, los cuales sugieren compromiso del tracto urinario superior y requieren una evaluación diagnóstica y terapéutica diferente.</w:t>
      </w:r>
    </w:p>
    <w:p w14:paraId="28153AC2" w14:textId="77777777" w:rsidR="00D60DF4" w:rsidRPr="00D60DF4" w:rsidRDefault="00D60DF4" w:rsidP="00D60DF4">
      <w:pPr>
        <w:pStyle w:val="Prrafodelista"/>
        <w:spacing w:line="276" w:lineRule="auto"/>
        <w:jc w:val="both"/>
        <w:rPr>
          <w:rFonts w:ascii="Arial" w:hAnsi="Arial" w:cs="Arial"/>
          <w:b/>
          <w:bCs/>
          <w:color w:val="C00000"/>
          <w:sz w:val="20"/>
          <w:szCs w:val="20"/>
        </w:rPr>
      </w:pPr>
    </w:p>
    <w:p w14:paraId="412E9860" w14:textId="2B8D57B1" w:rsidR="00906D7D" w:rsidRDefault="00906D7D" w:rsidP="00D60DF4">
      <w:pPr>
        <w:spacing w:line="276" w:lineRule="auto"/>
        <w:jc w:val="both"/>
        <w:rPr>
          <w:rFonts w:ascii="Arial" w:hAnsi="Arial" w:cs="Arial"/>
          <w:b/>
          <w:bCs/>
          <w:color w:val="C00000"/>
          <w:u w:val="single"/>
        </w:rPr>
      </w:pPr>
      <w:r w:rsidRPr="00906D7D">
        <w:rPr>
          <w:rFonts w:ascii="Arial" w:hAnsi="Arial" w:cs="Arial"/>
          <w:b/>
          <w:bCs/>
          <w:color w:val="C00000"/>
          <w:u w:val="single"/>
        </w:rPr>
        <w:t>Recomendación 2: Identificación y registro de factores de riesgo para infección urinaria complicada</w:t>
      </w:r>
    </w:p>
    <w:p w14:paraId="6869F239" w14:textId="6D487C61" w:rsidR="00906D7D" w:rsidRPr="00906D7D" w:rsidRDefault="00906D7D" w:rsidP="00D60DF4">
      <w:pPr>
        <w:spacing w:line="276" w:lineRule="auto"/>
        <w:jc w:val="both"/>
        <w:rPr>
          <w:rFonts w:ascii="Arial" w:hAnsi="Arial" w:cs="Arial"/>
          <w:b/>
          <w:bCs/>
          <w:color w:val="C00000"/>
          <w:u w:val="single"/>
        </w:rPr>
      </w:pPr>
      <w:r w:rsidRPr="00906D7D">
        <w:rPr>
          <w:rFonts w:ascii="Arial" w:hAnsi="Arial" w:cs="Arial"/>
          <w:b/>
          <w:bCs/>
        </w:rPr>
        <w:t>En todos los pacientes con sospecha de infección de vías urinarias deberán registrarse los factores de riesgo que permitan clasificar la infección como complicada y orientar la selección del tratamiento antimicrobiano empírico.</w:t>
      </w:r>
    </w:p>
    <w:p w14:paraId="64648191" w14:textId="77777777" w:rsidR="00906D7D" w:rsidRPr="00906D7D" w:rsidRDefault="00906D7D" w:rsidP="00803954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</w:rPr>
      </w:pPr>
      <w:r w:rsidRPr="00906D7D">
        <w:rPr>
          <w:rFonts w:ascii="Arial" w:hAnsi="Arial" w:cs="Arial"/>
        </w:rPr>
        <w:t>Durante la evaluación clínica deberán documentarse antecedentes relevantes como</w:t>
      </w:r>
      <w:r>
        <w:rPr>
          <w:rFonts w:ascii="Arial" w:hAnsi="Arial" w:cs="Arial"/>
        </w:rPr>
        <w:t>:</w:t>
      </w:r>
    </w:p>
    <w:p w14:paraId="48E73C1B" w14:textId="0EBE9F2F" w:rsid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>Instrumentación reciente de la vía urinaria</w:t>
      </w:r>
    </w:p>
    <w:p w14:paraId="7D30B0CC" w14:textId="4FFD0AFB" w:rsid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>Uso de catéter urinario</w:t>
      </w:r>
    </w:p>
    <w:p w14:paraId="4292FF24" w14:textId="0D91D310" w:rsid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 xml:space="preserve">Antecedentes de infección por microorganismos productores de </w:t>
      </w:r>
      <w:proofErr w:type="spellStart"/>
      <w:r w:rsidRPr="00906D7D">
        <w:rPr>
          <w:rFonts w:ascii="Arial" w:hAnsi="Arial" w:cs="Arial"/>
        </w:rPr>
        <w:t>blee</w:t>
      </w:r>
      <w:proofErr w:type="spellEnd"/>
    </w:p>
    <w:p w14:paraId="45D27B61" w14:textId="314C24CA" w:rsid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>Uso de antimicrobianos durante los últimos tres meses</w:t>
      </w:r>
    </w:p>
    <w:p w14:paraId="6030F46C" w14:textId="24E743B6" w:rsid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>Enfermedad renal crónica</w:t>
      </w:r>
    </w:p>
    <w:p w14:paraId="31735976" w14:textId="1F837106" w:rsid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>Inmunosupresión</w:t>
      </w:r>
    </w:p>
    <w:p w14:paraId="728D9E1B" w14:textId="0EC5E62B" w:rsid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>Litiasis urinaria</w:t>
      </w:r>
    </w:p>
    <w:p w14:paraId="1EAFC4CD" w14:textId="1690194F" w:rsid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>Hiperplasia prostática benigna</w:t>
      </w:r>
    </w:p>
    <w:p w14:paraId="107C3502" w14:textId="59AA80A7" w:rsid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 xml:space="preserve">Anomalías anatómicas del tracto urinario </w:t>
      </w:r>
    </w:p>
    <w:p w14:paraId="6C4B2B20" w14:textId="7D167CAD" w:rsidR="00906D7D" w:rsidRPr="00906D7D" w:rsidRDefault="00906D7D" w:rsidP="0080395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</w:rPr>
      </w:pPr>
      <w:r w:rsidRPr="00906D7D">
        <w:rPr>
          <w:rFonts w:ascii="Arial" w:hAnsi="Arial" w:cs="Arial"/>
        </w:rPr>
        <w:t>Hospitalización reciente.</w:t>
      </w:r>
    </w:p>
    <w:p w14:paraId="62B9FC45" w14:textId="6760B6F8" w:rsidR="00906D7D" w:rsidRDefault="00906D7D" w:rsidP="00906D7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04582A7B" w14:textId="456250C1" w:rsidR="00906D7D" w:rsidRDefault="00906D7D" w:rsidP="00906D7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67C0CC0F" w14:textId="6A615462" w:rsidR="00906D7D" w:rsidRDefault="00906D7D" w:rsidP="00906D7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32EF13E3" w14:textId="77777777" w:rsidR="00906D7D" w:rsidRPr="00906D7D" w:rsidRDefault="00906D7D" w:rsidP="00906D7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1021BE94" w14:textId="564D2E51" w:rsidR="00906D7D" w:rsidRPr="00D60DF4" w:rsidRDefault="00906D7D" w:rsidP="00906D7D">
      <w:pPr>
        <w:spacing w:line="276" w:lineRule="auto"/>
        <w:jc w:val="both"/>
        <w:rPr>
          <w:rFonts w:ascii="Arial" w:hAnsi="Arial" w:cs="Arial"/>
          <w:b/>
          <w:bCs/>
          <w:color w:val="C00000"/>
          <w:u w:val="single"/>
        </w:rPr>
      </w:pPr>
      <w:r w:rsidRPr="00D60DF4">
        <w:rPr>
          <w:rFonts w:ascii="Arial" w:hAnsi="Arial" w:cs="Arial"/>
          <w:b/>
          <w:bCs/>
          <w:color w:val="C00000"/>
          <w:u w:val="single"/>
        </w:rPr>
        <w:lastRenderedPageBreak/>
        <w:t xml:space="preserve">Recomendación </w:t>
      </w:r>
      <w:r>
        <w:rPr>
          <w:rFonts w:ascii="Arial" w:hAnsi="Arial" w:cs="Arial"/>
          <w:b/>
          <w:bCs/>
          <w:color w:val="C00000"/>
          <w:u w:val="single"/>
        </w:rPr>
        <w:t>3</w:t>
      </w:r>
      <w:r w:rsidRPr="00D60DF4">
        <w:rPr>
          <w:rFonts w:ascii="Arial" w:hAnsi="Arial" w:cs="Arial"/>
          <w:b/>
          <w:bCs/>
          <w:color w:val="C00000"/>
          <w:u w:val="single"/>
        </w:rPr>
        <w:t>: Clasificación IVU</w:t>
      </w:r>
    </w:p>
    <w:p w14:paraId="7998E07F" w14:textId="77777777" w:rsidR="00906D7D" w:rsidRDefault="00906D7D" w:rsidP="00906D7D">
      <w:pPr>
        <w:spacing w:line="276" w:lineRule="auto"/>
        <w:jc w:val="both"/>
        <w:rPr>
          <w:rFonts w:ascii="Arial" w:hAnsi="Arial" w:cs="Arial"/>
          <w:b/>
          <w:bCs/>
        </w:rPr>
      </w:pPr>
      <w:r w:rsidRPr="00D60DF4">
        <w:rPr>
          <w:rFonts w:ascii="Arial" w:hAnsi="Arial" w:cs="Arial"/>
          <w:b/>
          <w:bCs/>
        </w:rPr>
        <w:t>Todo paciente con sospecha de infección de vías urinarias deberá ser clasificado y registrado de manera explícita en la historia clínica como una de las siguientes entidades clínicas:</w:t>
      </w:r>
    </w:p>
    <w:p w14:paraId="78E952D5" w14:textId="77777777" w:rsidR="00906D7D" w:rsidRPr="00D60DF4" w:rsidRDefault="00906D7D" w:rsidP="00803954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60DF4">
        <w:rPr>
          <w:rFonts w:ascii="Arial" w:hAnsi="Arial" w:cs="Arial"/>
          <w:b/>
          <w:bCs/>
          <w:sz w:val="20"/>
          <w:szCs w:val="20"/>
        </w:rPr>
        <w:t>IVU complicada</w:t>
      </w:r>
    </w:p>
    <w:p w14:paraId="2A1BA865" w14:textId="77777777" w:rsidR="00906D7D" w:rsidRDefault="00906D7D" w:rsidP="00803954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60DF4">
        <w:rPr>
          <w:rFonts w:ascii="Arial" w:hAnsi="Arial" w:cs="Arial"/>
          <w:b/>
          <w:bCs/>
          <w:sz w:val="20"/>
          <w:szCs w:val="20"/>
        </w:rPr>
        <w:t>IVU NO complicada</w:t>
      </w:r>
    </w:p>
    <w:p w14:paraId="0217FDA4" w14:textId="77777777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  <w:r w:rsidRPr="00D60DF4">
        <w:rPr>
          <w:rFonts w:ascii="Arial" w:hAnsi="Arial" w:cs="Arial"/>
        </w:rPr>
        <w:t>La clasificación deberá realizarse antes del inicio del tratamiento antimicrobiano y sustentarse en los hallazgos clínicos y paraclínicos disponibles.</w:t>
      </w:r>
    </w:p>
    <w:p w14:paraId="2FCE15A9" w14:textId="0D525217" w:rsidR="00906D7D" w:rsidRDefault="00906D7D" w:rsidP="00D60DF4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A240004" w14:textId="1BB2161A" w:rsidR="00906D7D" w:rsidRPr="00906D7D" w:rsidRDefault="00906D7D" w:rsidP="00D60DF4">
      <w:pPr>
        <w:spacing w:line="276" w:lineRule="auto"/>
        <w:jc w:val="both"/>
        <w:rPr>
          <w:rFonts w:ascii="Arial" w:hAnsi="Arial" w:cs="Arial"/>
          <w:b/>
          <w:bCs/>
          <w:color w:val="C00000"/>
          <w:u w:val="single"/>
        </w:rPr>
      </w:pPr>
      <w:r w:rsidRPr="00906D7D">
        <w:rPr>
          <w:rFonts w:ascii="Arial" w:hAnsi="Arial" w:cs="Arial"/>
          <w:b/>
          <w:bCs/>
          <w:color w:val="C00000"/>
          <w:u w:val="single"/>
        </w:rPr>
        <w:t>Recomendación 4: Solicitud de paraclínicos</w:t>
      </w:r>
    </w:p>
    <w:p w14:paraId="3E2C4D21" w14:textId="33477384" w:rsidR="00906D7D" w:rsidRDefault="00906D7D" w:rsidP="00803954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 xml:space="preserve">En pacientes con sospecha de IVU no complicada, el diagnóstico puede establecerse principalmente mediante la historia clínica y el examen físico, apoyándose en el uroanálisis cuando exista duda diagnóstica. </w:t>
      </w:r>
    </w:p>
    <w:p w14:paraId="57274ECA" w14:textId="77777777" w:rsidR="00906D7D" w:rsidRPr="00906D7D" w:rsidRDefault="00906D7D" w:rsidP="00906D7D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1A069D38" w14:textId="1A06924C" w:rsidR="00906D7D" w:rsidRDefault="00906D7D" w:rsidP="00803954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>En pacientes con sospecha de pielonefritis o infección urinaria complicada deberán solicitarse estudios complementarios que permitan evaluar el compromiso sistémico, la función renal y la presencia de complicaciones (uroanálisis, urocultivo, hemograma, creatinina sérica y proteína C reactiva)</w:t>
      </w:r>
    </w:p>
    <w:p w14:paraId="3EB12935" w14:textId="77777777" w:rsidR="00906D7D" w:rsidRPr="00906D7D" w:rsidRDefault="00906D7D" w:rsidP="00906D7D">
      <w:pPr>
        <w:pStyle w:val="Prrafodelista"/>
        <w:jc w:val="both"/>
        <w:rPr>
          <w:rFonts w:ascii="Arial" w:hAnsi="Arial" w:cs="Arial"/>
        </w:rPr>
      </w:pPr>
    </w:p>
    <w:p w14:paraId="36725106" w14:textId="5011A862" w:rsidR="00906D7D" w:rsidRDefault="00906D7D" w:rsidP="00803954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 xml:space="preserve">En paciente con </w:t>
      </w:r>
      <w:proofErr w:type="spellStart"/>
      <w:r w:rsidRPr="00906D7D">
        <w:rPr>
          <w:rFonts w:ascii="Arial" w:hAnsi="Arial" w:cs="Arial"/>
        </w:rPr>
        <w:t>urosepsis</w:t>
      </w:r>
      <w:proofErr w:type="spellEnd"/>
      <w:r w:rsidRPr="00906D7D">
        <w:rPr>
          <w:rFonts w:ascii="Arial" w:hAnsi="Arial" w:cs="Arial"/>
        </w:rPr>
        <w:t xml:space="preserve"> deberán solicitarse: uroanálisis, urocultivo, hemograma, creatinina sérica y proteína C reactiva, hemocultivos, lactato sérico y estudios de imagen</w:t>
      </w:r>
    </w:p>
    <w:p w14:paraId="4881D76C" w14:textId="77777777" w:rsidR="00906D7D" w:rsidRPr="00906D7D" w:rsidRDefault="00906D7D" w:rsidP="00906D7D">
      <w:pPr>
        <w:pStyle w:val="Prrafodelista"/>
        <w:rPr>
          <w:rFonts w:ascii="Arial" w:hAnsi="Arial" w:cs="Arial"/>
        </w:rPr>
      </w:pPr>
    </w:p>
    <w:p w14:paraId="50758BD2" w14:textId="07571EC6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34445165" w14:textId="3BF363C3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0347020A" w14:textId="5625F713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09846BA6" w14:textId="38227E52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1E54E06A" w14:textId="39320711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4F45F8BB" w14:textId="4A640ACE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7AFF57C0" w14:textId="30D65591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299D560C" w14:textId="13FAD0F2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182E8B70" w14:textId="4CA81204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66C8047C" w14:textId="77777777" w:rsidR="00906D7D" w:rsidRPr="00906D7D" w:rsidRDefault="00906D7D" w:rsidP="00906D7D">
      <w:pPr>
        <w:spacing w:line="276" w:lineRule="auto"/>
        <w:jc w:val="both"/>
        <w:rPr>
          <w:rFonts w:ascii="Arial" w:hAnsi="Arial" w:cs="Arial"/>
        </w:rPr>
      </w:pPr>
    </w:p>
    <w:p w14:paraId="307CA979" w14:textId="539FDED4" w:rsidR="00906D7D" w:rsidRPr="00906D7D" w:rsidRDefault="00906D7D" w:rsidP="00D60DF4">
      <w:pPr>
        <w:spacing w:line="276" w:lineRule="auto"/>
        <w:jc w:val="both"/>
        <w:rPr>
          <w:rFonts w:ascii="Arial" w:hAnsi="Arial" w:cs="Arial"/>
          <w:b/>
          <w:bCs/>
          <w:color w:val="C00000"/>
          <w:u w:val="single"/>
        </w:rPr>
      </w:pPr>
    </w:p>
    <w:p w14:paraId="687F9F41" w14:textId="45730589" w:rsidR="00906D7D" w:rsidRDefault="00906D7D" w:rsidP="00D60DF4">
      <w:pPr>
        <w:spacing w:line="276" w:lineRule="auto"/>
        <w:jc w:val="both"/>
        <w:rPr>
          <w:rFonts w:ascii="Arial" w:hAnsi="Arial" w:cs="Arial"/>
          <w:b/>
          <w:bCs/>
          <w:color w:val="C00000"/>
          <w:u w:val="single"/>
        </w:rPr>
      </w:pPr>
      <w:r w:rsidRPr="00906D7D">
        <w:rPr>
          <w:rFonts w:ascii="Arial" w:hAnsi="Arial" w:cs="Arial"/>
          <w:b/>
          <w:bCs/>
          <w:color w:val="C00000"/>
          <w:u w:val="single"/>
        </w:rPr>
        <w:lastRenderedPageBreak/>
        <w:t>Recomendación 5: Inicio oportuno y selección del tratamiento antimicrobiano empírico</w:t>
      </w:r>
    </w:p>
    <w:p w14:paraId="68A83514" w14:textId="4FD2FC5B" w:rsidR="007778B7" w:rsidRPr="007778B7" w:rsidRDefault="007778B7" w:rsidP="007778B7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  <w:u w:val="single"/>
        </w:rPr>
      </w:pPr>
      <w:r w:rsidRPr="007778B7">
        <w:rPr>
          <w:rFonts w:ascii="Arial" w:hAnsi="Arial" w:cs="Arial"/>
          <w:b/>
          <w:bCs/>
          <w:color w:val="000000" w:themeColor="text1"/>
          <w:u w:val="single"/>
        </w:rPr>
        <w:t>CISTITIS NO COMPLICADA</w:t>
      </w:r>
    </w:p>
    <w:p w14:paraId="43C58191" w14:textId="23095D88" w:rsidR="00906D7D" w:rsidRDefault="0010729A" w:rsidP="008D5048">
      <w:pPr>
        <w:spacing w:line="276" w:lineRule="auto"/>
        <w:jc w:val="center"/>
        <w:rPr>
          <w:rFonts w:ascii="Arial" w:hAnsi="Arial" w:cs="Arial"/>
          <w:b/>
          <w:bCs/>
          <w:color w:val="C00000"/>
          <w:u w:val="single"/>
        </w:rPr>
      </w:pPr>
      <w:r w:rsidRPr="0010729A">
        <w:rPr>
          <w:rFonts w:ascii="Arial" w:hAnsi="Arial" w:cs="Arial"/>
          <w:b/>
          <w:bCs/>
          <w:noProof/>
          <w:color w:val="C00000"/>
        </w:rPr>
        <w:drawing>
          <wp:inline distT="0" distB="0" distL="0" distR="0" wp14:anchorId="395600F3" wp14:editId="2F09FF98">
            <wp:extent cx="5612130" cy="332994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EB23" w14:textId="3819F07A" w:rsidR="007778B7" w:rsidRPr="00CE29FF" w:rsidRDefault="007778B7" w:rsidP="008D5048">
      <w:pPr>
        <w:spacing w:line="276" w:lineRule="auto"/>
        <w:jc w:val="center"/>
        <w:rPr>
          <w:rFonts w:ascii="Arial" w:hAnsi="Arial" w:cs="Arial"/>
          <w:b/>
          <w:bCs/>
          <w:color w:val="E36C0A" w:themeColor="accent6" w:themeShade="BF"/>
          <w:u w:val="single"/>
        </w:rPr>
      </w:pPr>
      <w:r w:rsidRPr="00CE29FF">
        <w:rPr>
          <w:rFonts w:ascii="Arial" w:hAnsi="Arial" w:cs="Arial"/>
          <w:b/>
          <w:bCs/>
          <w:color w:val="E36C0A" w:themeColor="accent6" w:themeShade="BF"/>
          <w:u w:val="single"/>
        </w:rPr>
        <w:t>CISTITIS COMPLICADA</w:t>
      </w:r>
    </w:p>
    <w:p w14:paraId="01DE41ED" w14:textId="611BB87D" w:rsidR="008D5048" w:rsidRDefault="00EC182B" w:rsidP="008D5048">
      <w:pPr>
        <w:spacing w:line="276" w:lineRule="auto"/>
        <w:jc w:val="center"/>
        <w:rPr>
          <w:rFonts w:ascii="Arial" w:hAnsi="Arial" w:cs="Arial"/>
          <w:b/>
          <w:bCs/>
          <w:color w:val="C00000"/>
          <w:u w:val="single"/>
        </w:rPr>
      </w:pPr>
      <w:r w:rsidRPr="00EC182B">
        <w:rPr>
          <w:rFonts w:ascii="Arial" w:hAnsi="Arial" w:cs="Arial"/>
          <w:b/>
          <w:bCs/>
          <w:noProof/>
          <w:color w:val="C00000"/>
        </w:rPr>
        <w:drawing>
          <wp:inline distT="0" distB="0" distL="0" distR="0" wp14:anchorId="7F817E08" wp14:editId="55510CB2">
            <wp:extent cx="5612130" cy="29946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" r="-1629" b="16071"/>
                    <a:stretch/>
                  </pic:blipFill>
                  <pic:spPr bwMode="auto"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74937" w14:textId="2160F144" w:rsidR="007778B7" w:rsidRDefault="007778B7" w:rsidP="008D5048">
      <w:pPr>
        <w:spacing w:line="276" w:lineRule="auto"/>
        <w:jc w:val="center"/>
        <w:rPr>
          <w:rFonts w:ascii="Arial" w:hAnsi="Arial" w:cs="Arial"/>
          <w:b/>
          <w:bCs/>
          <w:color w:val="C00000"/>
          <w:u w:val="single"/>
        </w:rPr>
      </w:pPr>
    </w:p>
    <w:p w14:paraId="1F14870F" w14:textId="718E1D9E" w:rsidR="00EC182B" w:rsidRDefault="00EC182B" w:rsidP="008D5048">
      <w:pPr>
        <w:spacing w:line="276" w:lineRule="auto"/>
        <w:jc w:val="center"/>
        <w:rPr>
          <w:rFonts w:ascii="Arial" w:hAnsi="Arial" w:cs="Arial"/>
          <w:b/>
          <w:bCs/>
          <w:color w:val="C00000"/>
          <w:u w:val="single"/>
        </w:rPr>
      </w:pPr>
    </w:p>
    <w:p w14:paraId="74132810" w14:textId="77777777" w:rsidR="00EC182B" w:rsidRDefault="00EC182B" w:rsidP="008D5048">
      <w:pPr>
        <w:spacing w:line="276" w:lineRule="auto"/>
        <w:jc w:val="center"/>
        <w:rPr>
          <w:rFonts w:ascii="Arial" w:hAnsi="Arial" w:cs="Arial"/>
          <w:b/>
          <w:bCs/>
          <w:color w:val="C00000"/>
          <w:u w:val="single"/>
        </w:rPr>
      </w:pPr>
    </w:p>
    <w:p w14:paraId="4623BA12" w14:textId="3E181D15" w:rsidR="008D5048" w:rsidRDefault="007778B7" w:rsidP="008D5048">
      <w:pPr>
        <w:spacing w:line="276" w:lineRule="auto"/>
        <w:jc w:val="center"/>
        <w:rPr>
          <w:rFonts w:ascii="Arial" w:hAnsi="Arial" w:cs="Arial"/>
          <w:b/>
          <w:bCs/>
          <w:color w:val="C00000"/>
          <w:u w:val="single"/>
        </w:rPr>
      </w:pPr>
      <w:r>
        <w:rPr>
          <w:rFonts w:ascii="Arial" w:hAnsi="Arial" w:cs="Arial"/>
          <w:b/>
          <w:bCs/>
          <w:color w:val="C00000"/>
          <w:u w:val="single"/>
        </w:rPr>
        <w:t>PIELONEFRITIS/IVU COMPLICADA</w:t>
      </w:r>
      <w:r w:rsidR="008D5048">
        <w:rPr>
          <w:noProof/>
        </w:rPr>
        <mc:AlternateContent>
          <mc:Choice Requires="wps">
            <w:drawing>
              <wp:inline distT="0" distB="0" distL="0" distR="0" wp14:anchorId="2C41D661" wp14:editId="023F75F7">
                <wp:extent cx="304800" cy="304800"/>
                <wp:effectExtent l="0" t="0" r="0" b="0"/>
                <wp:docPr id="7" name="Rectángulo 7" descr="Guía clínica de piélonefritis complic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6D5C2" id="Rectángulo 7" o:spid="_x0000_s1026" alt="Guía clínica de piélonefritis complic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KqzmRsV&#10;AgAA+gMAAA4AAAAAAAAAAAAAAAAALgIAAGRycy9lMm9Eb2MueG1sUEsBAi0AFAAGAAgAAAAhAEyg&#10;6SzYAAAAAwEAAA8AAAAAAAAAAAAAAAAAbwQAAGRycy9kb3ducmV2LnhtbFBLBQYAAAAABAAEAPMA&#10;AAB0BQAAAAA=&#10;" filled="f" stroked="f">
                <o:lock v:ext="edit" aspectratio="t"/>
                <w10:anchorlock/>
              </v:rect>
            </w:pict>
          </mc:Fallback>
        </mc:AlternateContent>
      </w:r>
      <w:r w:rsidR="00EC182B" w:rsidRPr="00EC182B">
        <w:rPr>
          <w:rFonts w:ascii="Arial" w:hAnsi="Arial" w:cs="Arial"/>
          <w:b/>
          <w:bCs/>
          <w:noProof/>
          <w:color w:val="C00000"/>
        </w:rPr>
        <w:drawing>
          <wp:inline distT="0" distB="0" distL="0" distR="0" wp14:anchorId="52590D4C" wp14:editId="10E50C5E">
            <wp:extent cx="5612130" cy="31819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66D7" w14:textId="1F5CD8A6" w:rsidR="00906D7D" w:rsidRPr="00906D7D" w:rsidRDefault="00906D7D" w:rsidP="00906D7D">
      <w:pPr>
        <w:spacing w:line="276" w:lineRule="auto"/>
        <w:jc w:val="center"/>
        <w:rPr>
          <w:rFonts w:ascii="Arial" w:hAnsi="Arial" w:cs="Arial"/>
          <w:b/>
          <w:bCs/>
          <w:color w:val="C00000"/>
        </w:rPr>
      </w:pPr>
    </w:p>
    <w:p w14:paraId="1CEAB257" w14:textId="77777777" w:rsidR="00906D7D" w:rsidRPr="00906D7D" w:rsidRDefault="00906D7D" w:rsidP="00906D7D">
      <w:pPr>
        <w:pStyle w:val="Ttulo2"/>
        <w:rPr>
          <w:rFonts w:ascii="Arial" w:hAnsi="Arial" w:cs="Arial"/>
          <w:color w:val="C00000"/>
          <w:sz w:val="22"/>
          <w:szCs w:val="22"/>
          <w:u w:val="single"/>
        </w:rPr>
      </w:pPr>
      <w:r w:rsidRPr="00906D7D">
        <w:rPr>
          <w:rFonts w:ascii="Arial" w:hAnsi="Arial" w:cs="Arial"/>
          <w:color w:val="C00000"/>
          <w:sz w:val="22"/>
          <w:szCs w:val="22"/>
          <w:u w:val="single"/>
        </w:rPr>
        <w:t>Recomendación 6: Ajuste del tratamiento según el resultado del urocultivo y antibiograma</w:t>
      </w:r>
    </w:p>
    <w:p w14:paraId="5F4237C0" w14:textId="6AAEC47C" w:rsidR="00906D7D" w:rsidRDefault="00906D7D" w:rsidP="00906D7D">
      <w:pPr>
        <w:spacing w:line="276" w:lineRule="auto"/>
        <w:jc w:val="both"/>
        <w:rPr>
          <w:rFonts w:ascii="Arial" w:hAnsi="Arial" w:cs="Arial"/>
        </w:rPr>
      </w:pPr>
      <w:r w:rsidRPr="00906D7D">
        <w:rPr>
          <w:rFonts w:ascii="Arial" w:hAnsi="Arial" w:cs="Arial"/>
        </w:rPr>
        <w:t>Todo paciente con urocultivo y antibiograma disponibles deberá contar con una reevaluación documentada del tratamiento antimicrobiano, registrando la conducta adoptada, ya sea mantener, ajustar, des escalar o suspender el antibiótico, de acuerdo con la evolución clínica y el perfil de susceptibilidad del microorganismo aislado.</w:t>
      </w:r>
    </w:p>
    <w:p w14:paraId="4DB4CAE6" w14:textId="2BD8AB14" w:rsidR="008B66FD" w:rsidRPr="008B66FD" w:rsidRDefault="008B66FD" w:rsidP="008B66FD">
      <w:pPr>
        <w:spacing w:line="276" w:lineRule="auto"/>
        <w:jc w:val="both"/>
        <w:rPr>
          <w:rFonts w:ascii="Arial" w:hAnsi="Arial" w:cs="Arial"/>
        </w:rPr>
      </w:pPr>
    </w:p>
    <w:p w14:paraId="160EEDE2" w14:textId="1680F3CB" w:rsidR="008B66FD" w:rsidRPr="008B66FD" w:rsidRDefault="008B66FD" w:rsidP="008B66FD">
      <w:pPr>
        <w:spacing w:line="276" w:lineRule="auto"/>
        <w:jc w:val="both"/>
        <w:rPr>
          <w:rFonts w:ascii="Arial" w:hAnsi="Arial" w:cs="Arial"/>
          <w:b/>
          <w:bCs/>
          <w:color w:val="C00000"/>
          <w:u w:val="single"/>
        </w:rPr>
      </w:pPr>
      <w:r w:rsidRPr="008B66FD">
        <w:rPr>
          <w:rFonts w:ascii="Arial" w:hAnsi="Arial" w:cs="Arial"/>
          <w:b/>
          <w:bCs/>
          <w:color w:val="C00000"/>
          <w:u w:val="single"/>
        </w:rPr>
        <w:t>Recomendación 7: IVU asociado a catéter</w:t>
      </w:r>
    </w:p>
    <w:p w14:paraId="163A208C" w14:textId="48DF46A0" w:rsidR="008B66FD" w:rsidRPr="00EE4A6D" w:rsidRDefault="008B66FD" w:rsidP="00EE4A6D">
      <w:pPr>
        <w:spacing w:line="276" w:lineRule="auto"/>
        <w:ind w:left="360"/>
        <w:jc w:val="both"/>
        <w:rPr>
          <w:rFonts w:ascii="Arial" w:hAnsi="Arial" w:cs="Arial"/>
        </w:rPr>
      </w:pPr>
      <w:r w:rsidRPr="00EE4A6D">
        <w:rPr>
          <w:rFonts w:ascii="Arial" w:hAnsi="Arial" w:cs="Arial"/>
        </w:rPr>
        <w:t>Se recomienda</w:t>
      </w:r>
      <w:r w:rsidRPr="00EE4A6D">
        <w:rPr>
          <w:rFonts w:ascii="Arial" w:hAnsi="Arial" w:cs="Arial"/>
          <w:b/>
          <w:bCs/>
        </w:rPr>
        <w:t xml:space="preserve"> NO</w:t>
      </w:r>
      <w:r w:rsidRPr="00EE4A6D">
        <w:rPr>
          <w:rFonts w:ascii="Arial" w:hAnsi="Arial" w:cs="Arial"/>
        </w:rPr>
        <w:t xml:space="preserve"> realizar tratamiento antibiótico de la bacteriuria asintomática en pacientes portadores de catéter urinario, salvo indicaciones específicas (procedimiento urológico – paciente con trasplante renal). </w:t>
      </w:r>
    </w:p>
    <w:p w14:paraId="38A531DB" w14:textId="77777777" w:rsidR="008B66FD" w:rsidRPr="008B66FD" w:rsidRDefault="008B66FD" w:rsidP="008B66FD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3227E9B8" w14:textId="34766E35" w:rsidR="008B66FD" w:rsidRDefault="008B66FD" w:rsidP="008B66FD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8B66FD">
        <w:rPr>
          <w:rFonts w:ascii="Arial" w:hAnsi="Arial" w:cs="Arial"/>
        </w:rPr>
        <w:t>En pacientes con síntomas sugestivos de infección urinaria asociada a catéter, se recomienda tomar urocultivo antes de iniciar antibióticos, retirar o cambiar el catéter si lleva más de 7 días de permanencia (sin retrasar el tratamiento), iniciar antibioticoterapia empírica y ajustarla posteriormente según los resultados del cultivo y antibiograma.</w:t>
      </w:r>
    </w:p>
    <w:p w14:paraId="3A6E21D5" w14:textId="77777777" w:rsidR="008B66FD" w:rsidRPr="008B66FD" w:rsidRDefault="008B66FD" w:rsidP="008B66FD">
      <w:pPr>
        <w:pStyle w:val="Prrafodelista"/>
        <w:rPr>
          <w:rFonts w:ascii="Arial" w:hAnsi="Arial" w:cs="Arial"/>
        </w:rPr>
      </w:pPr>
    </w:p>
    <w:p w14:paraId="4C80330D" w14:textId="08939E7E" w:rsidR="008B66FD" w:rsidRPr="008B66FD" w:rsidRDefault="008B66FD" w:rsidP="008B66FD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8B66FD">
        <w:rPr>
          <w:rFonts w:ascii="Arial" w:hAnsi="Arial" w:cs="Arial"/>
        </w:rPr>
        <w:t>Revisar el siguiente algoritmo:</w:t>
      </w:r>
    </w:p>
    <w:p w14:paraId="64A3B249" w14:textId="533CCCFF" w:rsidR="008B66FD" w:rsidRPr="00906D7D" w:rsidRDefault="00A36528" w:rsidP="008B66FD">
      <w:pPr>
        <w:spacing w:line="276" w:lineRule="auto"/>
        <w:jc w:val="center"/>
        <w:rPr>
          <w:rFonts w:ascii="Arial" w:hAnsi="Arial" w:cs="Arial"/>
          <w:b/>
          <w:bCs/>
          <w:color w:val="C00000"/>
          <w:u w:val="single"/>
        </w:rPr>
      </w:pPr>
      <w:r w:rsidRPr="00A36528">
        <w:rPr>
          <w:rFonts w:ascii="Arial" w:hAnsi="Arial" w:cs="Arial"/>
          <w:b/>
          <w:bCs/>
          <w:noProof/>
          <w:color w:val="C00000"/>
        </w:rPr>
        <w:lastRenderedPageBreak/>
        <w:drawing>
          <wp:inline distT="0" distB="0" distL="0" distR="0" wp14:anchorId="5E912FD9" wp14:editId="1D80CDD7">
            <wp:extent cx="5506085" cy="82588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6FD" w:rsidRPr="00906D7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551DD" w14:textId="77777777" w:rsidR="005E77E4" w:rsidRDefault="005E77E4">
      <w:pPr>
        <w:spacing w:after="0" w:line="240" w:lineRule="auto"/>
      </w:pPr>
      <w:r>
        <w:separator/>
      </w:r>
    </w:p>
  </w:endnote>
  <w:endnote w:type="continuationSeparator" w:id="0">
    <w:p w14:paraId="731C7DE3" w14:textId="77777777" w:rsidR="005E77E4" w:rsidRDefault="005E7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53C126-3ABD-4AAB-9AD1-6219317FC3A2}"/>
    <w:embedBold r:id="rId2" w:fontKey="{44A504B0-5635-4FA7-98FD-A0A480FBEB71}"/>
    <w:embedItalic r:id="rId3" w:fontKey="{6D948428-5733-4D0E-9D62-35A21521BC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45B0C64-5C68-49B8-A39C-C38568E421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4153D2-E8E6-4130-AE6F-2B84A37EE2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7286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494C1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E1CCC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23234" w14:textId="77777777" w:rsidR="005E77E4" w:rsidRDefault="005E77E4">
      <w:pPr>
        <w:spacing w:after="0" w:line="240" w:lineRule="auto"/>
      </w:pPr>
      <w:r>
        <w:separator/>
      </w:r>
    </w:p>
  </w:footnote>
  <w:footnote w:type="continuationSeparator" w:id="0">
    <w:p w14:paraId="626C8948" w14:textId="77777777" w:rsidR="005E77E4" w:rsidRDefault="005E7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88B30" w14:textId="77777777" w:rsidR="00AC72C9" w:rsidRDefault="005E77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98E1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616.1pt;height:791.5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21C01" w14:textId="77777777" w:rsidR="00AC72C9" w:rsidRDefault="005E77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B627D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0;margin-top:0;width:616.1pt;height:791.5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5B345" w14:textId="77777777" w:rsidR="00AC72C9" w:rsidRDefault="005E77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C7589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616.1pt;height:791.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83F24"/>
    <w:multiLevelType w:val="hybridMultilevel"/>
    <w:tmpl w:val="ED325B5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333FAD"/>
    <w:multiLevelType w:val="hybridMultilevel"/>
    <w:tmpl w:val="01C66E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97170"/>
    <w:multiLevelType w:val="hybridMultilevel"/>
    <w:tmpl w:val="529470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B4F75"/>
    <w:multiLevelType w:val="hybridMultilevel"/>
    <w:tmpl w:val="85243F72"/>
    <w:lvl w:ilvl="0" w:tplc="51BAB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45842"/>
    <w:multiLevelType w:val="hybridMultilevel"/>
    <w:tmpl w:val="607AB0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B65F9"/>
    <w:multiLevelType w:val="hybridMultilevel"/>
    <w:tmpl w:val="3E360568"/>
    <w:lvl w:ilvl="0" w:tplc="E8B4E6C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color w:val="auto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C9"/>
    <w:rsid w:val="0010729A"/>
    <w:rsid w:val="00117DA3"/>
    <w:rsid w:val="001D69CC"/>
    <w:rsid w:val="0044148F"/>
    <w:rsid w:val="00507A1D"/>
    <w:rsid w:val="005E77E4"/>
    <w:rsid w:val="00722683"/>
    <w:rsid w:val="007778B7"/>
    <w:rsid w:val="00803954"/>
    <w:rsid w:val="00837FB3"/>
    <w:rsid w:val="008B66FD"/>
    <w:rsid w:val="008D5048"/>
    <w:rsid w:val="00906D7D"/>
    <w:rsid w:val="009625A4"/>
    <w:rsid w:val="00A36528"/>
    <w:rsid w:val="00A65AF8"/>
    <w:rsid w:val="00AC72C9"/>
    <w:rsid w:val="00C429EA"/>
    <w:rsid w:val="00CE29FF"/>
    <w:rsid w:val="00D60DF4"/>
    <w:rsid w:val="00D941CF"/>
    <w:rsid w:val="00DD79E4"/>
    <w:rsid w:val="00EA7943"/>
    <w:rsid w:val="00EC182B"/>
    <w:rsid w:val="00EE4A6D"/>
    <w:rsid w:val="00FC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87E1F9C"/>
  <w15:docId w15:val="{DD9D9852-E39E-4EE7-A086-CC00A356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C429EA"/>
    <w:rPr>
      <w:b/>
      <w:bCs/>
    </w:rPr>
  </w:style>
  <w:style w:type="character" w:styleId="nfasis">
    <w:name w:val="Emphasis"/>
    <w:basedOn w:val="Fuentedeprrafopredeter"/>
    <w:uiPriority w:val="20"/>
    <w:qFormat/>
    <w:rsid w:val="00C429EA"/>
    <w:rPr>
      <w:i/>
      <w:iCs/>
    </w:rPr>
  </w:style>
  <w:style w:type="paragraph" w:styleId="Sinespaciado">
    <w:name w:val="No Spacing"/>
    <w:uiPriority w:val="1"/>
    <w:qFormat/>
    <w:rsid w:val="00C429E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4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uentedeprrafopredeter"/>
    <w:rsid w:val="00C429EA"/>
  </w:style>
  <w:style w:type="paragraph" w:styleId="Prrafodelista">
    <w:name w:val="List Paragraph"/>
    <w:basedOn w:val="Normal"/>
    <w:uiPriority w:val="34"/>
    <w:qFormat/>
    <w:rsid w:val="00EA794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837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0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9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4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7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6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5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1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+5U1KXuaqR6Seq1/BgI7a37xxQ==">CgMxLjAyDmguMzFpODZ4Z253bjB1Mg5oLnBhcHEzNWxseTZ0aDgAciExLVhFXzExMzh0eFpjRGdNeHJPT2NUeHB6Vkw0Y0U1ZnM=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608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LEIDY TOLEDO ROJAS</cp:lastModifiedBy>
  <cp:revision>11</cp:revision>
  <dcterms:created xsi:type="dcterms:W3CDTF">2026-05-14T10:16:00Z</dcterms:created>
  <dcterms:modified xsi:type="dcterms:W3CDTF">2026-07-09T12:09:00Z</dcterms:modified>
</cp:coreProperties>
</file>