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B6F51F" w14:textId="77777777" w:rsidR="00082AF4" w:rsidRPr="00082AF4" w:rsidRDefault="00082AF4" w:rsidP="00082AF4">
      <w:pPr>
        <w:spacing w:before="100" w:beforeAutospacing="1" w:after="100" w:afterAutospacing="1" w:line="240" w:lineRule="auto"/>
        <w:jc w:val="center"/>
        <w:rPr>
          <w:rFonts w:asciiTheme="majorHAnsi" w:eastAsia="Times New Roman" w:hAnsiTheme="majorHAnsi" w:cstheme="majorHAnsi"/>
          <w:sz w:val="24"/>
          <w:szCs w:val="24"/>
          <w:lang w:val="es-CO" w:eastAsia="es-CO"/>
        </w:rPr>
      </w:pPr>
      <w:r w:rsidRPr="00082AF4">
        <w:rPr>
          <w:rFonts w:asciiTheme="majorHAnsi" w:eastAsia="Times New Roman" w:hAnsiTheme="majorHAnsi" w:cstheme="majorHAnsi"/>
          <w:b/>
          <w:bCs/>
          <w:sz w:val="24"/>
          <w:szCs w:val="24"/>
          <w:lang w:val="es-CO" w:eastAsia="es-CO"/>
        </w:rPr>
        <w:t>HOSPITAL REGIONAL DE MONIQUIRÁ E.S.E.</w:t>
      </w:r>
      <w:r w:rsidRPr="00082AF4">
        <w:rPr>
          <w:rFonts w:asciiTheme="majorHAnsi" w:eastAsia="Times New Roman" w:hAnsiTheme="majorHAnsi" w:cstheme="majorHAnsi"/>
          <w:sz w:val="24"/>
          <w:szCs w:val="24"/>
          <w:lang w:val="es-CO" w:eastAsia="es-CO"/>
        </w:rPr>
        <w:br/>
      </w:r>
      <w:r w:rsidRPr="00082AF4">
        <w:rPr>
          <w:rFonts w:asciiTheme="majorHAnsi" w:eastAsia="Times New Roman" w:hAnsiTheme="majorHAnsi" w:cstheme="majorHAnsi"/>
          <w:b/>
          <w:bCs/>
          <w:sz w:val="24"/>
          <w:szCs w:val="24"/>
          <w:lang w:val="es-CO" w:eastAsia="es-CO"/>
        </w:rPr>
        <w:t>SUBGERENCIA CIENTÍFICA</w:t>
      </w:r>
    </w:p>
    <w:p w14:paraId="24E6602F" w14:textId="77777777" w:rsidR="00082AF4" w:rsidRPr="00082AF4" w:rsidRDefault="00082AF4" w:rsidP="00082AF4">
      <w:pPr>
        <w:spacing w:before="100" w:beforeAutospacing="1" w:after="100" w:afterAutospacing="1" w:line="240" w:lineRule="auto"/>
        <w:jc w:val="center"/>
        <w:rPr>
          <w:rFonts w:asciiTheme="majorHAnsi" w:eastAsia="Times New Roman" w:hAnsiTheme="majorHAnsi" w:cstheme="majorHAnsi"/>
          <w:sz w:val="24"/>
          <w:szCs w:val="24"/>
          <w:lang w:val="es-CO" w:eastAsia="es-CO"/>
        </w:rPr>
      </w:pPr>
      <w:r w:rsidRPr="00082AF4">
        <w:rPr>
          <w:rFonts w:asciiTheme="majorHAnsi" w:eastAsia="Times New Roman" w:hAnsiTheme="majorHAnsi" w:cstheme="majorHAnsi"/>
          <w:b/>
          <w:bCs/>
          <w:sz w:val="24"/>
          <w:szCs w:val="24"/>
          <w:lang w:val="es-CO" w:eastAsia="es-CO"/>
        </w:rPr>
        <w:t>CIRCULAR No. ____ DE 2026</w:t>
      </w:r>
    </w:p>
    <w:p w14:paraId="3504AE36" w14:textId="25A8014C" w:rsidR="00082AF4" w:rsidRPr="00082AF4" w:rsidRDefault="00082AF4" w:rsidP="00082AF4">
      <w:pPr>
        <w:spacing w:before="100" w:beforeAutospacing="1" w:after="100" w:afterAutospacing="1" w:line="240" w:lineRule="auto"/>
        <w:rPr>
          <w:rFonts w:asciiTheme="majorHAnsi" w:eastAsia="Times New Roman" w:hAnsiTheme="majorHAnsi" w:cstheme="majorHAnsi"/>
          <w:sz w:val="24"/>
          <w:szCs w:val="24"/>
          <w:lang w:val="es-CO" w:eastAsia="es-CO"/>
        </w:rPr>
      </w:pPr>
      <w:r w:rsidRPr="00082AF4">
        <w:rPr>
          <w:rFonts w:asciiTheme="majorHAnsi" w:eastAsia="Times New Roman" w:hAnsiTheme="majorHAnsi" w:cstheme="majorHAnsi"/>
          <w:b/>
          <w:bCs/>
          <w:sz w:val="24"/>
          <w:szCs w:val="24"/>
          <w:lang w:val="es-CO" w:eastAsia="es-CO"/>
        </w:rPr>
        <w:t>Para:</w:t>
      </w:r>
      <w:r w:rsidRPr="00082AF4">
        <w:rPr>
          <w:rFonts w:asciiTheme="majorHAnsi" w:eastAsia="Times New Roman" w:hAnsiTheme="majorHAnsi" w:cstheme="majorHAnsi"/>
          <w:sz w:val="24"/>
          <w:szCs w:val="24"/>
          <w:lang w:val="es-CO" w:eastAsia="es-CO"/>
        </w:rPr>
        <w:t xml:space="preserve"> Líder de Consulta Externa</w:t>
      </w:r>
    </w:p>
    <w:p w14:paraId="0F9C1DDE" w14:textId="77777777" w:rsidR="00082AF4" w:rsidRPr="00082AF4" w:rsidRDefault="00082AF4" w:rsidP="00082AF4">
      <w:pPr>
        <w:spacing w:before="100" w:beforeAutospacing="1" w:after="100" w:afterAutospacing="1" w:line="240" w:lineRule="auto"/>
        <w:rPr>
          <w:rFonts w:asciiTheme="majorHAnsi" w:eastAsia="Times New Roman" w:hAnsiTheme="majorHAnsi" w:cstheme="majorHAnsi"/>
          <w:sz w:val="24"/>
          <w:szCs w:val="24"/>
          <w:lang w:val="es-CO" w:eastAsia="es-CO"/>
        </w:rPr>
      </w:pPr>
      <w:r w:rsidRPr="00082AF4">
        <w:rPr>
          <w:rFonts w:asciiTheme="majorHAnsi" w:eastAsia="Times New Roman" w:hAnsiTheme="majorHAnsi" w:cstheme="majorHAnsi"/>
          <w:b/>
          <w:bCs/>
          <w:sz w:val="24"/>
          <w:szCs w:val="24"/>
          <w:lang w:val="es-CO" w:eastAsia="es-CO"/>
        </w:rPr>
        <w:t>De:</w:t>
      </w:r>
      <w:r w:rsidRPr="00082AF4">
        <w:rPr>
          <w:rFonts w:asciiTheme="majorHAnsi" w:eastAsia="Times New Roman" w:hAnsiTheme="majorHAnsi" w:cstheme="majorHAnsi"/>
          <w:sz w:val="24"/>
          <w:szCs w:val="24"/>
          <w:lang w:val="es-CO" w:eastAsia="es-CO"/>
        </w:rPr>
        <w:t xml:space="preserve"> Subgerencia Científica</w:t>
      </w:r>
    </w:p>
    <w:p w14:paraId="733295BA" w14:textId="77777777" w:rsidR="00082AF4" w:rsidRPr="00082AF4" w:rsidRDefault="00082AF4" w:rsidP="00082AF4">
      <w:pPr>
        <w:spacing w:before="100" w:beforeAutospacing="1" w:after="100" w:afterAutospacing="1" w:line="240" w:lineRule="auto"/>
        <w:rPr>
          <w:rFonts w:asciiTheme="majorHAnsi" w:eastAsia="Times New Roman" w:hAnsiTheme="majorHAnsi" w:cstheme="majorHAnsi"/>
          <w:sz w:val="24"/>
          <w:szCs w:val="24"/>
          <w:lang w:val="es-CO" w:eastAsia="es-CO"/>
        </w:rPr>
      </w:pPr>
      <w:r w:rsidRPr="00082AF4">
        <w:rPr>
          <w:rFonts w:asciiTheme="majorHAnsi" w:eastAsia="Times New Roman" w:hAnsiTheme="majorHAnsi" w:cstheme="majorHAnsi"/>
          <w:b/>
          <w:bCs/>
          <w:sz w:val="24"/>
          <w:szCs w:val="24"/>
          <w:lang w:val="es-CO" w:eastAsia="es-CO"/>
        </w:rPr>
        <w:t>Asunto:</w:t>
      </w:r>
      <w:r w:rsidRPr="00082AF4">
        <w:rPr>
          <w:rFonts w:asciiTheme="majorHAnsi" w:eastAsia="Times New Roman" w:hAnsiTheme="majorHAnsi" w:cstheme="majorHAnsi"/>
          <w:sz w:val="24"/>
          <w:szCs w:val="24"/>
          <w:lang w:val="es-CO" w:eastAsia="es-CO"/>
        </w:rPr>
        <w:t xml:space="preserve"> Fortalecimiento del proceso de evaluación y seguimiento de la adherencia a las Guías de Práctica Clínica (GPC)</w:t>
      </w:r>
    </w:p>
    <w:p w14:paraId="76A6F6BB" w14:textId="0E0C809F" w:rsidR="00082AF4" w:rsidRPr="00082AF4" w:rsidRDefault="00082AF4" w:rsidP="00082AF4">
      <w:pPr>
        <w:spacing w:before="100" w:beforeAutospacing="1" w:after="100" w:afterAutospacing="1" w:line="240" w:lineRule="auto"/>
        <w:rPr>
          <w:rFonts w:asciiTheme="majorHAnsi" w:eastAsia="Times New Roman" w:hAnsiTheme="majorHAnsi" w:cstheme="majorHAnsi"/>
          <w:sz w:val="24"/>
          <w:szCs w:val="24"/>
          <w:lang w:val="es-CO" w:eastAsia="es-CO"/>
        </w:rPr>
      </w:pPr>
      <w:r w:rsidRPr="00082AF4">
        <w:rPr>
          <w:rFonts w:asciiTheme="majorHAnsi" w:eastAsia="Times New Roman" w:hAnsiTheme="majorHAnsi" w:cstheme="majorHAnsi"/>
          <w:b/>
          <w:bCs/>
          <w:sz w:val="24"/>
          <w:szCs w:val="24"/>
          <w:lang w:val="es-CO" w:eastAsia="es-CO"/>
        </w:rPr>
        <w:t>Fecha:</w:t>
      </w:r>
      <w:r w:rsidRPr="00082AF4">
        <w:rPr>
          <w:rFonts w:asciiTheme="majorHAnsi" w:eastAsia="Times New Roman" w:hAnsiTheme="majorHAnsi" w:cstheme="majorHAnsi"/>
          <w:sz w:val="24"/>
          <w:szCs w:val="24"/>
          <w:lang w:val="es-CO" w:eastAsia="es-CO"/>
        </w:rPr>
        <w:t xml:space="preserve"> </w:t>
      </w:r>
      <w:r>
        <w:rPr>
          <w:rFonts w:asciiTheme="majorHAnsi" w:eastAsia="Times New Roman" w:hAnsiTheme="majorHAnsi" w:cstheme="majorHAnsi"/>
          <w:sz w:val="24"/>
          <w:szCs w:val="24"/>
          <w:lang w:val="es-CO" w:eastAsia="es-CO"/>
        </w:rPr>
        <w:t>30</w:t>
      </w:r>
      <w:r w:rsidRPr="00082AF4">
        <w:rPr>
          <w:rFonts w:asciiTheme="majorHAnsi" w:eastAsia="Times New Roman" w:hAnsiTheme="majorHAnsi" w:cstheme="majorHAnsi"/>
          <w:sz w:val="24"/>
          <w:szCs w:val="24"/>
          <w:lang w:val="es-CO" w:eastAsia="es-CO"/>
        </w:rPr>
        <w:t xml:space="preserve"> de </w:t>
      </w:r>
      <w:r>
        <w:rPr>
          <w:rFonts w:asciiTheme="majorHAnsi" w:eastAsia="Times New Roman" w:hAnsiTheme="majorHAnsi" w:cstheme="majorHAnsi"/>
          <w:sz w:val="24"/>
          <w:szCs w:val="24"/>
          <w:lang w:val="es-CO" w:eastAsia="es-CO"/>
        </w:rPr>
        <w:t xml:space="preserve">junio </w:t>
      </w:r>
      <w:r w:rsidRPr="00082AF4">
        <w:rPr>
          <w:rFonts w:asciiTheme="majorHAnsi" w:eastAsia="Times New Roman" w:hAnsiTheme="majorHAnsi" w:cstheme="majorHAnsi"/>
          <w:sz w:val="24"/>
          <w:szCs w:val="24"/>
          <w:lang w:val="es-CO" w:eastAsia="es-CO"/>
        </w:rPr>
        <w:t>de 2026</w:t>
      </w:r>
    </w:p>
    <w:p w14:paraId="3BDD4064" w14:textId="77777777" w:rsidR="00D2051E" w:rsidRPr="00D2051E" w:rsidRDefault="00D2051E" w:rsidP="00D2051E">
      <w:pPr>
        <w:spacing w:before="100" w:beforeAutospacing="1" w:after="100" w:afterAutospacing="1" w:line="276" w:lineRule="auto"/>
        <w:jc w:val="both"/>
        <w:rPr>
          <w:rFonts w:asciiTheme="majorHAnsi" w:eastAsia="Times New Roman" w:hAnsiTheme="majorHAnsi" w:cstheme="majorHAnsi"/>
          <w:sz w:val="24"/>
          <w:szCs w:val="24"/>
          <w:lang w:val="es-CO" w:eastAsia="es-CO"/>
        </w:rPr>
      </w:pPr>
      <w:r w:rsidRPr="00D2051E">
        <w:rPr>
          <w:rFonts w:asciiTheme="majorHAnsi" w:eastAsia="Times New Roman" w:hAnsiTheme="majorHAnsi" w:cstheme="majorHAnsi"/>
          <w:sz w:val="24"/>
          <w:szCs w:val="24"/>
          <w:lang w:val="es-CO" w:eastAsia="es-CO"/>
        </w:rPr>
        <w:t>Con el propósito de fortalecer la implementación institucional de las Guías de Práctica Clínica (GPC), promover la mejora continua de la calidad de la atención y garantizar la adherencia a las recomendaciones basadas en la evidencia científica, la Subgerencia Científica establece el fortalecimiento del proceso de evaluación periódica de las Guías de Práctica Clínica priorizadas para el servicio de Consulta Externa.</w:t>
      </w:r>
    </w:p>
    <w:p w14:paraId="31FC1E69" w14:textId="4AEF99BA" w:rsidR="00D2051E" w:rsidRPr="00D2051E" w:rsidRDefault="00D2051E" w:rsidP="00D2051E">
      <w:pPr>
        <w:spacing w:before="100" w:beforeAutospacing="1" w:after="100" w:afterAutospacing="1" w:line="276" w:lineRule="auto"/>
        <w:jc w:val="both"/>
        <w:rPr>
          <w:rFonts w:asciiTheme="majorHAnsi" w:eastAsia="Times New Roman" w:hAnsiTheme="majorHAnsi" w:cstheme="majorHAnsi"/>
          <w:sz w:val="24"/>
          <w:szCs w:val="24"/>
          <w:lang w:val="es-CO" w:eastAsia="es-CO"/>
        </w:rPr>
      </w:pPr>
      <w:r w:rsidRPr="00D2051E">
        <w:rPr>
          <w:rFonts w:asciiTheme="majorHAnsi" w:eastAsia="Times New Roman" w:hAnsiTheme="majorHAnsi" w:cstheme="majorHAnsi"/>
          <w:sz w:val="24"/>
          <w:szCs w:val="24"/>
          <w:lang w:val="es-CO" w:eastAsia="es-CO"/>
        </w:rPr>
        <w:t>En este sentido, se solicita al Líder de Consulta Externa supervisar y garantizar la calificación de las historias clínicas correspondientes a las Guías de Práctica Clínica definidas para el servicio, promoviendo la participación activa del equipo asistencial en la revisión de los resultados, la identificación de oportunidades de mejora y la implementación de las acciones correctivas que se deriven del proceso de evaluación.</w:t>
      </w:r>
    </w:p>
    <w:p w14:paraId="30277312" w14:textId="77777777" w:rsidR="00D2051E" w:rsidRPr="00D2051E" w:rsidRDefault="00D2051E" w:rsidP="00D2051E">
      <w:pPr>
        <w:spacing w:before="100" w:beforeAutospacing="1" w:after="100" w:afterAutospacing="1" w:line="276" w:lineRule="auto"/>
        <w:jc w:val="both"/>
        <w:rPr>
          <w:rFonts w:asciiTheme="majorHAnsi" w:eastAsia="Times New Roman" w:hAnsiTheme="majorHAnsi" w:cstheme="majorHAnsi"/>
          <w:sz w:val="24"/>
          <w:szCs w:val="24"/>
          <w:lang w:val="es-CO" w:eastAsia="es-CO"/>
        </w:rPr>
      </w:pPr>
      <w:r w:rsidRPr="00D2051E">
        <w:rPr>
          <w:rFonts w:asciiTheme="majorHAnsi" w:eastAsia="Times New Roman" w:hAnsiTheme="majorHAnsi" w:cstheme="majorHAnsi"/>
          <w:sz w:val="24"/>
          <w:szCs w:val="24"/>
          <w:lang w:val="es-CO" w:eastAsia="es-CO"/>
        </w:rPr>
        <w:t xml:space="preserve">Con el fin de estandarizar la metodología institucional, el Área de Guías de Práctica Clínica, a través de la referente institucional de GPC, remitirá </w:t>
      </w:r>
      <w:r w:rsidRPr="00D2051E">
        <w:rPr>
          <w:rFonts w:asciiTheme="majorHAnsi" w:eastAsia="Times New Roman" w:hAnsiTheme="majorHAnsi" w:cstheme="majorHAnsi"/>
          <w:b/>
          <w:bCs/>
          <w:sz w:val="24"/>
          <w:szCs w:val="24"/>
          <w:lang w:val="es-CO" w:eastAsia="es-CO"/>
        </w:rPr>
        <w:t>el día 15 de cada mes</w:t>
      </w:r>
      <w:r w:rsidRPr="00D2051E">
        <w:rPr>
          <w:rFonts w:asciiTheme="majorHAnsi" w:eastAsia="Times New Roman" w:hAnsiTheme="majorHAnsi" w:cstheme="majorHAnsi"/>
          <w:sz w:val="24"/>
          <w:szCs w:val="24"/>
          <w:lang w:val="es-CO" w:eastAsia="es-CO"/>
        </w:rPr>
        <w:t xml:space="preserve"> la muestra de historias clínicas objeto de evaluación, junto con los instrumentos de calificación y las orientaciones metodológicas necesarias para el desarrollo del proceso.</w:t>
      </w:r>
    </w:p>
    <w:p w14:paraId="7476339B" w14:textId="77777777" w:rsidR="00D2051E" w:rsidRPr="00D2051E" w:rsidRDefault="00D2051E" w:rsidP="00D2051E">
      <w:pPr>
        <w:spacing w:before="100" w:beforeAutospacing="1" w:after="100" w:afterAutospacing="1" w:line="276" w:lineRule="auto"/>
        <w:jc w:val="both"/>
        <w:rPr>
          <w:rFonts w:asciiTheme="majorHAnsi" w:eastAsia="Times New Roman" w:hAnsiTheme="majorHAnsi" w:cstheme="majorHAnsi"/>
          <w:sz w:val="24"/>
          <w:szCs w:val="24"/>
          <w:lang w:val="es-CO" w:eastAsia="es-CO"/>
        </w:rPr>
      </w:pPr>
      <w:r w:rsidRPr="00D2051E">
        <w:rPr>
          <w:rFonts w:asciiTheme="majorHAnsi" w:eastAsia="Times New Roman" w:hAnsiTheme="majorHAnsi" w:cstheme="majorHAnsi"/>
          <w:sz w:val="24"/>
          <w:szCs w:val="24"/>
          <w:lang w:val="es-CO" w:eastAsia="es-CO"/>
        </w:rPr>
        <w:t xml:space="preserve">Para el servicio de </w:t>
      </w:r>
      <w:r w:rsidRPr="00D2051E">
        <w:rPr>
          <w:rFonts w:asciiTheme="majorHAnsi" w:eastAsia="Times New Roman" w:hAnsiTheme="majorHAnsi" w:cstheme="majorHAnsi"/>
          <w:b/>
          <w:bCs/>
          <w:sz w:val="24"/>
          <w:szCs w:val="24"/>
          <w:lang w:val="es-CO" w:eastAsia="es-CO"/>
        </w:rPr>
        <w:t>Consulta Externa</w:t>
      </w:r>
      <w:r w:rsidRPr="00D2051E">
        <w:rPr>
          <w:rFonts w:asciiTheme="majorHAnsi" w:eastAsia="Times New Roman" w:hAnsiTheme="majorHAnsi" w:cstheme="majorHAnsi"/>
          <w:sz w:val="24"/>
          <w:szCs w:val="24"/>
          <w:lang w:val="es-CO" w:eastAsia="es-CO"/>
        </w:rPr>
        <w:t>, las Guías de Práctica Clínica incluidas en el proceso de evaluación son las siguientes:</w:t>
      </w:r>
    </w:p>
    <w:p w14:paraId="75A6B8BE" w14:textId="77777777" w:rsidR="00D2051E" w:rsidRPr="00D2051E" w:rsidRDefault="00D2051E" w:rsidP="00D2051E">
      <w:pPr>
        <w:numPr>
          <w:ilvl w:val="0"/>
          <w:numId w:val="2"/>
        </w:numPr>
        <w:spacing w:before="100" w:beforeAutospacing="1" w:after="100" w:afterAutospacing="1" w:line="276" w:lineRule="auto"/>
        <w:jc w:val="both"/>
        <w:rPr>
          <w:rFonts w:asciiTheme="majorHAnsi" w:eastAsia="Times New Roman" w:hAnsiTheme="majorHAnsi" w:cstheme="majorHAnsi"/>
          <w:sz w:val="24"/>
          <w:szCs w:val="24"/>
          <w:lang w:val="es-CO" w:eastAsia="es-CO"/>
        </w:rPr>
      </w:pPr>
      <w:r w:rsidRPr="00D2051E">
        <w:rPr>
          <w:rFonts w:asciiTheme="majorHAnsi" w:eastAsia="Times New Roman" w:hAnsiTheme="majorHAnsi" w:cstheme="majorHAnsi"/>
          <w:sz w:val="24"/>
          <w:szCs w:val="24"/>
          <w:lang w:val="es-CO" w:eastAsia="es-CO"/>
        </w:rPr>
        <w:t>Hipertensión Arterial.</w:t>
      </w:r>
    </w:p>
    <w:p w14:paraId="180A3F8C" w14:textId="77777777" w:rsidR="00D2051E" w:rsidRPr="00D2051E" w:rsidRDefault="00D2051E" w:rsidP="00D2051E">
      <w:pPr>
        <w:numPr>
          <w:ilvl w:val="0"/>
          <w:numId w:val="2"/>
        </w:numPr>
        <w:spacing w:before="100" w:beforeAutospacing="1" w:after="100" w:afterAutospacing="1" w:line="276" w:lineRule="auto"/>
        <w:jc w:val="both"/>
        <w:rPr>
          <w:rFonts w:asciiTheme="majorHAnsi" w:eastAsia="Times New Roman" w:hAnsiTheme="majorHAnsi" w:cstheme="majorHAnsi"/>
          <w:sz w:val="24"/>
          <w:szCs w:val="24"/>
          <w:lang w:val="es-CO" w:eastAsia="es-CO"/>
        </w:rPr>
      </w:pPr>
      <w:r w:rsidRPr="00D2051E">
        <w:rPr>
          <w:rFonts w:asciiTheme="majorHAnsi" w:eastAsia="Times New Roman" w:hAnsiTheme="majorHAnsi" w:cstheme="majorHAnsi"/>
          <w:sz w:val="24"/>
          <w:szCs w:val="24"/>
          <w:lang w:val="es-CO" w:eastAsia="es-CO"/>
        </w:rPr>
        <w:t>Diabetes Mellitus.</w:t>
      </w:r>
    </w:p>
    <w:p w14:paraId="5C348E56" w14:textId="77777777" w:rsidR="00D2051E" w:rsidRPr="00D2051E" w:rsidRDefault="00D2051E" w:rsidP="00D2051E">
      <w:pPr>
        <w:numPr>
          <w:ilvl w:val="0"/>
          <w:numId w:val="2"/>
        </w:numPr>
        <w:spacing w:before="100" w:beforeAutospacing="1" w:after="100" w:afterAutospacing="1" w:line="276" w:lineRule="auto"/>
        <w:jc w:val="both"/>
        <w:rPr>
          <w:rFonts w:asciiTheme="majorHAnsi" w:eastAsia="Times New Roman" w:hAnsiTheme="majorHAnsi" w:cstheme="majorHAnsi"/>
          <w:sz w:val="24"/>
          <w:szCs w:val="24"/>
          <w:lang w:val="es-CO" w:eastAsia="es-CO"/>
        </w:rPr>
      </w:pPr>
      <w:r w:rsidRPr="00D2051E">
        <w:rPr>
          <w:rFonts w:asciiTheme="majorHAnsi" w:eastAsia="Times New Roman" w:hAnsiTheme="majorHAnsi" w:cstheme="majorHAnsi"/>
          <w:sz w:val="24"/>
          <w:szCs w:val="24"/>
          <w:lang w:val="es-CO" w:eastAsia="es-CO"/>
        </w:rPr>
        <w:t>Infección de Vías Urinarias.</w:t>
      </w:r>
    </w:p>
    <w:p w14:paraId="67456716" w14:textId="77777777" w:rsidR="00D2051E" w:rsidRPr="00D2051E" w:rsidRDefault="00D2051E" w:rsidP="00D2051E">
      <w:pPr>
        <w:numPr>
          <w:ilvl w:val="0"/>
          <w:numId w:val="2"/>
        </w:numPr>
        <w:spacing w:before="100" w:beforeAutospacing="1" w:after="100" w:afterAutospacing="1" w:line="276" w:lineRule="auto"/>
        <w:jc w:val="both"/>
        <w:rPr>
          <w:rFonts w:asciiTheme="majorHAnsi" w:eastAsia="Times New Roman" w:hAnsiTheme="majorHAnsi" w:cstheme="majorHAnsi"/>
          <w:sz w:val="24"/>
          <w:szCs w:val="24"/>
          <w:lang w:val="es-CO" w:eastAsia="es-CO"/>
        </w:rPr>
      </w:pPr>
      <w:r w:rsidRPr="00D2051E">
        <w:rPr>
          <w:rFonts w:asciiTheme="majorHAnsi" w:eastAsia="Times New Roman" w:hAnsiTheme="majorHAnsi" w:cstheme="majorHAnsi"/>
          <w:sz w:val="24"/>
          <w:szCs w:val="24"/>
          <w:lang w:val="es-CO" w:eastAsia="es-CO"/>
        </w:rPr>
        <w:t>Dolor Abdominal.</w:t>
      </w:r>
    </w:p>
    <w:p w14:paraId="6C909BC5" w14:textId="77777777" w:rsidR="00D2051E" w:rsidRPr="00D2051E" w:rsidRDefault="00D2051E" w:rsidP="00D2051E">
      <w:pPr>
        <w:numPr>
          <w:ilvl w:val="0"/>
          <w:numId w:val="2"/>
        </w:numPr>
        <w:spacing w:before="100" w:beforeAutospacing="1" w:after="100" w:afterAutospacing="1" w:line="276" w:lineRule="auto"/>
        <w:jc w:val="both"/>
        <w:rPr>
          <w:rFonts w:asciiTheme="majorHAnsi" w:eastAsia="Times New Roman" w:hAnsiTheme="majorHAnsi" w:cstheme="majorHAnsi"/>
          <w:sz w:val="24"/>
          <w:szCs w:val="24"/>
          <w:lang w:val="es-CO" w:eastAsia="es-CO"/>
        </w:rPr>
      </w:pPr>
      <w:r w:rsidRPr="00D2051E">
        <w:rPr>
          <w:rFonts w:asciiTheme="majorHAnsi" w:eastAsia="Times New Roman" w:hAnsiTheme="majorHAnsi" w:cstheme="majorHAnsi"/>
          <w:sz w:val="24"/>
          <w:szCs w:val="24"/>
          <w:lang w:val="es-CO" w:eastAsia="es-CO"/>
        </w:rPr>
        <w:t>Enfermedad Pulmonar Obstructiva Crónica (EPOC) – Consulta Externa.</w:t>
      </w:r>
    </w:p>
    <w:p w14:paraId="02B4BA2C" w14:textId="77777777" w:rsidR="00D2051E" w:rsidRPr="00D2051E" w:rsidRDefault="00D2051E" w:rsidP="00D2051E">
      <w:pPr>
        <w:numPr>
          <w:ilvl w:val="0"/>
          <w:numId w:val="2"/>
        </w:numPr>
        <w:spacing w:before="100" w:beforeAutospacing="1" w:after="100" w:afterAutospacing="1" w:line="276" w:lineRule="auto"/>
        <w:jc w:val="both"/>
        <w:rPr>
          <w:rFonts w:asciiTheme="majorHAnsi" w:eastAsia="Times New Roman" w:hAnsiTheme="majorHAnsi" w:cstheme="majorHAnsi"/>
          <w:sz w:val="24"/>
          <w:szCs w:val="24"/>
          <w:lang w:val="es-CO" w:eastAsia="es-CO"/>
        </w:rPr>
      </w:pPr>
      <w:r w:rsidRPr="00D2051E">
        <w:rPr>
          <w:rFonts w:asciiTheme="majorHAnsi" w:eastAsia="Times New Roman" w:hAnsiTheme="majorHAnsi" w:cstheme="majorHAnsi"/>
          <w:sz w:val="24"/>
          <w:szCs w:val="24"/>
          <w:lang w:val="es-CO" w:eastAsia="es-CO"/>
        </w:rPr>
        <w:t>Hiperplasia Prostática Benigna.</w:t>
      </w:r>
    </w:p>
    <w:p w14:paraId="6A56E926" w14:textId="77777777" w:rsidR="00D2051E" w:rsidRPr="00D2051E" w:rsidRDefault="00D2051E" w:rsidP="00D2051E">
      <w:pPr>
        <w:spacing w:before="100" w:beforeAutospacing="1" w:after="100" w:afterAutospacing="1" w:line="276" w:lineRule="auto"/>
        <w:jc w:val="both"/>
        <w:rPr>
          <w:rFonts w:asciiTheme="majorHAnsi" w:eastAsia="Times New Roman" w:hAnsiTheme="majorHAnsi" w:cstheme="majorHAnsi"/>
          <w:sz w:val="24"/>
          <w:szCs w:val="24"/>
          <w:lang w:val="es-CO" w:eastAsia="es-CO"/>
        </w:rPr>
      </w:pPr>
      <w:r w:rsidRPr="00D2051E">
        <w:rPr>
          <w:rFonts w:asciiTheme="majorHAnsi" w:eastAsia="Times New Roman" w:hAnsiTheme="majorHAnsi" w:cstheme="majorHAnsi"/>
          <w:sz w:val="24"/>
          <w:szCs w:val="24"/>
          <w:lang w:val="es-CO" w:eastAsia="es-CO"/>
        </w:rPr>
        <w:lastRenderedPageBreak/>
        <w:t xml:space="preserve">La periodicidad de evaluación de cada guía se realizará conforme al </w:t>
      </w:r>
      <w:r w:rsidRPr="00D2051E">
        <w:rPr>
          <w:rFonts w:asciiTheme="majorHAnsi" w:eastAsia="Times New Roman" w:hAnsiTheme="majorHAnsi" w:cstheme="majorHAnsi"/>
          <w:b/>
          <w:bCs/>
          <w:sz w:val="24"/>
          <w:szCs w:val="24"/>
          <w:lang w:val="es-CO" w:eastAsia="es-CO"/>
        </w:rPr>
        <w:t>Cronograma Institucional de Evaluación de Guías de Práctica Clínica</w:t>
      </w:r>
      <w:r w:rsidRPr="00D2051E">
        <w:rPr>
          <w:rFonts w:asciiTheme="majorHAnsi" w:eastAsia="Times New Roman" w:hAnsiTheme="majorHAnsi" w:cstheme="majorHAnsi"/>
          <w:sz w:val="24"/>
          <w:szCs w:val="24"/>
          <w:lang w:val="es-CO" w:eastAsia="es-CO"/>
        </w:rPr>
        <w:t>, el cual será socializado oportunamente por la referente institucional de GPC. En dicho cronograma se establecerán las guías de evaluación mensual, bimestral o trimestral, de acuerdo con las prioridades institucionales y el grado de implementación de cada una.</w:t>
      </w:r>
    </w:p>
    <w:p w14:paraId="233B355E" w14:textId="64E946EA" w:rsidR="00D2051E" w:rsidRPr="00D2051E" w:rsidRDefault="00D2051E" w:rsidP="00D2051E">
      <w:pPr>
        <w:spacing w:before="100" w:beforeAutospacing="1" w:after="100" w:afterAutospacing="1" w:line="276" w:lineRule="auto"/>
        <w:jc w:val="both"/>
        <w:rPr>
          <w:rFonts w:asciiTheme="majorHAnsi" w:eastAsia="Times New Roman" w:hAnsiTheme="majorHAnsi" w:cstheme="majorHAnsi"/>
          <w:sz w:val="24"/>
          <w:szCs w:val="24"/>
          <w:lang w:val="es-CO" w:eastAsia="es-CO"/>
        </w:rPr>
      </w:pPr>
      <w:r w:rsidRPr="00D2051E">
        <w:rPr>
          <w:rFonts w:asciiTheme="majorHAnsi" w:eastAsia="Times New Roman" w:hAnsiTheme="majorHAnsi" w:cstheme="majorHAnsi"/>
          <w:sz w:val="24"/>
          <w:szCs w:val="24"/>
          <w:lang w:val="es-CO" w:eastAsia="es-CO"/>
        </w:rPr>
        <w:t>El Líder de Consulta Externa deberá garantizar que la calificación de las historias clínicas asignadas sea realizada y registrada en el Software Institucional a más tardar el día 22 de cada mes, con el fin de permitir la consolidación institucional de los resultados, el análisis de la adherencia a las recomendaciones de las GPC y la formulación oportuna de acciones de mejoramiento.</w:t>
      </w:r>
    </w:p>
    <w:p w14:paraId="317B2A78" w14:textId="77777777" w:rsidR="00D2051E" w:rsidRPr="00D2051E" w:rsidRDefault="00D2051E" w:rsidP="00D2051E">
      <w:pPr>
        <w:spacing w:before="100" w:beforeAutospacing="1" w:after="100" w:afterAutospacing="1" w:line="276" w:lineRule="auto"/>
        <w:jc w:val="both"/>
        <w:rPr>
          <w:rFonts w:asciiTheme="majorHAnsi" w:eastAsia="Times New Roman" w:hAnsiTheme="majorHAnsi" w:cstheme="majorHAnsi"/>
          <w:sz w:val="24"/>
          <w:szCs w:val="24"/>
          <w:lang w:val="es-CO" w:eastAsia="es-CO"/>
        </w:rPr>
      </w:pPr>
      <w:r w:rsidRPr="00D2051E">
        <w:rPr>
          <w:rFonts w:asciiTheme="majorHAnsi" w:eastAsia="Times New Roman" w:hAnsiTheme="majorHAnsi" w:cstheme="majorHAnsi"/>
          <w:sz w:val="24"/>
          <w:szCs w:val="24"/>
          <w:lang w:val="es-CO" w:eastAsia="es-CO"/>
        </w:rPr>
        <w:t>La referente institucional de Guías de Práctica Clínica brindará el acompañamiento técnico requerido durante el proceso, orientará la aplicación de los instrumentos de evaluación y resolverá las inquietudes relacionadas con los criterios de calificación e interpretación de los resultados.</w:t>
      </w:r>
    </w:p>
    <w:p w14:paraId="5D1916D5" w14:textId="77777777" w:rsidR="00D2051E" w:rsidRPr="00D2051E" w:rsidRDefault="00D2051E" w:rsidP="00D2051E">
      <w:pPr>
        <w:spacing w:before="100" w:beforeAutospacing="1" w:after="100" w:afterAutospacing="1" w:line="276" w:lineRule="auto"/>
        <w:jc w:val="both"/>
        <w:rPr>
          <w:rFonts w:asciiTheme="majorHAnsi" w:eastAsia="Times New Roman" w:hAnsiTheme="majorHAnsi" w:cstheme="majorHAnsi"/>
          <w:sz w:val="24"/>
          <w:szCs w:val="24"/>
          <w:lang w:val="es-CO" w:eastAsia="es-CO"/>
        </w:rPr>
      </w:pPr>
      <w:r w:rsidRPr="00D2051E">
        <w:rPr>
          <w:rFonts w:asciiTheme="majorHAnsi" w:eastAsia="Times New Roman" w:hAnsiTheme="majorHAnsi" w:cstheme="majorHAnsi"/>
          <w:sz w:val="24"/>
          <w:szCs w:val="24"/>
          <w:lang w:val="es-CO" w:eastAsia="es-CO"/>
        </w:rPr>
        <w:t>Finalmente, se informa que el número de Guías de Práctica Clínica objeto de evaluación se ampliará progresivamente, de acuerdo con el avance del proceso de implementación institucional y las prioridades definidas por la Subgerencia Científica.</w:t>
      </w:r>
    </w:p>
    <w:p w14:paraId="268DD008" w14:textId="77777777" w:rsidR="00D2051E" w:rsidRPr="00D2051E" w:rsidRDefault="00D2051E" w:rsidP="00D2051E">
      <w:pPr>
        <w:spacing w:before="100" w:beforeAutospacing="1" w:after="100" w:afterAutospacing="1" w:line="276" w:lineRule="auto"/>
        <w:jc w:val="both"/>
        <w:rPr>
          <w:rFonts w:ascii="Times New Roman" w:eastAsia="Times New Roman" w:hAnsi="Times New Roman" w:cs="Times New Roman"/>
          <w:sz w:val="24"/>
          <w:szCs w:val="24"/>
          <w:lang w:val="es-CO" w:eastAsia="es-CO"/>
        </w:rPr>
      </w:pPr>
      <w:r w:rsidRPr="00D2051E">
        <w:rPr>
          <w:rFonts w:asciiTheme="majorHAnsi" w:eastAsia="Times New Roman" w:hAnsiTheme="majorHAnsi" w:cstheme="majorHAnsi"/>
          <w:sz w:val="24"/>
          <w:szCs w:val="24"/>
          <w:lang w:val="es-CO" w:eastAsia="es-CO"/>
        </w:rPr>
        <w:t>Este proceso tiene un carácter institucional y de mejoramiento continuo, orientado a fortalecer la práctica clínica basada en la evidencia, disminuir la variabilidad en la atención y contribuir al mejoramiento de la calidad y la seguridad del paciente</w:t>
      </w:r>
      <w:r w:rsidRPr="00D2051E">
        <w:rPr>
          <w:rFonts w:ascii="Times New Roman" w:eastAsia="Times New Roman" w:hAnsi="Times New Roman" w:cs="Times New Roman"/>
          <w:sz w:val="24"/>
          <w:szCs w:val="24"/>
          <w:lang w:val="es-CO" w:eastAsia="es-CO"/>
        </w:rPr>
        <w:t>.</w:t>
      </w:r>
    </w:p>
    <w:p w14:paraId="4ED46315" w14:textId="645270BF" w:rsidR="00082AF4" w:rsidRDefault="00082AF4" w:rsidP="00082AF4">
      <w:pPr>
        <w:spacing w:before="100" w:beforeAutospacing="1" w:after="100" w:afterAutospacing="1" w:line="276" w:lineRule="auto"/>
        <w:jc w:val="both"/>
        <w:rPr>
          <w:rFonts w:asciiTheme="majorHAnsi" w:eastAsia="Times New Roman" w:hAnsiTheme="majorHAnsi" w:cstheme="majorHAnsi"/>
          <w:sz w:val="24"/>
          <w:szCs w:val="24"/>
          <w:lang w:val="es-CO" w:eastAsia="es-CO"/>
        </w:rPr>
      </w:pPr>
    </w:p>
    <w:p w14:paraId="49BC4540" w14:textId="56B97760" w:rsidR="00D2051E" w:rsidRDefault="00D2051E" w:rsidP="00082AF4">
      <w:pPr>
        <w:spacing w:before="100" w:beforeAutospacing="1" w:after="100" w:afterAutospacing="1" w:line="276" w:lineRule="auto"/>
        <w:jc w:val="both"/>
        <w:rPr>
          <w:rFonts w:asciiTheme="majorHAnsi" w:eastAsia="Times New Roman" w:hAnsiTheme="majorHAnsi" w:cstheme="majorHAnsi"/>
          <w:sz w:val="24"/>
          <w:szCs w:val="24"/>
          <w:lang w:val="es-CO" w:eastAsia="es-CO"/>
        </w:rPr>
      </w:pPr>
    </w:p>
    <w:p w14:paraId="24257086" w14:textId="77777777" w:rsidR="00D2051E" w:rsidRPr="00082AF4" w:rsidRDefault="00D2051E" w:rsidP="00082AF4">
      <w:pPr>
        <w:spacing w:before="100" w:beforeAutospacing="1" w:after="100" w:afterAutospacing="1" w:line="276" w:lineRule="auto"/>
        <w:jc w:val="both"/>
        <w:rPr>
          <w:rFonts w:asciiTheme="majorHAnsi" w:eastAsia="Times New Roman" w:hAnsiTheme="majorHAnsi" w:cstheme="majorHAnsi"/>
          <w:sz w:val="24"/>
          <w:szCs w:val="24"/>
          <w:lang w:val="es-CO" w:eastAsia="es-CO"/>
        </w:rPr>
      </w:pPr>
    </w:p>
    <w:p w14:paraId="1F5C4951" w14:textId="2D8E4189" w:rsidR="00082AF4" w:rsidRPr="00082AF4" w:rsidRDefault="00082AF4" w:rsidP="00082AF4">
      <w:pPr>
        <w:spacing w:before="100" w:beforeAutospacing="1" w:after="100" w:afterAutospacing="1" w:line="240" w:lineRule="auto"/>
        <w:rPr>
          <w:rFonts w:asciiTheme="majorHAnsi" w:eastAsia="Times New Roman" w:hAnsiTheme="majorHAnsi" w:cstheme="majorHAnsi"/>
          <w:sz w:val="24"/>
          <w:szCs w:val="24"/>
          <w:lang w:val="es-CO" w:eastAsia="es-CO"/>
        </w:rPr>
      </w:pPr>
      <w:r w:rsidRPr="00082AF4">
        <w:rPr>
          <w:rFonts w:asciiTheme="majorHAnsi" w:eastAsia="Times New Roman" w:hAnsiTheme="majorHAnsi" w:cstheme="majorHAnsi"/>
          <w:b/>
          <w:bCs/>
          <w:sz w:val="24"/>
          <w:szCs w:val="24"/>
          <w:lang w:val="es-CO" w:eastAsia="es-CO"/>
        </w:rPr>
        <w:t>__________________________________</w:t>
      </w:r>
      <w:r w:rsidRPr="00082AF4">
        <w:rPr>
          <w:rFonts w:asciiTheme="majorHAnsi" w:eastAsia="Times New Roman" w:hAnsiTheme="majorHAnsi" w:cstheme="majorHAnsi"/>
          <w:sz w:val="24"/>
          <w:szCs w:val="24"/>
          <w:lang w:val="es-CO" w:eastAsia="es-CO"/>
        </w:rPr>
        <w:br/>
      </w:r>
      <w:r w:rsidRPr="00082AF4">
        <w:rPr>
          <w:rFonts w:asciiTheme="majorHAnsi" w:eastAsia="Times New Roman" w:hAnsiTheme="majorHAnsi" w:cstheme="majorHAnsi"/>
          <w:b/>
          <w:bCs/>
          <w:sz w:val="24"/>
          <w:szCs w:val="24"/>
          <w:lang w:val="es-CO" w:eastAsia="es-CO"/>
        </w:rPr>
        <w:t>Karin Milena Gam</w:t>
      </w:r>
      <w:r>
        <w:rPr>
          <w:rFonts w:asciiTheme="majorHAnsi" w:eastAsia="Times New Roman" w:hAnsiTheme="majorHAnsi" w:cstheme="majorHAnsi"/>
          <w:b/>
          <w:bCs/>
          <w:sz w:val="24"/>
          <w:szCs w:val="24"/>
          <w:lang w:val="es-CO" w:eastAsia="es-CO"/>
        </w:rPr>
        <w:t>ba F.</w:t>
      </w:r>
      <w:r w:rsidRPr="00082AF4">
        <w:rPr>
          <w:rFonts w:asciiTheme="majorHAnsi" w:eastAsia="Times New Roman" w:hAnsiTheme="majorHAnsi" w:cstheme="majorHAnsi"/>
          <w:sz w:val="24"/>
          <w:szCs w:val="24"/>
          <w:lang w:val="es-CO" w:eastAsia="es-CO"/>
        </w:rPr>
        <w:br/>
      </w:r>
      <w:r w:rsidRPr="00082AF4">
        <w:rPr>
          <w:rFonts w:asciiTheme="majorHAnsi" w:eastAsia="Times New Roman" w:hAnsiTheme="majorHAnsi" w:cstheme="majorHAnsi"/>
          <w:b/>
          <w:bCs/>
          <w:sz w:val="24"/>
          <w:szCs w:val="24"/>
          <w:lang w:val="es-CO" w:eastAsia="es-CO"/>
        </w:rPr>
        <w:t>Subgerente Científica</w:t>
      </w:r>
      <w:r w:rsidRPr="00082AF4">
        <w:rPr>
          <w:rFonts w:asciiTheme="majorHAnsi" w:eastAsia="Times New Roman" w:hAnsiTheme="majorHAnsi" w:cstheme="majorHAnsi"/>
          <w:sz w:val="24"/>
          <w:szCs w:val="24"/>
          <w:lang w:val="es-CO" w:eastAsia="es-CO"/>
        </w:rPr>
        <w:br/>
        <w:t>Hospital Regional de Moniquirá E.S.E.</w:t>
      </w:r>
    </w:p>
    <w:p w14:paraId="011F7EC3" w14:textId="77777777" w:rsidR="008F650C" w:rsidRPr="00AF7AC1" w:rsidRDefault="008F650C" w:rsidP="00AF7AC1">
      <w:pPr>
        <w:spacing w:line="276" w:lineRule="auto"/>
        <w:rPr>
          <w:rFonts w:asciiTheme="majorHAnsi" w:hAnsiTheme="majorHAnsi" w:cstheme="majorHAnsi"/>
          <w:lang w:val="es-CO"/>
        </w:rPr>
      </w:pPr>
    </w:p>
    <w:sectPr w:rsidR="008F650C" w:rsidRPr="00AF7AC1">
      <w:headerReference w:type="even" r:id="rId7"/>
      <w:headerReference w:type="default" r:id="rId8"/>
      <w:footerReference w:type="even" r:id="rId9"/>
      <w:footerReference w:type="default" r:id="rId10"/>
      <w:headerReference w:type="first" r:id="rId11"/>
      <w:footerReference w:type="first" r:id="rId1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D2BDB3" w14:textId="77777777" w:rsidR="00525E07" w:rsidRDefault="00525E07" w:rsidP="008F650C">
      <w:pPr>
        <w:spacing w:after="0" w:line="240" w:lineRule="auto"/>
      </w:pPr>
      <w:r>
        <w:separator/>
      </w:r>
    </w:p>
  </w:endnote>
  <w:endnote w:type="continuationSeparator" w:id="0">
    <w:p w14:paraId="1F91442F" w14:textId="77777777" w:rsidR="00525E07" w:rsidRDefault="00525E07" w:rsidP="008F65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CF190" w14:textId="77777777" w:rsidR="008F650C" w:rsidRDefault="008F650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A167D7" w14:textId="77777777" w:rsidR="008F650C" w:rsidRDefault="008F650C">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4FCB0B" w14:textId="77777777" w:rsidR="008F650C" w:rsidRDefault="008F650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6B043C" w14:textId="77777777" w:rsidR="00525E07" w:rsidRDefault="00525E07" w:rsidP="008F650C">
      <w:pPr>
        <w:spacing w:after="0" w:line="240" w:lineRule="auto"/>
      </w:pPr>
      <w:r>
        <w:separator/>
      </w:r>
    </w:p>
  </w:footnote>
  <w:footnote w:type="continuationSeparator" w:id="0">
    <w:p w14:paraId="50DB1137" w14:textId="77777777" w:rsidR="00525E07" w:rsidRDefault="00525E07" w:rsidP="008F65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3BA5E" w14:textId="6DE089F5" w:rsidR="008F650C" w:rsidRDefault="00525E07">
    <w:pPr>
      <w:pStyle w:val="Encabezado"/>
    </w:pPr>
    <w:r>
      <w:rPr>
        <w:noProof/>
      </w:rPr>
      <w:pict w14:anchorId="5A1961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682376" o:spid="_x0000_s2053" type="#_x0000_t75" style="position:absolute;margin-left:0;margin-top:0;width:616.1pt;height:791.5pt;z-index:-251657216;mso-position-horizontal:center;mso-position-horizontal-relative:margin;mso-position-vertical:center;mso-position-vertical-relative:margin" o:allowincell="f">
          <v:imagedata r:id="rId1" o:title="MEMBRETE HRM   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28759D" w14:textId="1AAE3DD2" w:rsidR="008F650C" w:rsidRDefault="00525E07">
    <w:pPr>
      <w:pStyle w:val="Encabezado"/>
    </w:pPr>
    <w:r>
      <w:rPr>
        <w:noProof/>
      </w:rPr>
      <w:pict w14:anchorId="298656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682377" o:spid="_x0000_s2054" type="#_x0000_t75" style="position:absolute;margin-left:0;margin-top:0;width:616.1pt;height:791.5pt;z-index:-251656192;mso-position-horizontal:center;mso-position-horizontal-relative:margin;mso-position-vertical:center;mso-position-vertical-relative:margin" o:allowincell="f">
          <v:imagedata r:id="rId1" o:title="MEMBRETE HRM   2"/>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7043D6" w14:textId="6853F754" w:rsidR="008F650C" w:rsidRDefault="00525E07">
    <w:pPr>
      <w:pStyle w:val="Encabezado"/>
    </w:pPr>
    <w:r>
      <w:rPr>
        <w:noProof/>
      </w:rPr>
      <w:pict w14:anchorId="784443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682375" o:spid="_x0000_s2052" type="#_x0000_t75" style="position:absolute;margin-left:0;margin-top:0;width:616.1pt;height:791.5pt;z-index:-251658240;mso-position-horizontal:center;mso-position-horizontal-relative:margin;mso-position-vertical:center;mso-position-vertical-relative:margin" o:allowincell="f">
          <v:imagedata r:id="rId1" o:title="MEMBRETE HRM   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BA52E0"/>
    <w:multiLevelType w:val="multilevel"/>
    <w:tmpl w:val="64C69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AE4C71"/>
    <w:multiLevelType w:val="multilevel"/>
    <w:tmpl w:val="64C69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hyphenationZone w:val="425"/>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50C"/>
    <w:rsid w:val="00082AF4"/>
    <w:rsid w:val="00116DE2"/>
    <w:rsid w:val="00161CF0"/>
    <w:rsid w:val="003B7FE8"/>
    <w:rsid w:val="00525E07"/>
    <w:rsid w:val="00833CBE"/>
    <w:rsid w:val="008F650C"/>
    <w:rsid w:val="00A306A2"/>
    <w:rsid w:val="00AF7AC1"/>
    <w:rsid w:val="00B01274"/>
    <w:rsid w:val="00B440DF"/>
    <w:rsid w:val="00D2051E"/>
    <w:rsid w:val="00E312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14:docId w14:val="143F5EED"/>
  <w15:chartTrackingRefBased/>
  <w15:docId w15:val="{E4F6CAB0-1036-4F5C-966E-15A8FCC44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F650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F650C"/>
  </w:style>
  <w:style w:type="paragraph" w:styleId="Piedepgina">
    <w:name w:val="footer"/>
    <w:basedOn w:val="Normal"/>
    <w:link w:val="PiedepginaCar"/>
    <w:uiPriority w:val="99"/>
    <w:unhideWhenUsed/>
    <w:rsid w:val="008F650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F650C"/>
  </w:style>
  <w:style w:type="paragraph" w:customStyle="1" w:styleId="isselectedend">
    <w:name w:val="isselectedend"/>
    <w:basedOn w:val="Normal"/>
    <w:rsid w:val="00AF7AC1"/>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character" w:styleId="Textoennegrita">
    <w:name w:val="Strong"/>
    <w:basedOn w:val="Fuentedeprrafopredeter"/>
    <w:uiPriority w:val="22"/>
    <w:qFormat/>
    <w:rsid w:val="00AF7AC1"/>
    <w:rPr>
      <w:b/>
      <w:bCs/>
    </w:rPr>
  </w:style>
  <w:style w:type="paragraph" w:styleId="NormalWeb">
    <w:name w:val="Normal (Web)"/>
    <w:basedOn w:val="Normal"/>
    <w:uiPriority w:val="99"/>
    <w:semiHidden/>
    <w:unhideWhenUsed/>
    <w:rsid w:val="00AF7AC1"/>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paragraph" w:styleId="Prrafodelista">
    <w:name w:val="List Paragraph"/>
    <w:basedOn w:val="Normal"/>
    <w:uiPriority w:val="34"/>
    <w:qFormat/>
    <w:rsid w:val="00082A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2818535">
      <w:bodyDiv w:val="1"/>
      <w:marLeft w:val="0"/>
      <w:marRight w:val="0"/>
      <w:marTop w:val="0"/>
      <w:marBottom w:val="0"/>
      <w:divBdr>
        <w:top w:val="none" w:sz="0" w:space="0" w:color="auto"/>
        <w:left w:val="none" w:sz="0" w:space="0" w:color="auto"/>
        <w:bottom w:val="none" w:sz="0" w:space="0" w:color="auto"/>
        <w:right w:val="none" w:sz="0" w:space="0" w:color="auto"/>
      </w:divBdr>
    </w:div>
    <w:div w:id="600376274">
      <w:bodyDiv w:val="1"/>
      <w:marLeft w:val="0"/>
      <w:marRight w:val="0"/>
      <w:marTop w:val="0"/>
      <w:marBottom w:val="0"/>
      <w:divBdr>
        <w:top w:val="none" w:sz="0" w:space="0" w:color="auto"/>
        <w:left w:val="none" w:sz="0" w:space="0" w:color="auto"/>
        <w:bottom w:val="none" w:sz="0" w:space="0" w:color="auto"/>
        <w:right w:val="none" w:sz="0" w:space="0" w:color="auto"/>
      </w:divBdr>
    </w:div>
    <w:div w:id="1174763858">
      <w:bodyDiv w:val="1"/>
      <w:marLeft w:val="0"/>
      <w:marRight w:val="0"/>
      <w:marTop w:val="0"/>
      <w:marBottom w:val="0"/>
      <w:divBdr>
        <w:top w:val="none" w:sz="0" w:space="0" w:color="auto"/>
        <w:left w:val="none" w:sz="0" w:space="0" w:color="auto"/>
        <w:bottom w:val="none" w:sz="0" w:space="0" w:color="auto"/>
        <w:right w:val="none" w:sz="0" w:space="0" w:color="auto"/>
      </w:divBdr>
    </w:div>
    <w:div w:id="1890804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537</Words>
  <Characters>2954</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LEIDY TOLEDO ROJAS</cp:lastModifiedBy>
  <cp:revision>2</cp:revision>
  <dcterms:created xsi:type="dcterms:W3CDTF">2026-06-30T21:32:00Z</dcterms:created>
  <dcterms:modified xsi:type="dcterms:W3CDTF">2026-06-30T21:32:00Z</dcterms:modified>
</cp:coreProperties>
</file>