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uadalajara"/>
    <w:p>
      <w:pPr>
        <w:pStyle w:val="Ttulo1"/>
      </w:pPr>
      <w:r>
        <w:t xml:space="preserve">Guadalajara</w:t>
      </w:r>
    </w:p>
    <w:bookmarkEnd w:id="20"/>
    <w:bookmarkStart w:id="28" w:name="estadísticas"/>
    <w:p>
      <w:pPr>
        <w:pStyle w:val="Ttulo1"/>
      </w:pPr>
      <w:r>
        <w:t xml:space="preserve">Estadísticas</w:t>
      </w:r>
    </w:p>
    <w:bookmarkStart w:id="21" w:name="población"/>
    <w:p>
      <w:pPr>
        <w:pStyle w:val="Ttulo2"/>
      </w:pPr>
      <w:r>
        <w:t xml:space="preserve">Población</w:t>
      </w:r>
    </w:p>
    <w:p>
      <w:pPr>
        <w:pStyle w:val="FirstParagraph"/>
      </w:pPr>
      <w:r>
        <w:t xml:space="preserve">Total 1,385,629. (17% de la población total del estado)</w:t>
      </w:r>
    </w:p>
    <w:p>
      <w:pPr>
        <w:pStyle w:val="Textoindependiente"/>
      </w:pPr>
      <w:r>
        <w:t xml:space="preserve">Mujeres: 718,632 (51.9%) Hombres: 666,997 (48.1%)</w:t>
      </w:r>
    </w:p>
    <w:p>
      <w:pPr>
        <w:pStyle w:val="Textoindependiente"/>
      </w:pPr>
      <w:r>
        <w:t xml:space="preserve">Mayores de 18 años: 1,048,048 (18.2% del total del estado)</w:t>
      </w:r>
    </w:p>
    <w:p>
      <w:pPr>
        <w:pStyle w:val="Textoindependiente"/>
      </w:pPr>
      <w:r>
        <w:t xml:space="preserve">Menores de 18 años: 337,581</w:t>
      </w:r>
    </w:p>
    <w:p>
      <w:pPr>
        <w:pStyle w:val="Textoindependiente"/>
      </w:pPr>
      <w:r>
        <w:t xml:space="preserve">Nacidos en otra entidad: 159,510 (11.5% del total del municipio)</w:t>
      </w:r>
    </w:p>
    <w:p>
      <w:pPr>
        <w:pStyle w:val="Textoindependiente"/>
      </w:pPr>
      <w:r>
        <w:t xml:space="preserve">Población de 3 años y más que habla alguna lengua indígena: 4,150 (0.3% del total del municipio)</w:t>
      </w:r>
    </w:p>
    <w:p>
      <w:pPr>
        <w:pStyle w:val="Fuente"/>
      </w:pPr>
      <w:r>
        <w:t xml:space="preserve">Fuente: Censo de población y vivienda 2020, INEGI.</w:t>
      </w:r>
    </w:p>
    <w:bookmarkEnd w:id="21"/>
    <w:bookmarkStart w:id="22" w:name="datos-de-empleo"/>
    <w:p>
      <w:pPr>
        <w:pStyle w:val="Ttulo2"/>
      </w:pPr>
      <w:r>
        <w:t xml:space="preserve">Datos de empleo</w:t>
      </w:r>
    </w:p>
    <w:p>
      <w:pPr>
        <w:pStyle w:val="FirstParagraph"/>
      </w:pPr>
      <w:r>
        <w:t xml:space="preserve">General</w:t>
      </w:r>
    </w:p>
    <w:p>
      <w:pPr>
        <w:numPr>
          <w:ilvl w:val="0"/>
          <w:numId w:val="1001"/>
        </w:numPr>
        <w:pStyle w:val="Compact"/>
      </w:pPr>
      <w:r>
        <w:t xml:space="preserve">Población de 12 años y más: 1,166,391</w:t>
      </w:r>
    </w:p>
    <w:p>
      <w:pPr>
        <w:numPr>
          <w:ilvl w:val="0"/>
          <w:numId w:val="1001"/>
        </w:numPr>
        <w:pStyle w:val="Compact"/>
      </w:pPr>
      <w:r>
        <w:t xml:space="preserve">PEA: 747,410. Tasa de participación 64.1%</w:t>
      </w:r>
    </w:p>
    <w:p>
      <w:pPr>
        <w:numPr>
          <w:ilvl w:val="0"/>
          <w:numId w:val="1001"/>
        </w:numPr>
        <w:pStyle w:val="Compact"/>
      </w:pPr>
      <w:r>
        <w:t xml:space="preserve">PEA ocupada: 736,543. Tasa de desocupación 1.45%</w:t>
      </w:r>
    </w:p>
    <w:p>
      <w:pPr>
        <w:pStyle w:val="FirstParagraph"/>
      </w:pPr>
      <w:r>
        <w:t xml:space="preserve">Mujeres</w:t>
      </w:r>
    </w:p>
    <w:p>
      <w:pPr>
        <w:numPr>
          <w:ilvl w:val="0"/>
          <w:numId w:val="1002"/>
        </w:numPr>
        <w:pStyle w:val="Compact"/>
      </w:pPr>
      <w:r>
        <w:t xml:space="preserve">Población de 12 años y más: 610,406</w:t>
      </w:r>
    </w:p>
    <w:p>
      <w:pPr>
        <w:numPr>
          <w:ilvl w:val="0"/>
          <w:numId w:val="1002"/>
        </w:numPr>
        <w:pStyle w:val="Compact"/>
      </w:pPr>
      <w:r>
        <w:t xml:space="preserve">PEA: 332,311. Tasa de participación 54.4%</w:t>
      </w:r>
    </w:p>
    <w:p>
      <w:pPr>
        <w:numPr>
          <w:ilvl w:val="0"/>
          <w:numId w:val="1002"/>
        </w:numPr>
        <w:pStyle w:val="Compact"/>
      </w:pPr>
      <w:r>
        <w:t xml:space="preserve">PEA ocupada: 328,801. Tasa de desocupación 1.06%</w:t>
      </w:r>
    </w:p>
    <w:p>
      <w:pPr>
        <w:pStyle w:val="FirstParagraph"/>
      </w:pPr>
      <w:r>
        <w:t xml:space="preserve">Hombres</w:t>
      </w:r>
    </w:p>
    <w:p>
      <w:pPr>
        <w:numPr>
          <w:ilvl w:val="0"/>
          <w:numId w:val="1003"/>
        </w:numPr>
        <w:pStyle w:val="Compact"/>
      </w:pPr>
      <w:r>
        <w:t xml:space="preserve">Población de 12 años y más: 555,985</w:t>
      </w:r>
    </w:p>
    <w:p>
      <w:pPr>
        <w:numPr>
          <w:ilvl w:val="0"/>
          <w:numId w:val="1003"/>
        </w:numPr>
        <w:pStyle w:val="Compact"/>
      </w:pPr>
      <w:r>
        <w:t xml:space="preserve">PEA: 415,099. Tasa de participación 74.7%</w:t>
      </w:r>
    </w:p>
    <w:p>
      <w:pPr>
        <w:numPr>
          <w:ilvl w:val="0"/>
          <w:numId w:val="1003"/>
        </w:numPr>
        <w:pStyle w:val="Compact"/>
      </w:pPr>
      <w:r>
        <w:t xml:space="preserve">PEA ocupada: 407,742. Tasa de desocupación 1.77%</w:t>
      </w:r>
    </w:p>
    <w:p>
      <w:pPr>
        <w:pStyle w:val="Fuente"/>
      </w:pPr>
      <w:r>
        <w:t xml:space="preserve">Fuente: Censo de población y vivienda 2020, INEGI.</w:t>
      </w:r>
    </w:p>
    <w:bookmarkEnd w:id="22"/>
    <w:bookmarkStart w:id="23" w:name="trabajadores-asegurados-en-el-imss"/>
    <w:p>
      <w:pPr>
        <w:pStyle w:val="Ttulo2"/>
      </w:pPr>
      <w:r>
        <w:t xml:space="preserve">Trabajadores asegurados en el IMSS</w:t>
      </w:r>
    </w:p>
    <w:p>
      <w:pPr>
        <w:pStyle w:val="FirstParagraph"/>
      </w:pPr>
      <w:r>
        <w:t xml:space="preserve">Trabajadores asegurados en IMSS al cierre de año (diciembre de 2020): 171</w:t>
      </w:r>
    </w:p>
    <w:p>
      <w:pPr>
        <w:pStyle w:val="Textoindependiente"/>
      </w:pPr>
      <w:r>
        <w:t xml:space="preserve">La mayoría tiene un salario ” mayor a 1 y hasta 2 veces el salario mínimo” (95.9%)</w:t>
      </w:r>
    </w:p>
    <w:p>
      <w:pPr>
        <w:pStyle w:val="Textoindependiente"/>
      </w:pPr>
      <w:r>
        <w:t xml:space="preserve">La mayoría trabaja en el sector</w:t>
      </w:r>
      <w:r>
        <w:t xml:space="preserve"> </w:t>
      </w:r>
      <w:r>
        <w:t xml:space="preserve">“</w:t>
      </w:r>
      <w:r>
        <w:t xml:space="preserve">Agricultura, ganadería, silvicultura, pesca y caza</w:t>
      </w:r>
      <w:r>
        <w:t xml:space="preserve">”</w:t>
      </w:r>
      <w:r>
        <w:t xml:space="preserve"> </w:t>
      </w:r>
      <w:r>
        <w:t xml:space="preserve">(74.9%)</w:t>
      </w:r>
    </w:p>
    <w:p>
      <w:pPr>
        <w:pStyle w:val="Fuente"/>
      </w:pPr>
      <w:r>
        <w:t xml:space="preserve">Fuente: IMSS. Rango de salarios mínimos de la CDMX.</w:t>
      </w:r>
    </w:p>
    <w:bookmarkEnd w:id="23"/>
    <w:bookmarkStart w:id="24" w:name="datos-de-ingreso"/>
    <w:p>
      <w:pPr>
        <w:pStyle w:val="Ttulo2"/>
      </w:pPr>
      <w:r>
        <w:t xml:space="preserve">Datos de ingreso</w:t>
      </w:r>
    </w:p>
    <w:p>
      <w:pPr>
        <w:pStyle w:val="FirstParagraph"/>
      </w:pPr>
      <w:r>
        <w:t xml:space="preserve">Ingreso mensual por trabajo de la PEA ocupada, se considera solo a quienes reciben ingresos. Cifras en pesos corrientes de 2020.</w:t>
      </w:r>
    </w:p>
    <w:p>
      <w:pPr>
        <w:numPr>
          <w:ilvl w:val="0"/>
          <w:numId w:val="1004"/>
        </w:numPr>
        <w:pStyle w:val="Compact"/>
      </w:pPr>
      <w:r>
        <w:t xml:space="preserve">Ingreso promedio mensual: 6,781.64. Mediana: 5,160</w:t>
      </w:r>
    </w:p>
    <w:p>
      <w:pPr>
        <w:pStyle w:val="FirstParagraph"/>
      </w:pPr>
      <w:r>
        <w:t xml:space="preserve">Hombres, Ingreso promedio mensual</w:t>
      </w:r>
    </w:p>
    <w:p>
      <w:pPr>
        <w:numPr>
          <w:ilvl w:val="0"/>
          <w:numId w:val="1005"/>
        </w:numPr>
        <w:pStyle w:val="Compact"/>
      </w:pPr>
      <w:r>
        <w:t xml:space="preserve">Ingreso promedio mensual: 6,804.319. Mediana: 5,160</w:t>
      </w:r>
    </w:p>
    <w:p>
      <w:pPr>
        <w:pStyle w:val="FirstParagraph"/>
      </w:pPr>
      <w:r>
        <w:t xml:space="preserve">Mujeres, Ingreso promedio mensual</w:t>
      </w:r>
    </w:p>
    <w:p>
      <w:pPr>
        <w:numPr>
          <w:ilvl w:val="0"/>
          <w:numId w:val="1006"/>
        </w:numPr>
        <w:pStyle w:val="Compact"/>
      </w:pPr>
      <w:r>
        <w:t xml:space="preserve">Ingreso promedio mensual: 6,712.807. Mediana: 5,160</w:t>
      </w:r>
    </w:p>
    <w:p>
      <w:pPr>
        <w:pStyle w:val="FirstParagraph"/>
      </w:pPr>
      <w:r>
        <w:t xml:space="preserve">Nota: Se eliminaron datos atípicos o poco creíbles, se eliminaron los datos de ingreso menores a 1,000 pesos al mes y mayores 999,900.</w:t>
      </w:r>
    </w:p>
    <w:p>
      <w:pPr>
        <w:pStyle w:val="Fuente"/>
      </w:pPr>
      <w:r>
        <w:t xml:space="preserve">Fuente: Censo de población y vivienda 2020, INEGI. Cuestionario ampliado</w:t>
      </w:r>
    </w:p>
    <w:bookmarkEnd w:id="24"/>
    <w:bookmarkStart w:id="25" w:name="pobreza-rezago-social-e-idh"/>
    <w:p>
      <w:pPr>
        <w:pStyle w:val="Ttulo2"/>
      </w:pPr>
      <w:r>
        <w:t xml:space="preserve">Pobreza, rezago social e IDH</w:t>
      </w:r>
    </w:p>
    <w:p>
      <w:pPr>
        <w:pStyle w:val="FirstParagraph"/>
      </w:pPr>
      <w:r>
        <w:t xml:space="preserve">Indicadores de pobreza en 2015</w:t>
      </w:r>
    </w:p>
    <w:p>
      <w:pPr>
        <w:numPr>
          <w:ilvl w:val="0"/>
          <w:numId w:val="1007"/>
        </w:numPr>
        <w:pStyle w:val="Compact"/>
      </w:pPr>
      <w:r>
        <w:t xml:space="preserve">Porcentaje de población en pobreza: 43.5%</w:t>
      </w:r>
    </w:p>
    <w:p>
      <w:pPr>
        <w:numPr>
          <w:ilvl w:val="0"/>
          <w:numId w:val="1007"/>
        </w:numPr>
        <w:pStyle w:val="Compact"/>
      </w:pPr>
      <w:r>
        <w:t xml:space="preserve">Porcentaje de población en pobreza extrema: 2.6%</w:t>
      </w:r>
    </w:p>
    <w:p>
      <w:pPr>
        <w:numPr>
          <w:ilvl w:val="0"/>
          <w:numId w:val="1007"/>
        </w:numPr>
        <w:pStyle w:val="Compact"/>
      </w:pPr>
      <w:r>
        <w:t xml:space="preserve">Porcentaje de población en pobreza moderada: 40.9%</w:t>
      </w:r>
    </w:p>
    <w:p>
      <w:pPr>
        <w:numPr>
          <w:ilvl w:val="0"/>
          <w:numId w:val="1007"/>
        </w:numPr>
        <w:pStyle w:val="Compact"/>
      </w:pPr>
      <w:r>
        <w:t xml:space="preserve">Porcentaje de población vulnerable por carencia social: 40.9%</w:t>
      </w:r>
    </w:p>
    <w:p>
      <w:pPr>
        <w:numPr>
          <w:ilvl w:val="0"/>
          <w:numId w:val="1007"/>
        </w:numPr>
        <w:pStyle w:val="Compact"/>
      </w:pPr>
      <w:r>
        <w:t xml:space="preserve">Porcentaje de población vulnerable por ingreso: 3.7%</w:t>
      </w:r>
    </w:p>
    <w:p>
      <w:pPr>
        <w:numPr>
          <w:ilvl w:val="0"/>
          <w:numId w:val="1007"/>
        </w:numPr>
        <w:pStyle w:val="Compact"/>
      </w:pPr>
      <w:r>
        <w:t xml:space="preserve">Porcentaje de población no pobre y no vulnerable: 11.8%</w:t>
      </w:r>
    </w:p>
    <w:p>
      <w:pPr>
        <w:pStyle w:val="Fuente"/>
      </w:pPr>
      <w:r>
        <w:t xml:space="preserve">Fuente: Pobreza municipal 2015, CONEVAL</w:t>
      </w:r>
    </w:p>
    <w:p>
      <w:pPr>
        <w:pStyle w:val="Textoindependiente"/>
      </w:pPr>
      <w:r>
        <w:t xml:space="preserve">Viviendas con carencia de servicios durante 2020, entre paréntesis se muestra el porcentaje que representa del total de viviendas particulares habitadas:</w:t>
      </w:r>
    </w:p>
    <w:p>
      <w:pPr>
        <w:numPr>
          <w:ilvl w:val="0"/>
          <w:numId w:val="1008"/>
        </w:numPr>
        <w:pStyle w:val="Compact"/>
      </w:pPr>
      <w:r>
        <w:t xml:space="preserve">Viviendas sin acceso al agua: 222 (0.0578%)</w:t>
      </w:r>
    </w:p>
    <w:p>
      <w:pPr>
        <w:numPr>
          <w:ilvl w:val="0"/>
          <w:numId w:val="1008"/>
        </w:numPr>
        <w:pStyle w:val="Compact"/>
      </w:pPr>
      <w:r>
        <w:t xml:space="preserve">Viviendas sin drenaje: 121 (0.0315%)</w:t>
      </w:r>
    </w:p>
    <w:p>
      <w:pPr>
        <w:numPr>
          <w:ilvl w:val="0"/>
          <w:numId w:val="1008"/>
        </w:numPr>
        <w:pStyle w:val="Compact"/>
      </w:pPr>
      <w:r>
        <w:t xml:space="preserve">Viviendas sin electricidad: 189 (0.0492%)</w:t>
      </w:r>
    </w:p>
    <w:p>
      <w:pPr>
        <w:pStyle w:val="Fuente"/>
      </w:pPr>
      <w:r>
        <w:t xml:space="preserve">Fuente: Censo de población y vivienda 2020, INEGI.</w:t>
      </w:r>
    </w:p>
    <w:p>
      <w:pPr>
        <w:numPr>
          <w:ilvl w:val="0"/>
          <w:numId w:val="1009"/>
        </w:numPr>
        <w:pStyle w:val="Compact"/>
      </w:pPr>
      <w:r>
        <w:t xml:space="preserve">El índice de rezago social en 2015: -1.07 (Muy bajo) (Datos de CONEVAL)</w:t>
      </w:r>
    </w:p>
    <w:p>
      <w:pPr>
        <w:numPr>
          <w:ilvl w:val="0"/>
          <w:numId w:val="1009"/>
        </w:numPr>
        <w:pStyle w:val="Compact"/>
      </w:pPr>
      <w:r>
        <w:t xml:space="preserve">IDH en 2015 0.721 (Datos del PNUD)</w:t>
      </w:r>
    </w:p>
    <w:bookmarkEnd w:id="25"/>
    <w:bookmarkStart w:id="26" w:name="educación"/>
    <w:p>
      <w:pPr>
        <w:pStyle w:val="Ttulo2"/>
      </w:pPr>
      <w:r>
        <w:t xml:space="preserve">Educación</w:t>
      </w:r>
    </w:p>
    <w:p>
      <w:pPr>
        <w:pStyle w:val="FirstParagraph"/>
      </w:pPr>
      <w:r>
        <w:t xml:space="preserve">Indicadores selectos sobre la escolaridad del municipio, se muestra el total de personas y entre paréntesis el porcentaje que representa a su respectivo grupo de edad.</w:t>
      </w:r>
    </w:p>
    <w:p>
      <w:pPr>
        <w:numPr>
          <w:ilvl w:val="0"/>
          <w:numId w:val="1010"/>
        </w:numPr>
        <w:pStyle w:val="Compact"/>
      </w:pPr>
      <w:r>
        <w:t xml:space="preserve">Población de 3 a 5 años que no asiste a la escuela: 19,979 (35.4%)</w:t>
      </w:r>
    </w:p>
    <w:p>
      <w:pPr>
        <w:numPr>
          <w:ilvl w:val="0"/>
          <w:numId w:val="1010"/>
        </w:numPr>
        <w:pStyle w:val="Compact"/>
      </w:pPr>
      <w:r>
        <w:t xml:space="preserve">Población de 6 a 11 años que no asiste a la escuela: 5,281 (4.76%)</w:t>
      </w:r>
    </w:p>
    <w:p>
      <w:pPr>
        <w:numPr>
          <w:ilvl w:val="0"/>
          <w:numId w:val="1010"/>
        </w:numPr>
        <w:pStyle w:val="Compact"/>
      </w:pPr>
      <w:r>
        <w:t xml:space="preserve">Población de 12 a 14 años que no asiste a la escuela: 4,450 (7.78%)</w:t>
      </w:r>
    </w:p>
    <w:p>
      <w:pPr>
        <w:numPr>
          <w:ilvl w:val="0"/>
          <w:numId w:val="1010"/>
        </w:numPr>
        <w:pStyle w:val="Compact"/>
      </w:pPr>
      <w:r>
        <w:t xml:space="preserve">Población de 8 a 14 años que no sabe leer y escribir: 2,217 (1.68%)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analfabeta: 16,888 (1.52%)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sin escolaridad: 25,057 (2.26%)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primaria incompleta: 58,148 (5.24%)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primaria completa: 128,488 (11.6%)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secundaria incompleta: 29,411 (2.65%)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secundaria completa: 228,613 (20.6%)</w:t>
      </w:r>
    </w:p>
    <w:p>
      <w:pPr>
        <w:numPr>
          <w:ilvl w:val="0"/>
          <w:numId w:val="1010"/>
        </w:numPr>
        <w:pStyle w:val="Compact"/>
      </w:pPr>
      <w:r>
        <w:t xml:space="preserve">Población de 18 años y más con educación pos básica: 600,737 (57.3%)</w:t>
      </w:r>
    </w:p>
    <w:p>
      <w:pPr>
        <w:numPr>
          <w:ilvl w:val="0"/>
          <w:numId w:val="1010"/>
        </w:numPr>
        <w:pStyle w:val="Compact"/>
      </w:pPr>
      <w:r>
        <w:t xml:space="preserve">Grado promedio de escolaridad: 10.96 grados de escolaridad</w:t>
      </w:r>
    </w:p>
    <w:p>
      <w:pPr>
        <w:pStyle w:val="Fuente"/>
      </w:pPr>
      <w:r>
        <w:t xml:space="preserve">Fuente: Censo de población y vivienda 2020, INEGI.</w:t>
      </w:r>
    </w:p>
    <w:bookmarkEnd w:id="26"/>
    <w:bookmarkStart w:id="27" w:name="salud"/>
    <w:p>
      <w:pPr>
        <w:pStyle w:val="Ttulo2"/>
      </w:pPr>
      <w:r>
        <w:t xml:space="preserve">Salud</w:t>
      </w:r>
    </w:p>
    <w:p>
      <w:pPr>
        <w:pStyle w:val="FirstParagraph"/>
      </w:pPr>
      <w:r>
        <w:t xml:space="preserve">Indicadores selectos de acceso a la salud:</w:t>
      </w:r>
    </w:p>
    <w:p>
      <w:pPr>
        <w:numPr>
          <w:ilvl w:val="0"/>
          <w:numId w:val="1011"/>
        </w:numPr>
        <w:pStyle w:val="Compact"/>
      </w:pPr>
      <w:r>
        <w:t xml:space="preserve">Población sin servicios de salud: 408,824 (29.5%)</w:t>
      </w:r>
    </w:p>
    <w:p>
      <w:pPr>
        <w:numPr>
          <w:ilvl w:val="0"/>
          <w:numId w:val="1011"/>
        </w:numPr>
        <w:pStyle w:val="Compact"/>
      </w:pPr>
      <w:r>
        <w:t xml:space="preserve">Población con servicios de salud: 970,771 (70.1%)</w:t>
      </w:r>
    </w:p>
    <w:p>
      <w:pPr>
        <w:pStyle w:val="FirstParagraph"/>
      </w:pPr>
      <w:r>
        <w:t xml:space="preserve">Personas afiliadas a servicios médicos por institución, entre paréntesis el porcentaje que representa de la población con acceso a servicios de salud:</w:t>
      </w:r>
    </w:p>
    <w:p>
      <w:pPr>
        <w:numPr>
          <w:ilvl w:val="0"/>
          <w:numId w:val="1012"/>
        </w:numPr>
        <w:pStyle w:val="Compact"/>
      </w:pPr>
      <w:r>
        <w:t xml:space="preserve">IMSS: 814,494 (83.9%)</w:t>
      </w:r>
    </w:p>
    <w:p>
      <w:pPr>
        <w:numPr>
          <w:ilvl w:val="0"/>
          <w:numId w:val="1012"/>
        </w:numPr>
        <w:pStyle w:val="Compact"/>
      </w:pPr>
      <w:r>
        <w:t xml:space="preserve">ISSSTE: 38,275 (3.94%)</w:t>
      </w:r>
    </w:p>
    <w:p>
      <w:pPr>
        <w:numPr>
          <w:ilvl w:val="0"/>
          <w:numId w:val="1012"/>
        </w:numPr>
        <w:pStyle w:val="Compact"/>
      </w:pPr>
      <w:r>
        <w:t xml:space="preserve">INSABI: 70,815 (7.29%)</w:t>
      </w:r>
    </w:p>
    <w:p>
      <w:pPr>
        <w:numPr>
          <w:ilvl w:val="0"/>
          <w:numId w:val="1012"/>
        </w:numPr>
        <w:pStyle w:val="Compact"/>
      </w:pPr>
      <w:r>
        <w:t xml:space="preserve">Institución privada: 40,773 (4.2%)</w:t>
      </w:r>
    </w:p>
    <w:p>
      <w:pPr>
        <w:pStyle w:val="Fuente"/>
      </w:pPr>
      <w:r>
        <w:t xml:space="preserve">Fuente: Censo de población y vivienda 2020, INEGI.</w:t>
      </w:r>
    </w:p>
    <w:p>
      <w:pPr>
        <w:pStyle w:val="Textoindependiente"/>
      </w:pPr>
      <w:r>
        <w:t xml:space="preserve">INSABI, se refiere a servicios médicos en la Secretaría de Salud, mediante en el Instituto de Salud para el Bienestar.</w:t>
      </w:r>
    </w:p>
    <w:bookmarkEnd w:id="27"/>
    <w:bookmarkEnd w:id="28"/>
    <w:sectPr w:rsidR="00487139" w:rsidRPr="00487139" w:rsidSect="002A5359">
      <w:headerReference r:id="rId9" w:type="default"/>
      <w:footerReference r:id="rId10" w:type="default"/>
      <w:pgSz w:h="15840" w:w="12240"/>
      <w:pgMar w:bottom="1134" w:footer="709" w:gutter="0" w:header="709" w:left="1418" w:right="1418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884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4670F0" w14:textId="46C92C5A" w:rsidR="00031A24" w:rsidRDefault="00031A2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4E278C2" w14:textId="482B775B" w:rsidR="007F0D75" w:rsidRDefault="00031A24" w:rsidP="00031A24">
    <w:pPr>
      <w:pStyle w:val="Piedepgina"/>
      <w:tabs>
        <w:tab w:val="clear" w:pos="4419"/>
        <w:tab w:val="clear" w:pos="8838"/>
        <w:tab w:val="left" w:pos="8468"/>
      </w:tabs>
    </w:pPr>
    <w:r w:rsidRPr="002A535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8ECC47" wp14:editId="5CCEF749">
              <wp:simplePos x="0" y="0"/>
              <wp:positionH relativeFrom="margin">
                <wp:posOffset>0</wp:posOffset>
              </wp:positionH>
              <wp:positionV relativeFrom="page">
                <wp:posOffset>9541510</wp:posOffset>
              </wp:positionV>
              <wp:extent cx="5976000" cy="36000"/>
              <wp:effectExtent l="0" t="0" r="5715" b="2540"/>
              <wp:wrapNone/>
              <wp:docPr id="3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B746FF" w14:textId="77777777" w:rsidR="00031A24" w:rsidRDefault="00031A24" w:rsidP="00031A24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8ECC47" id="_x0000_s1028" style="position:absolute;left:0;text-align:left;margin-left:0;margin-top:751.3pt;width:470.5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" fillcolor="#85358a" stroked="f" strokeweight="1pt">
              <v:textbox>
                <w:txbxContent>
                  <w:p w14:paraId="2EB746FF" w14:textId="77777777" w:rsidR="00031A24" w:rsidRDefault="00031A24" w:rsidP="00031A24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6BF8" w14:textId="28D08553" w:rsidR="002A5359" w:rsidRDefault="007F0D75">
    <w:pPr>
      <w:pStyle w:val="Encabezado"/>
    </w:pPr>
    <w:r w:rsidRPr="002A5359">
      <w:rPr>
        <w:noProof/>
      </w:rPr>
      <w:drawing>
        <wp:anchor distT="0" distB="0" distL="114300" distR="114300" simplePos="0" relativeHeight="251658240" behindDoc="0" locked="0" layoutInCell="1" allowOverlap="1" wp14:anchorId="46ACFD84" wp14:editId="209182FD">
          <wp:simplePos x="0" y="0"/>
          <wp:positionH relativeFrom="page">
            <wp:posOffset>899795</wp:posOffset>
          </wp:positionH>
          <wp:positionV relativeFrom="topMargin">
            <wp:align>center</wp:align>
          </wp:positionV>
          <wp:extent cx="900000" cy="583200"/>
          <wp:effectExtent l="0" t="0" r="0" b="7620"/>
          <wp:wrapNone/>
          <wp:docPr id="8" name="Imagen 7" descr="Un dibujo de una person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AFA578D6-4655-4FBB-BDA6-752C9CFAFA02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Un dibujo de una persona&#10;&#10;Descripción generada automáticamente">
                    <a:extLst>
                      <a:ext uri="{FF2B5EF4-FFF2-40B4-BE49-F238E27FC236}">
                        <a16:creationId xmlns:a16="http://schemas.microsoft.com/office/drawing/2014/main" id="{AFA578D6-4655-4FBB-BDA6-752C9CFAFA02}"/>
                      </a:ext>
                    </a:extLst>
                  </pic:cNvPr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00" r="16967"/>
                  <a:stretch/>
                </pic:blipFill>
                <pic:spPr>
                  <a:xfrm>
                    <a:off x="0" y="0"/>
                    <a:ext cx="900000" cy="583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535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7A233" wp14:editId="1E2FAB7D">
              <wp:simplePos x="0" y="0"/>
              <wp:positionH relativeFrom="margin">
                <wp:align>right</wp:align>
              </wp:positionH>
              <wp:positionV relativeFrom="topMargin">
                <wp:posOffset>248285</wp:posOffset>
              </wp:positionV>
              <wp:extent cx="5976000" cy="5760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0D8EE5" w14:textId="36F177D2" w:rsidR="002A5359" w:rsidRPr="002A5359" w:rsidRDefault="002A5359" w:rsidP="007F0D75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</w:pPr>
                          <w:r w:rsidRPr="002A5359"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  <w:t>Tonatiuh Bravo Padilla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7A2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9.35pt;margin-top:19.55pt;width:470.55pt;height:45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" filled="f" stroked="f" strokeweight=".5pt">
              <v:textbox>
                <w:txbxContent>
                  <w:p w14:paraId="0D0D8EE5" w14:textId="36F177D2" w:rsidR="002A5359" w:rsidRPr="002A5359" w:rsidRDefault="002A5359" w:rsidP="007F0D75">
                    <w:pPr>
                      <w:spacing w:after="0"/>
                      <w:jc w:val="right"/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</w:pPr>
                    <w:r w:rsidRPr="002A5359"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  <w:t>Tonatiuh Bravo Padilla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A5359" w:rsidRPr="002A535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80763" wp14:editId="0AF19ACB">
              <wp:simplePos x="0" y="0"/>
              <wp:positionH relativeFrom="margin">
                <wp:align>right</wp:align>
              </wp:positionH>
              <wp:positionV relativeFrom="page">
                <wp:posOffset>900430</wp:posOffset>
              </wp:positionV>
              <wp:extent cx="5976000" cy="36000"/>
              <wp:effectExtent l="0" t="0" r="5715" b="2540"/>
              <wp:wrapNone/>
              <wp:docPr id="1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72F9C1" w14:textId="77777777" w:rsidR="002A5359" w:rsidRDefault="002A5359" w:rsidP="002A5359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580763" id="Rectángulo 9" o:spid="_x0000_s1027" style="position:absolute;left:0;text-align:left;margin-left:419.35pt;margin-top:70.9pt;width:470.55pt;height:2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" fillcolor="#85358a" stroked="f" strokeweight="1pt">
              <v:textbox>
                <w:txbxContent>
                  <w:p w14:paraId="1C72F9C1" w14:textId="77777777" w:rsidR="002A5359" w:rsidRDefault="002A5359" w:rsidP="002A5359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7CF8BFC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15175606"/>
    <w:multiLevelType w:val="hybridMultilevel"/>
    <w:tmpl w:val="09602D10"/>
    <w:lvl w:ilvl="0" w:tplc="24AAD05E">
      <w:numFmt w:val="bullet"/>
      <w:lvlText w:val="•"/>
      <w:lvlJc w:val="left"/>
      <w:pPr>
        <w:ind w:hanging="495" w:left="855"/>
      </w:pPr>
      <w:rPr>
        <w:rFonts w:ascii="Calibri" w:cs="Calibri" w:eastAsia="Calibri" w:hAnsi="Calibri" w:hint="default"/>
      </w:rPr>
    </w:lvl>
    <w:lvl w:ilvl="1" w:tentative="1" w:tplc="0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97C5015"/>
    <w:multiLevelType w:val="hybridMultilevel"/>
    <w:tmpl w:val="DAAC8108"/>
    <w:lvl w:ilvl="0" w:tplc="0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F9318B4"/>
    <w:multiLevelType w:val="multilevel"/>
    <w:tmpl w:val="443E867C"/>
    <w:lvl w:ilvl="0">
      <w:start w:val="1"/>
      <w:numFmt w:val="decimal"/>
      <w:pStyle w:val="Tabla-titulos"/>
      <w:suff w:val="space"/>
      <w:lvlText w:val="Tabla %1."/>
      <w:lvlJc w:val="left"/>
      <w:pPr>
        <w:ind w:hanging="360" w:left="2628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4">
    <w:nsid w:val="624116E4"/>
    <w:multiLevelType w:val="multilevel"/>
    <w:tmpl w:val="08B670FA"/>
    <w:lvl w:ilvl="0">
      <w:start w:val="1"/>
      <w:numFmt w:val="decimal"/>
      <w:pStyle w:val="Figura-titulos"/>
      <w:suff w:val="space"/>
      <w:lvlText w:val="Figura %1."/>
      <w:lvlJc w:val="left"/>
      <w:pPr>
        <w:ind w:hanging="360" w:left="720"/>
      </w:pPr>
      <w:rPr>
        <w:rFonts w:hint="default"/>
        <w:specVanish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5">
    <w:nsid w:val="66DC56F8"/>
    <w:multiLevelType w:val="multilevel"/>
    <w:tmpl w:val="C3923C10"/>
    <w:lvl w:ilvl="0">
      <w:start w:val="1"/>
      <w:numFmt w:val="decimal"/>
      <w:pStyle w:val="Ttulo1"/>
      <w:suff w:val="space"/>
      <w:lvlText w:val="%1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hanging="284" w:left="28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hanging="340" w:left="34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hanging="340" w:left="34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6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621E5"/>
    <w:pPr>
      <w:jc w:val="both"/>
    </w:pPr>
    <w:rPr>
      <w:rFonts w:ascii="Arial" w:hAnsi="Arial"/>
      <w:sz w:val="24"/>
    </w:rPr>
  </w:style>
  <w:style w:styleId="Ttulo1" w:type="paragraph">
    <w:name w:val="heading 1"/>
    <w:basedOn w:val="Normal"/>
    <w:next w:val="Normal"/>
    <w:link w:val="Ttulo1Car"/>
    <w:uiPriority w:val="9"/>
    <w:qFormat/>
    <w:rsid w:val="00487816"/>
    <w:pPr>
      <w:keepNext/>
      <w:keepLines/>
      <w:numPr>
        <w:numId w:val="1"/>
      </w:numPr>
      <w:spacing w:after="0" w:before="240"/>
      <w:jc w:val="left"/>
      <w:outlineLvl w:val="0"/>
    </w:pPr>
    <w:rPr>
      <w:rFonts w:cstheme="majorBidi" w:eastAsiaTheme="majorEastAsia"/>
      <w:b/>
      <w:bCs/>
      <w:color w:val="85358A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487816"/>
    <w:pPr>
      <w:keepNext/>
      <w:keepLines/>
      <w:numPr>
        <w:ilvl w:val="1"/>
        <w:numId w:val="1"/>
      </w:numPr>
      <w:spacing w:after="0" w:before="40"/>
      <w:outlineLvl w:val="1"/>
    </w:pPr>
    <w:rPr>
      <w:rFonts w:cstheme="majorBidi" w:eastAsiaTheme="majorEastAsia"/>
      <w:b/>
      <w:bCs/>
      <w:color w:val="85358A"/>
      <w:sz w:val="26"/>
      <w:szCs w:val="26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487816"/>
    <w:pPr>
      <w:keepNext/>
      <w:keepLines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b/>
      <w:bCs/>
      <w:color w:val="85358A"/>
      <w:szCs w:val="24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5621E5"/>
    <w:pPr>
      <w:keepNext/>
      <w:keepLines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5621E5"/>
    <w:pPr>
      <w:keepNext/>
      <w:keepLines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Ttulo6" w:type="paragraph">
    <w:name w:val="heading 6"/>
    <w:basedOn w:val="Normal"/>
    <w:next w:val="Normal"/>
    <w:link w:val="Ttulo6Car"/>
    <w:uiPriority w:val="9"/>
    <w:semiHidden/>
    <w:unhideWhenUsed/>
    <w:qFormat/>
    <w:rsid w:val="005621E5"/>
    <w:pPr>
      <w:keepNext/>
      <w:keepLines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5621E5"/>
    <w:pPr>
      <w:keepNext/>
      <w:keepLines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5621E5"/>
    <w:pPr>
      <w:keepNext/>
      <w:keepLines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5621E5"/>
    <w:pPr>
      <w:keepNext/>
      <w:keepLines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487816"/>
    <w:rPr>
      <w:rFonts w:ascii="Arial" w:cstheme="majorBidi" w:eastAsiaTheme="majorEastAsia" w:hAnsi="Arial"/>
      <w:b/>
      <w:bCs/>
      <w:color w:val="85358A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rsid w:val="00487816"/>
    <w:rPr>
      <w:rFonts w:ascii="Arial" w:cstheme="majorBidi" w:eastAsiaTheme="majorEastAsia" w:hAnsi="Arial"/>
      <w:b/>
      <w:bCs/>
      <w:color w:val="85358A"/>
      <w:sz w:val="26"/>
      <w:szCs w:val="26"/>
    </w:rPr>
  </w:style>
  <w:style w:customStyle="1" w:styleId="Ttulo3Car" w:type="character">
    <w:name w:val="Título 3 Car"/>
    <w:basedOn w:val="Fuentedeprrafopredeter"/>
    <w:link w:val="Ttulo3"/>
    <w:uiPriority w:val="9"/>
    <w:rsid w:val="00487816"/>
    <w:rPr>
      <w:rFonts w:asciiTheme="majorHAnsi" w:cstheme="majorBidi" w:eastAsiaTheme="majorEastAsia" w:hAnsiTheme="majorHAnsi"/>
      <w:b/>
      <w:bCs/>
      <w:color w:val="85358A"/>
      <w:sz w:val="24"/>
      <w:szCs w:val="24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5621E5"/>
    <w:rPr>
      <w:rFonts w:asciiTheme="majorHAnsi" w:cstheme="majorBidi" w:eastAsiaTheme="majorEastAsia" w:hAnsiTheme="majorHAnsi"/>
      <w:i/>
      <w:iCs/>
      <w:color w:themeColor="accent1" w:themeShade="BF" w:val="2F5496"/>
      <w:sz w:val="24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5621E5"/>
    <w:rPr>
      <w:rFonts w:asciiTheme="majorHAnsi" w:cstheme="majorBidi" w:eastAsiaTheme="majorEastAsia" w:hAnsiTheme="majorHAnsi"/>
      <w:color w:themeColor="accent1" w:themeShade="BF" w:val="2F5496"/>
      <w:sz w:val="24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5621E5"/>
    <w:rPr>
      <w:rFonts w:asciiTheme="majorHAnsi" w:cstheme="majorBidi" w:eastAsiaTheme="majorEastAsia" w:hAnsiTheme="majorHAnsi"/>
      <w:color w:themeColor="accent1" w:themeShade="7F" w:val="1F3763"/>
      <w:sz w:val="24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5621E5"/>
    <w:rPr>
      <w:rFonts w:asciiTheme="majorHAnsi" w:cstheme="majorBidi" w:eastAsiaTheme="majorEastAsia" w:hAnsiTheme="majorHAnsi"/>
      <w:i/>
      <w:iCs/>
      <w:color w:themeColor="accent1" w:themeShade="7F" w:val="1F3763"/>
      <w:sz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5621E5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5621E5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Tabla-contenido" w:type="paragraph">
    <w:name w:val="Tabla - contenido"/>
    <w:basedOn w:val="Sinespaciado"/>
    <w:link w:val="Tabla-contenidoCar"/>
    <w:qFormat/>
    <w:rsid w:val="00487816"/>
    <w:pPr>
      <w:jc w:val="center"/>
    </w:pPr>
    <w:rPr>
      <w:rFonts w:ascii="Times New Roman" w:cs="Arial" w:eastAsia="Calibri" w:hAnsi="Times New Roman"/>
      <w:sz w:val="18"/>
    </w:rPr>
  </w:style>
  <w:style w:customStyle="1" w:styleId="Tabla-contenidoCar" w:type="character">
    <w:name w:val="Tabla - contenido Car"/>
    <w:link w:val="Tabla-contenido"/>
    <w:rsid w:val="00487816"/>
    <w:rPr>
      <w:rFonts w:ascii="Times New Roman" w:cs="Arial" w:eastAsia="Calibri" w:hAnsi="Times New Roman"/>
      <w:sz w:val="18"/>
    </w:rPr>
  </w:style>
  <w:style w:customStyle="1" w:styleId="Tabla-titulos" w:type="paragraph">
    <w:name w:val="Tabla - titulos"/>
    <w:basedOn w:val="Normal"/>
    <w:next w:val="Normal"/>
    <w:link w:val="Tabla-titulosCar"/>
    <w:qFormat/>
    <w:rsid w:val="00487816"/>
    <w:pPr>
      <w:numPr>
        <w:numId w:val="2"/>
      </w:numPr>
      <w:spacing w:after="0" w:before="240" w:line="276" w:lineRule="auto"/>
      <w:ind w:left="720"/>
      <w:jc w:val="center"/>
    </w:pPr>
    <w:rPr>
      <w:rFonts w:cs="Times New Roman" w:eastAsia="Calibri"/>
      <w:b/>
      <w:sz w:val="22"/>
    </w:rPr>
  </w:style>
  <w:style w:customStyle="1" w:styleId="Tabla-titulosCar" w:type="character">
    <w:name w:val="Tabla - titulos Car"/>
    <w:link w:val="Tabla-titulos"/>
    <w:rsid w:val="00487816"/>
    <w:rPr>
      <w:rFonts w:ascii="Arial" w:cs="Times New Roman" w:eastAsia="Calibri" w:hAnsi="Arial"/>
      <w:b/>
    </w:rPr>
  </w:style>
  <w:style w:customStyle="1" w:styleId="Fuentes" w:type="paragraph">
    <w:name w:val="Fuentes"/>
    <w:next w:val="Normal"/>
    <w:link w:val="FuentesCar"/>
    <w:qFormat/>
    <w:rsid w:val="00487816"/>
    <w:pPr>
      <w:spacing w:after="240"/>
      <w:jc w:val="both"/>
    </w:pPr>
    <w:rPr>
      <w:rFonts w:ascii="Arial" w:cs="Arial" w:eastAsia="MS Mincho" w:hAnsi="Arial"/>
      <w:i/>
      <w:iCs/>
      <w:sz w:val="18"/>
      <w:szCs w:val="24"/>
      <w:lang w:eastAsia="es-ES" w:val="es-MX"/>
    </w:rPr>
  </w:style>
  <w:style w:customStyle="1" w:styleId="FuentesCar" w:type="character">
    <w:name w:val="Fuentes Car"/>
    <w:link w:val="Fuentes"/>
    <w:rsid w:val="00487816"/>
    <w:rPr>
      <w:rFonts w:ascii="Arial" w:cs="Arial" w:eastAsia="MS Mincho" w:hAnsi="Arial"/>
      <w:i/>
      <w:iCs/>
      <w:sz w:val="18"/>
      <w:szCs w:val="24"/>
      <w:lang w:eastAsia="es-ES" w:val="es-MX"/>
    </w:rPr>
  </w:style>
  <w:style w:styleId="Tabladelista2-nfasis3" w:type="table">
    <w:name w:val="List Table 2 Accent 3"/>
    <w:basedOn w:val="Tablanormal"/>
    <w:uiPriority w:val="47"/>
    <w:rsid w:val="0048781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color="C9C9C9" w:space="0" w:sz="4" w:themeColor="accent3" w:themeTint="99" w:val="single"/>
        <w:bottom w:color="C9C9C9" w:space="0" w:sz="4" w:themeColor="accent3" w:themeTint="99" w:val="single"/>
        <w:insideH w:color="C9C9C9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Sinespaciado" w:type="paragraph">
    <w:name w:val="No Spacing"/>
    <w:uiPriority w:val="1"/>
    <w:qFormat/>
    <w:rsid w:val="00487816"/>
    <w:pPr>
      <w:spacing w:after="0" w:line="240" w:lineRule="auto"/>
      <w:jc w:val="both"/>
    </w:pPr>
    <w:rPr>
      <w:rFonts w:ascii="Arial" w:hAnsi="Arial"/>
      <w:sz w:val="24"/>
    </w:rPr>
  </w:style>
  <w:style w:customStyle="1" w:styleId="Figura-titulos" w:type="paragraph">
    <w:name w:val="Figura - titulos"/>
    <w:basedOn w:val="Normal"/>
    <w:next w:val="Normal"/>
    <w:link w:val="Figura-titulosCar"/>
    <w:qFormat/>
    <w:rsid w:val="00487816"/>
    <w:pPr>
      <w:numPr>
        <w:numId w:val="3"/>
      </w:numPr>
      <w:spacing w:after="0" w:before="240" w:line="276" w:lineRule="auto"/>
      <w:jc w:val="center"/>
    </w:pPr>
    <w:rPr>
      <w:rFonts w:cs="Times New Roman" w:eastAsia="Calibri"/>
      <w:b/>
      <w:sz w:val="22"/>
    </w:rPr>
  </w:style>
  <w:style w:customStyle="1" w:styleId="Figura-titulosCar" w:type="character">
    <w:name w:val="Figura - titulos Car"/>
    <w:link w:val="Figura-titulos"/>
    <w:rsid w:val="00487816"/>
    <w:rPr>
      <w:rFonts w:ascii="Arial" w:cs="Times New Roman" w:eastAsia="Calibri" w:hAnsi="Arial"/>
      <w:b/>
    </w:rPr>
  </w:style>
  <w:style w:styleId="Encabezado" w:type="paragraph">
    <w:name w:val="header"/>
    <w:basedOn w:val="Normal"/>
    <w:link w:val="EncabezadoCar"/>
    <w:uiPriority w:val="99"/>
    <w:unhideWhenUsed/>
    <w:rsid w:val="002A5359"/>
    <w:pPr>
      <w:tabs>
        <w:tab w:pos="4419" w:val="center"/>
        <w:tab w:pos="8838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A5359"/>
    <w:rPr>
      <w:rFonts w:ascii="Arial" w:hAnsi="Arial"/>
      <w:sz w:val="24"/>
    </w:rPr>
  </w:style>
  <w:style w:styleId="Piedepgina" w:type="paragraph">
    <w:name w:val="footer"/>
    <w:basedOn w:val="Normal"/>
    <w:link w:val="PiedepginaCar"/>
    <w:uiPriority w:val="99"/>
    <w:unhideWhenUsed/>
    <w:rsid w:val="002A5359"/>
    <w:pPr>
      <w:tabs>
        <w:tab w:pos="4419" w:val="center"/>
        <w:tab w:pos="8838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A5359"/>
    <w:rPr>
      <w:rFonts w:ascii="Arial" w:hAnsi="Arial"/>
      <w:sz w:val="24"/>
    </w:rPr>
  </w:style>
  <w:style w:styleId="Textodelmarcadordeposicin" w:type="character">
    <w:name w:val="Placeholder Text"/>
    <w:basedOn w:val="Fuentedeprrafopredeter"/>
    <w:uiPriority w:val="99"/>
    <w:semiHidden/>
    <w:rsid w:val="002A5359"/>
    <w:rPr>
      <w:color w:val="808080"/>
    </w:rPr>
  </w:style>
  <w:style w:styleId="Prrafodelista" w:type="paragraph">
    <w:name w:val="List Paragraph"/>
    <w:basedOn w:val="Normal"/>
    <w:uiPriority w:val="34"/>
    <w:qFormat/>
    <w:rsid w:val="003D0DC6"/>
    <w:pPr>
      <w:ind w:left="720"/>
      <w:contextualSpacing/>
    </w:pPr>
  </w:style>
  <w:style w:customStyle="1" w:styleId="Compact" w:type="paragraph">
    <w:name w:val="Compact"/>
    <w:basedOn w:val="Textonotapie"/>
    <w:qFormat/>
    <w:rsid w:val="00071B6C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cs="Calibri" w:eastAsia="Calibri" w:hAnsi="Calibri"/>
      <w:color w:val="000000"/>
      <w:sz w:val="22"/>
      <w:szCs w:val="22"/>
    </w:rPr>
  </w:style>
  <w:style w:styleId="Textonotapie" w:type="paragraph">
    <w:name w:val="footnote text"/>
    <w:basedOn w:val="Normal"/>
    <w:link w:val="TextonotapieCar"/>
    <w:uiPriority w:val="99"/>
    <w:semiHidden/>
    <w:unhideWhenUsed/>
    <w:rsid w:val="00401B00"/>
    <w:pPr>
      <w:spacing w:after="0" w:line="240" w:lineRule="auto"/>
    </w:pPr>
    <w:rPr>
      <w:sz w:val="20"/>
      <w:szCs w:val="20"/>
    </w:rPr>
  </w:style>
  <w:style w:customStyle="1" w:styleId="TextonotapieCar" w:type="character">
    <w:name w:val="Texto nota pie Car"/>
    <w:basedOn w:val="Fuentedeprrafopredeter"/>
    <w:link w:val="Textonotapie"/>
    <w:uiPriority w:val="99"/>
    <w:semiHidden/>
    <w:rsid w:val="00401B00"/>
    <w:rPr>
      <w:rFonts w:ascii="Arial" w:hAnsi="Arial"/>
      <w:sz w:val="20"/>
      <w:szCs w:val="20"/>
    </w:rPr>
  </w:style>
  <w:style w:styleId="Textoindependiente" w:type="paragraph">
    <w:name w:val="Body Text"/>
    <w:basedOn w:val="Normal"/>
    <w:link w:val="TextoindependienteCar"/>
    <w:qFormat/>
    <w:rsid w:val="00487139"/>
    <w:pPr>
      <w:spacing w:after="180" w:before="180" w:line="240" w:lineRule="auto"/>
      <w:jc w:val="left"/>
    </w:pPr>
    <w:rPr>
      <w:rFonts w:asciiTheme="minorHAnsi" w:hAnsiTheme="minorHAnsi"/>
      <w:szCs w:val="24"/>
    </w:rPr>
  </w:style>
  <w:style w:customStyle="1" w:styleId="TextoindependienteCar" w:type="character">
    <w:name w:val="Texto independiente Car"/>
    <w:basedOn w:val="Fuentedeprrafopredeter"/>
    <w:link w:val="Textoindependiente"/>
    <w:rsid w:val="00487139"/>
    <w:rPr>
      <w:sz w:val="24"/>
      <w:szCs w:val="24"/>
    </w:rPr>
  </w:style>
  <w:style w:customStyle="1" w:styleId="Table" w:type="table">
    <w:name w:val="Table"/>
    <w:semiHidden/>
    <w:unhideWhenUsed/>
    <w:qFormat/>
    <w:rsid w:val="00487139"/>
    <w:pPr>
      <w:spacing w:after="200" w:line="240" w:lineRule="auto"/>
    </w:pPr>
    <w:rPr>
      <w:sz w:val="24"/>
      <w:szCs w:val="24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Fuente" w:type="paragraph">
    <w:name w:val="Fuente"/>
    <w:basedOn w:val="Textoindependiente"/>
    <w:qFormat/>
    <w:rsid w:val="0048713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es-MX</dc:language>
  <cp:keywords/>
  <dcterms:created xsi:type="dcterms:W3CDTF">2022-04-05T03:42:49Z</dcterms:created>
  <dcterms:modified xsi:type="dcterms:W3CDTF">2022-04-05T03:42:49Z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