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r>
              <w:t>Switches the foreground overlay and chart popups to a light beige theme with higher-contrast graph, table, button, and text colors.</w:t>
            </w:r>
          </w:p>
        </w:tc>
      </w:tr>
      <w:tr>
        <w:tc>
          <w:tcPr>
            <w:tcW w:type="dxa" w:w="2700"/>
          </w:tcPr>
          <w:p>
            <w:r>
              <w:t>Reset graph at capacity window</w:t>
            </w:r>
          </w:p>
        </w:tc>
        <w:tc>
          <w:tcPr>
            <w:tcW w:type="dxa" w:w="6660"/>
          </w:tcPr>
          <w:p>
            <w:r>
              <w:t>Automatically starts a fresh graph segment when charging crosses up through the low threshold or discharging crosses down through the high threshold. This reset affects the graph display baseline, not the stored capacity history.</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r>
        <w:tc>
          <w:tcPr>
            <w:tcW w:type="dxa" w:w="2700"/>
          </w:tcPr>
          <w:p>
            <w:r>
              <w:t>Capacity window</w:t>
            </w:r>
          </w:p>
        </w:tc>
        <w:tc>
          <w:tcPr>
            <w:tcW w:type="dxa" w:w="6660"/>
          </w:tcPr>
          <w:p>
            <w:r>
              <w:t>Sets the low and high battery percentages used for normal capacity estimates, status dots, graph reference lines, and optional graph reset points. The low threshold must be at least 20%, and the window must be at least 40% wide. For example, a 40% to 80% window uses measured mAh multiplied by 2.5.</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r>
              <w:t>Battery state of charge as reported by Android. Battery percent is green above 30%, amber from 15% to 30%, and red below 15%.</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p>
      <w:pPr/>
      <w:r>
        <w:t>If Light-theme foreground display is enabled on the startup page, the graph popup, SOC curve popup, charge-history table, event details, and calibration summary use a light chart theme. The light theme keeps stronger text, button, axis, and trace colors so the chart remains readable on the beige background.</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3F48A6" w14:paraId="68475694" w14:textId="77777777">
        <w:trPr>
          <w:jc w:val="center"/>
        </w:trPr>
        <w:tc>
          <w:tcPr>
            <w:tcW w:w="2700" w:type="dxa"/>
          </w:tcPr>
          <w:p w14:paraId="716C6AAC" w14:textId="31F2C0E4" w:rsidR="003F48A6" w:rsidRDefault="00477191">
            <w:r>
              <w:t>Chrg</w:t>
            </w:r>
            <w:r w:rsidR="00000000">
              <w:t xml:space="preserve"> Hist</w:t>
            </w:r>
          </w:p>
        </w:tc>
        <w:tc>
          <w:tcPr>
            <w:tcW w:w="6660" w:type="dxa"/>
          </w:tcPr>
          <w:p w14:paraId="67454A7C" w14:textId="77777777" w:rsidR="003F48A6" w:rsidRDefault="00000000">
            <w:r>
              <w:t>Opens the recent capacity-estimate history. Tap a day in the table to view the events behind that daily value.</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65DC03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2B43D48" w14:textId="77777777" w:rsidR="003F48A6" w:rsidRDefault="00000000">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14:paraId="179FBB2A" w14:textId="77777777" w:rsidR="003F48A6" w:rsidRDefault="00000000">
            <w:r>
              <w:t>Opens the learned state-of-charge linearity view.</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light green and negative current is orange,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t>When Batt % is selected, faint reference lines mark the configured low and high capacity-event thresholds.</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user-selected capacity window. The default window is 25% to 75%, but it can be changed on the startup page.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the low threshold and completes when it reaches the high threshold.</w:t>
      </w:r>
    </w:p>
    <w:p w14:paraId="3B145162" w14:textId="77777777" w:rsidR="002457A7" w:rsidRDefault="00000000">
      <w:pPr>
        <w:pStyle w:val="ListBullet"/>
        <w:spacing w:after="80"/>
        <w:ind w:left="540" w:hanging="271"/>
      </w:pPr>
      <w:r>
        <w:t>A discharge event starts near the high threshold and completes when it reaches the low threshold.</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Chrg Hist button to review recent daily values. The list shows the most recent entries first and can be scrolled for older entries.</w:t>
      </w:r>
    </w:p>
    <w:p w14:paraId="77A2F2F9" w14:textId="77777777" w:rsidR="002457A7" w:rsidRDefault="00000000">
      <w:pPr>
        <w:pStyle w:val="ListBullet"/>
        <w:spacing w:after="80"/>
        <w:ind w:left="540" w:hanging="271"/>
      </w:pPr>
      <w:r>
        <w:t>If no calibration result exists yet, the chart falls back to showing the configured-window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When the rated/original capacity is entered, the adjusted value also shows the percent difference from that rating.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configured-window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