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桩承台计算_序号97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承台高：1750mm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1155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5.6×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134.4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2000000.1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2000000.0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【5】SATWE标准组合:1.00*恒-1.00*风y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N=5568.9kN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=70.8kN.m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=-18.8kN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=-151.7kN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1815.41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1860.19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1880.98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1925.76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1872.48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1917.27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5703.2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1901.1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【11】SATWE标准组合:1.00*恒-1.00*风y左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N=5576.6kN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=60.5kN.m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=-144.3kN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1823.97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1868.75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1874.96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1919.75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1877.69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1922.48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5711.0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1903.7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【18】SATWE标准组合:1.00*恒+1.00*活+0.60*风y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N=7247.5kN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=28.9kN.m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=-28.2kN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=-129.5kN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2399.14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2443.92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2430.18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2474.97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2418.20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2462.99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7381.9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2460.6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【30】SATWE标准组合:1.00*恒+1.00*活+0.60*风y左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N=7242.9kN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=35.1kN.m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=-18.7kN.m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=-32.0kN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=-134.0kN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2394.00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2438.79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2433.79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2478.58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2415.08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2459.86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7377.2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2459.1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N=6971.3kN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=-51.0kN.m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=-27.0kN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=-67.1kN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2353.22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2398.00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2316.56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2361.34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2301.56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2346.35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7105.7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2368.6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N=5915.1kN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=139.5kN.m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=-20.1kN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=-205.9kN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1891.13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1935.91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2014.73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2059.51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2009.20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2053.99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6049.4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2016.5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【48】SATWE标准组合:1.00*恒+0.50*活+0.20*风x右+1.00*地x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N=5981.4kN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=57.9kN.m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=83.1kN.m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=32.1kN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=-147.1kN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1960.38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2005.16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1968.97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2013.76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2052.05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2096.83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6115.8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2038.6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【49】SATWE标准组合:1.00*恒+0.50*活-0.20*风x右-1.00*地x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N=6905.0kN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=30.7kN.m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=-103.6kN.m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=-79.3kN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=-126.0kN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2283.97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2328.75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2362.31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2407.10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2258.72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2303.50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7039.3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2346.4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【54】SATWE基本组合:1.20*恒+1.40*活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N=8850.7kN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=55.5kN.m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=-35.2kN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=-172.2kN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134.4×1.20=   161.2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2918.23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2971.97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2973.74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3027.48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2958.77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3012.51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9012.0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3004.0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1066.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524.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1039.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1.21×(2× 1066.+  450.)×tan(1.05/2)×0.9208* 1.433× 1700.×1e-3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4029.30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2973.74×1.00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1.10×(2× 1066.+  524.)×tan(1.05/2)×0.9208* 1.433× 1700.×1e-3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3714.23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2973.74×1.00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0.83*1.75/(0.26+1.0)* 2236.*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6242.41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2973.74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605.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0.83*1.75/(0.36+1.0)* 1735.*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4517.73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2973.74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27.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\s\up0(b0)\s\do2()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0.92*1.75/(0.25+1.0)* 2908.*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8213.76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2973.74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1750mm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=2973.74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2000.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1682.05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3053.82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727.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【55】SATWE基本组合:1.35*恒+0.98*活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N=9124.9kN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=60.7kN.m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=-34.5kN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=-187.5kN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134.4×1.35=   181.4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3006.61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3067.07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3066.57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3127.03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3051.71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3112.17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9306.3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3102.1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1066.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524.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1039.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1.21×(2× 1066.+  450.)×tan(1.05/2)×0.9208* 1.433× 1700.×1e-3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4029.30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3066.57×1.00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1.10×(2× 1066.+  524.)×tan(1.05/2)×0.9208* 1.433× 1700.×1e-3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3714.23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3066.57×1.00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0.83*1.75/(0.26+1.0)* 2236.*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6242.41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3066.57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605.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0.83*1.75/(0.36+1.0)* 1735.*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4517.73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3066.57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27.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\s\up0(b0)\s\do2()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0.92*1.75/(0.25+1.0)* 2908.*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8213.76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3066.57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1750mm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=3066.57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2000.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1734.56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3149.16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727.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2443.92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1860.19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2398.00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1935.91 (45)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2478.58 (30)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1919.75 (11)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2407.10 (49)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2013.76 (48)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2462.99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1917.27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2346.35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2053.99 (45)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桩平均反力最大值2460.63 (非震)(Load 18)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桩平均反力最小值1901.07 (非震)(Load 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桩平均反力最大值2368.56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桩平均反力最小值2016.47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1:  抗力4029.30 kN  冲切力3066.57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：1700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2:  抗力3714.23 kN  冲切力3066.57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：1700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1左边： 抗力6242.41kN  剪力3066.57kN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：1700mm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2上边： 抗力4517.73kN  剪力3066.57kN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：1700mm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承台高1750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弯矩1734.56 kN.m  计算钢筋面积3149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配筋宽度727 mm 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每边受弯筋 AS=  3149.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钢筋级别:     HRB400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桩承台计算_序号97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