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EDD7F" w14:textId="77777777" w:rsidR="00FD50E0" w:rsidRDefault="000A1F3C">
      <w:pPr>
        <w:pStyle w:val="1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论文工作需要厘清的问题——逐条回答-更新（根据FJSP）</w:t>
      </w:r>
    </w:p>
    <w:p w14:paraId="2DA40AFC" w14:textId="77777777" w:rsidR="00FD50E0" w:rsidRDefault="00FD50E0">
      <w:pPr>
        <w:rPr>
          <w:rFonts w:ascii="微软雅黑" w:eastAsia="微软雅黑" w:hAnsi="微软雅黑" w:hint="eastAsia"/>
          <w:sz w:val="22"/>
          <w:szCs w:val="22"/>
        </w:rPr>
      </w:pPr>
    </w:p>
    <w:p w14:paraId="094621B8" w14:textId="77777777" w:rsidR="00FD50E0" w:rsidRDefault="000A1F3C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问题一:物料是否分类?类别对运输顺序、处理顺序是否有要求?加工工序如何规定?</w:t>
      </w:r>
    </w:p>
    <w:p w14:paraId="62883DD9" w14:textId="77777777" w:rsidR="00FD50E0" w:rsidRDefault="000A1F3C">
      <w:pPr>
        <w:pStyle w:val="a3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物料不做类别划分。运输和加工的基本单位是工件（物料）,每个工件自带一份预先确定的工艺路线,规定了它要依次经过哪些加工环节。同类物料（工件）无非是共享了相同的工艺路线和加工时间参数。</w:t>
      </w:r>
    </w:p>
    <w:p w14:paraId="1FB99BE7" w14:textId="77777777" w:rsidR="00FD50E0" w:rsidRDefault="000A1F3C">
      <w:pPr>
        <w:pStyle w:val="a3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不存在"某类物料必须先运输、先加工"这样的规则。整个系统中的先后关系只有两个来源:第一,同一工件内部的工序必须按工艺路线依次进行,且每道工序开始加工之前,工件必须已经被运送到承担该工序的机械臂处——这是硬约束;第二,同一台机械臂上不同工件的加工先后、同一台AGV上不同运输任务的执行先后,由调度优化来决定——这是决策结果,不是预设要求。</w:t>
      </w:r>
    </w:p>
    <w:p w14:paraId="2E9EC03D" w14:textId="77777777" w:rsidR="00FD50E0" w:rsidRDefault="000A1F3C">
      <w:pPr>
        <w:pStyle w:val="a3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不同工件的加工工序可以不同:工序的数量、内容、先后顺序都允许因工件而异。这是一般的作业车间结构;"所有工件走相同路线"只是它的一个特例。</w:t>
      </w:r>
    </w:p>
    <w:p w14:paraId="1B41BD67" w14:textId="77777777" w:rsidR="00FD50E0" w:rsidRDefault="000A1F3C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问题二:AGV 与物料是否有特定绑定关系?不同 AGV 的运输能力是否有差异?</w:t>
      </w:r>
    </w:p>
    <w:p w14:paraId="440BD8B5" w14:textId="77777777" w:rsidR="00FD50E0" w:rsidRDefault="000A1F3C">
      <w:pPr>
        <w:pStyle w:val="a3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没有绑定关系。任何一台 AGV 都可以运输任何工件的任何一次搬运任务,即具备完全的车辆柔性。</w:t>
      </w:r>
    </w:p>
    <w:p w14:paraId="15856BC0" w14:textId="77777777" w:rsidR="00FD50E0" w:rsidRDefault="000A1F3C">
      <w:pPr>
        <w:pStyle w:val="a3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不同 AGV 之间没有能力差异:行驶速度相同,空载与载货同速;每次只能装载一个工件;取货放货的交接时间忽略不计。AGV 之间的唯一区别是运行过程中所处的位置不同——这个位置差异由调度和路径规划决策产生,而不是车辆本身的属性差异。</w:t>
      </w:r>
    </w:p>
    <w:p w14:paraId="3A836FFB" w14:textId="77777777" w:rsidR="00FD50E0" w:rsidRDefault="000A1F3C">
      <w:pPr>
        <w:pStyle w:val="a3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AGV 的数量是有限的,不假设"车辆足够多、随叫随到";正因为车辆有限,"哪次搬运派哪台车、每台车按什么顺序执行任务"才成为需要优化的决策。</w:t>
      </w:r>
    </w:p>
    <w:p w14:paraId="5F6BB1BF" w14:textId="77777777" w:rsidR="00FD50E0" w:rsidRDefault="000A1F3C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问题三:RA 与物料是否有特定绑定关系?完成时间是否固定?不同 RA 的处理能力是否有差异?</w:t>
      </w:r>
    </w:p>
    <w:p w14:paraId="418EC3C1" w14:textId="77777777" w:rsidR="00FD50E0" w:rsidRDefault="000A1F3C">
      <w:pPr>
        <w:pStyle w:val="a3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没有绑定关系。采用完全柔性的设定:任何一台机械臂都能加工任何工件的任何工序,不存在"某种物料只能在特定机械臂上处理"或"某台机械臂只认某类物料"的限制。</w:t>
      </w:r>
    </w:p>
    <w:p w14:paraId="1CF89503" w14:textId="77777777" w:rsidR="00FD50E0" w:rsidRDefault="000A1F3C">
      <w:pPr>
        <w:pStyle w:val="a3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不同机械臂的处理能力：是一种"谁都能干、但快慢不同"的结构。有差异,而且这个差异是"资源异构"的核心内涵之一:同一道工序交给不同的机械臂,所需的加工时间可以不同。但是，每个机械臂都能够加工不同的工序。</w:t>
      </w:r>
    </w:p>
    <w:p w14:paraId="07795C06" w14:textId="77777777" w:rsidR="00FD50E0" w:rsidRDefault="000A1F3C">
      <w:pPr>
        <w:pStyle w:val="a3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除了时间差异之外,机械臂之间不再设其他差别——不考虑精度、质量、故障率的差异。</w:t>
      </w:r>
    </w:p>
    <w:p w14:paraId="55CC140A" w14:textId="77777777" w:rsidR="00FD50E0" w:rsidRDefault="000A1F3C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lastRenderedPageBreak/>
        <w:t>问题四:AGV 从哪里开始运输?是否存在机械臂之间的半成品转运?任务结束后返回起点还是原地待命?</w:t>
      </w:r>
    </w:p>
    <w:p w14:paraId="1129B6E0" w14:textId="77777777" w:rsidR="00FD50E0" w:rsidRDefault="000A1F3C">
      <w:pPr>
        <w:pStyle w:val="a3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运输任务分为两类。第一类是首道工序运输:所有工件初始时都存放在装卸站（仓库）,每个工件的第一道工序开始前,需要有 AGV 把它从装卸站运到承担首道工序的机械臂处。第二类是工序间转运,这是运输任务的主体:工件在一台机械臂上完成某道工序后,由 AGV 把这个半成品运到承担下一道工序的机械臂处。成品是否运回装卸站（仓库）作为可选项处理,基础模型中可以计入也可以不计入。</w:t>
      </w:r>
    </w:p>
    <w:p w14:paraId="085970CB" w14:textId="77777777" w:rsidR="00FD50E0" w:rsidRDefault="000A1F3C">
      <w:pPr>
        <w:pStyle w:val="a3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任务结束后 AGV 既不强制返回起点,也不是简单的"停在原地不动"。静态调度方案已经为每台 AGV 排好了任务链,卸货之后这台车的去向由计划决定:如果它还有下一个任务,就空载驶向下一个任务的取货地点,可以提前到达、在取货点停靠等待工件完工(即"预先就位"),也可以在当前位置停留一段时间再出发,出发时机由路径规划层结合路网占用情况确定;如果暂时没有后续任务,就在当前节点的停靠位待命。停靠位的设置保证空闲车辆不会阻塞其他车辆的通行。</w:t>
      </w:r>
    </w:p>
    <w:p w14:paraId="6A48BECF" w14:textId="77777777" w:rsidR="00FD50E0" w:rsidRDefault="000A1F3C">
      <w:pPr>
        <w:pStyle w:val="a3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AGV空载段的起点取决于上一个任务在哪里结束,这使得"每台车按什么顺序执行任务"和"每段路怎么走"紧密耦合,是这个问题区别于普通柔性作业车间调度的关键特征。</w:t>
      </w:r>
    </w:p>
    <w:p w14:paraId="03CD0BB5" w14:textId="77777777" w:rsidR="00FD50E0" w:rsidRDefault="000A1F3C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问题五:作业是静态确定的还是动态到达的?</w:t>
      </w:r>
    </w:p>
    <w:p w14:paraId="6C46BF92" w14:textId="77777777" w:rsidR="00FD50E0" w:rsidRDefault="000A1F3C">
      <w:pPr>
        <w:pStyle w:val="a3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第一阶段按静态问题研究:一批工件在调度开始时刻全部已知、全部就位于装卸站（仓库）,调度系统一次性计算出完整的方案,包括每道工序派给哪台机械臂、每台机械臂上的加工顺序、每次搬运派给哪台 AGV、每台 AGV 的任务顺序和行驶路径。——这是文献中绝大多数同类研究的设定,便于建立严格的优化模型、使用公开基准算例检验算法。（研究点1的内容）</w:t>
      </w:r>
    </w:p>
    <w:p w14:paraId="7130334E" w14:textId="77777777" w:rsidR="00FD50E0" w:rsidRDefault="000A1F3C">
      <w:pPr>
        <w:pStyle w:val="a3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第二阶段的扩展研究,采用事件触发的滚动重调度机制处理:静态调度内核负责每次触发后的快速重新优化,工业互联网平台负责实时感知触发事件。这种"静态内核加动态机制"的分层设计,与工业互联网"实时感知、动态响应"的能力定位是自然衔接的。（第二阶段的考虑主要是研究点4的内容）</w:t>
      </w:r>
    </w:p>
    <w:p w14:paraId="612D2D7F" w14:textId="77777777" w:rsidR="00FD50E0" w:rsidRDefault="000A1F3C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问题六:AGV 和 RA 作为智能体,其自主性、社会性、反应性如何体现?</w:t>
      </w:r>
    </w:p>
    <w:p w14:paraId="1D374C36" w14:textId="77777777" w:rsidR="00FD50E0" w:rsidRDefault="000A1F3C">
      <w:pPr>
        <w:pStyle w:val="a3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首先要说明:前面几个问题所描述的问题场景本身,与设备是否具有智能性无关——无论最终用集中式算法求解还是用多智能体系统求解,工件、机械臂、AGV 之间的物理关系和约束关系都是同一套。</w:t>
      </w:r>
    </w:p>
    <w:p w14:paraId="6D737CBF" w14:textId="77777777" w:rsidR="00FD50E0" w:rsidRDefault="000A1F3C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问题七:各主体之间是否直接通信、协商?协作由谁决定?</w:t>
      </w:r>
    </w:p>
    <w:p w14:paraId="02859005" w14:textId="77777777" w:rsidR="00FD50E0" w:rsidRDefault="000A1F3C">
      <w:pPr>
        <w:pStyle w:val="a3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由调度中心统一决定。哪个工件的哪道工序派给哪台机械臂、哪次搬运派给哪台 AGV,由调度中心在计划阶段算出;</w:t>
      </w:r>
    </w:p>
    <w:p w14:paraId="58F2C131" w14:textId="77777777" w:rsidR="00FD50E0" w:rsidRDefault="000A1F3C">
      <w:pPr>
        <w:pStyle w:val="a3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选择集中式的理由是:静态问题下集中式可以追求全局最优,与文献主流方法可比,而且课题的创新重心放在"调度与路径规划的闭环集成"上,不宜同时在求解架构上引入过多变量。</w:t>
      </w:r>
    </w:p>
    <w:p w14:paraId="73EA698A" w14:textId="77777777" w:rsidR="00FD50E0" w:rsidRDefault="000A1F3C">
      <w:pPr>
        <w:pStyle w:val="a3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lastRenderedPageBreak/>
        <w:t>AGV 与 AGV 之间、AGV 与机械臂之间的协商机制,可考虑作为分布式扩展方向:在动态性强、规模大的场景中,让运输任务通过智能体之间的拍卖竞价来分配、让路权冲突通过局部协商来化解,可以降低对中心节点的依赖、提高响应速度和可扩展性。但应当明确,这属于求解架构的演进,不改变问题本身的定义。</w:t>
      </w:r>
    </w:p>
    <w:p w14:paraId="02DFC3D4" w14:textId="77777777" w:rsidR="00FD50E0" w:rsidRDefault="000A1F3C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问题八:路径规划如何确定?执行中如何避障?避障与调度的关系?</w:t>
      </w:r>
    </w:p>
    <w:p w14:paraId="5D6856AF" w14:textId="77777777" w:rsidR="00FD50E0" w:rsidRDefault="000A1F3C">
      <w:pPr>
        <w:pStyle w:val="a3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本课题的一个核心立场是:路径规划不是执行层的临时行为,而是调度计划的组成部分。车间布局被抽象为一张路网(节点是机械臂取放点、装卸站和路口,边是可通行路段),调度层给出任务安排后,路径规划层为每一次运输(包括空载段)在路网上规划具体路径和通行时刻,采用时间窗预约的方式:每台 AGV 出发前就在路网的各节点、各路段上预约了自己的占用时段,新规划的路径只能使用尚未被占用的时段。这样,车与车之间的冲突在计划阶段就已经全部消解,计划本身就是无冲突的。</w:t>
      </w:r>
    </w:p>
    <w:p w14:paraId="06D25A09" w14:textId="77777777" w:rsidR="00FD50E0" w:rsidRDefault="000A1F3C">
      <w:pPr>
        <w:pStyle w:val="a3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因此,在计划顺利执行的前提下,不存在"执行中临时避障"这个环节——每台车按计划的路径和时刻行驶,自然不会相遇冲突。</w:t>
      </w:r>
    </w:p>
    <w:p w14:paraId="4ED4C94F" w14:textId="77777777" w:rsidR="00FD50E0" w:rsidRDefault="000A1F3C">
      <w:pPr>
        <w:pStyle w:val="a3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规划时是否考虑调度任务安排?不仅考虑,而且是双向的:调度安排决定了有哪些运输需求,路径规划的结果(每次运输实际耗时多少、是否需要绕行等待)又反馈回来影响调度评价,甚至促使调度层修改工序的机械臂指派。</w:t>
      </w:r>
    </w:p>
    <w:p w14:paraId="543BC4D3" w14:textId="77777777" w:rsidR="00FD50E0" w:rsidRDefault="000A1F3C">
      <w:pPr>
        <w:pStyle w:val="a3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这个"调度与路径互相影响、闭环迭代"的机制,正是本课题相对于"先排产、再路由、互不反馈"的两阶段方法的主要创新点。</w:t>
      </w:r>
    </w:p>
    <w:p w14:paraId="13FAA66D" w14:textId="77777777" w:rsidR="00FD50E0" w:rsidRDefault="000A1F3C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问题九:AGV 之间是否存在任务、路径的冲突或竞争?如何解决?</w:t>
      </w:r>
    </w:p>
    <w:p w14:paraId="11CF59EC" w14:textId="77777777" w:rsidR="00FD50E0" w:rsidRDefault="000A1F3C">
      <w:pPr>
        <w:pStyle w:val="a3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存在,但两类冲突在不同层面、以不同方式解决,而且都在计划阶段解决。</w:t>
      </w:r>
    </w:p>
    <w:p w14:paraId="5AB980A9" w14:textId="77777777" w:rsidR="00FD50E0" w:rsidRDefault="000A1F3C">
      <w:pPr>
        <w:pStyle w:val="a3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任务层面的竞争,指多台车都可以承接同一个运输任务。这种竞争在优化模型内部就被消解了:模型约束保证每个运输任务恰好指派给一台车,每台车同一时刻只执行一个任务,每台车的任务串行排列。所以在最终的调度方案里不存在"两台车抢一个任务"的情况——竞争只表现为优化过程中的方案取舍,不会出现在执行现场。</w:t>
      </w:r>
    </w:p>
    <w:p w14:paraId="1989A9A4" w14:textId="77777777" w:rsidR="00FD50E0" w:rsidRDefault="000A1F3C">
      <w:pPr>
        <w:pStyle w:val="a3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路径层面的冲突,指两台车在同一时段争用同一路段或同一路口,包括对向相遇、路口交汇、同向追赶等情形。解决方式是前述的时间窗预约机制:路网中每个节点、每条路段同一时刻只允许一台车占用,后规划的车只能使用空闲时段。</w:t>
      </w:r>
    </w:p>
    <w:p w14:paraId="513DAEAD" w14:textId="77777777" w:rsidR="00FD50E0" w:rsidRDefault="000A1F3C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问题十:AGV 或 RA 故障时,调度系统能否自愈?重调度能否实现自愈?</w:t>
      </w:r>
    </w:p>
    <w:p w14:paraId="4663023B" w14:textId="77777777" w:rsidR="00FD50E0" w:rsidRDefault="000A1F3C">
      <w:pPr>
        <w:pStyle w:val="a3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能自愈,重调度正是自愈的核心手段,而完全柔性和车辆同质这两条假设是自愈能力的结构保障。</w:t>
      </w:r>
    </w:p>
    <w:p w14:paraId="5F59740A" w14:textId="77777777" w:rsidR="00FD50E0" w:rsidRDefault="000A1F3C">
      <w:pPr>
        <w:pStyle w:val="a3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从资源结构上看,本课题的设定天然具备自愈条件:机械臂是完全柔性的,任何一台故障后,它未完成的工序都可以改派给其余任何一台机械臂(代价是加工时间可能变长);AGV 是同质的,任何一台故障后,它未</w:t>
      </w:r>
      <w:r>
        <w:rPr>
          <w:rFonts w:ascii="微软雅黑" w:eastAsia="微软雅黑" w:hAnsi="微软雅黑" w:hint="eastAsia"/>
          <w:sz w:val="22"/>
          <w:szCs w:val="22"/>
        </w:rPr>
        <w:lastRenderedPageBreak/>
        <w:t>执行的运输任务可以由其余任何一台车承接。也就是说,只要不是资源全部失效,系统总能找到可行的替代方案,不存在"某任务只有某台设备能做、设备一坏全线停摆"的结构性单点。</w:t>
      </w:r>
    </w:p>
    <w:p w14:paraId="05C57EF9" w14:textId="77777777" w:rsidR="00FD50E0" w:rsidRDefault="000A1F3C">
      <w:pPr>
        <w:pStyle w:val="a3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自愈的实现机制就是"感知加重调度"的闭环:工业互联网平台实时监测设备状态,检测到故障后,把故障资源从可用集合中移除,然后触发重调度,将受影响的工序和运输任务重新指派、重新排序、重新规划路径,已完成的部分保持不变。故障恢复后,资源重新加入可用集合,参与后续调度。</w:t>
      </w:r>
    </w:p>
    <w:p w14:paraId="04A4DA0C" w14:textId="77777777" w:rsidR="00FD50E0" w:rsidRDefault="000A1F3C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问题十一:动态重调度是局部快速调整还是全局重新计算?</w:t>
      </w:r>
    </w:p>
    <w:p w14:paraId="434DABB1" w14:textId="77777777" w:rsidR="00FD50E0" w:rsidRDefault="000A1F3C">
      <w:pPr>
        <w:pStyle w:val="a3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推荐采用分级策略,两者结合、按扰动严重程度选择,而不是二选一。</w:t>
      </w:r>
    </w:p>
    <w:p w14:paraId="15C07B06" w14:textId="77777777" w:rsidR="00FD50E0" w:rsidRDefault="000A1F3C">
      <w:pPr>
        <w:pStyle w:val="a3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局部调整适用于影响范围有限的扰动:例如一台 AGV 短时受阻、单台机械臂短暂停机。做法是只针对受影响的任务子集做修复——把受阻车辆的后续任务顺延或转派给邻近空闲车辆、把停机机械臂队列中的工序改派给替代机械臂——其余部分维持原计划。局部调整速度快、方案变动小,有利于现场执行的稳定性,缺点是修复后的方案可能偏离全局最优。</w:t>
      </w:r>
    </w:p>
    <w:p w14:paraId="143C40DE" w14:textId="77777777" w:rsidR="00FD50E0" w:rsidRDefault="000A1F3C">
      <w:pPr>
        <w:pStyle w:val="a3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全局重算适用于影响面大的扰动:例如多台设备同时故障、大批紧急订单插入,或者局部修复后方案质量明显劣化。做法是以当前时刻的系统状态(各工件的完成进度、各设备的位置和忙闲)为新的初始条件,对剩余的全部任务重新求解。全局重算质量高,但计算时间长,且新方案与原方案差异大,会带来执行层的调整成本。</w:t>
      </w:r>
    </w:p>
    <w:p w14:paraId="66913427" w14:textId="77777777" w:rsidR="00FD50E0" w:rsidRDefault="000A1F3C">
      <w:pPr>
        <w:pStyle w:val="a3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两者之间的切换可以用简单的分级规则实现:先估计扰动造成的完工时间恶化程度,低于某个阈值时仅做局部修复,超过阈值或局部修复失败时升级为全局重算。重调度时除了追求效率指标,还应兼顾方案稳定性——即新方案与原方案的偏差尽量小。</w:t>
      </w:r>
    </w:p>
    <w:p w14:paraId="6B8A9C26" w14:textId="77777777" w:rsidR="00FD50E0" w:rsidRDefault="000A1F3C">
      <w:pPr>
        <w:pStyle w:val="2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问题十二:内外扰动对调度的影响?</w:t>
      </w:r>
    </w:p>
    <w:p w14:paraId="3F9551CB" w14:textId="77777777" w:rsidR="00FD50E0" w:rsidRDefault="000A1F3C">
      <w:pPr>
        <w:pStyle w:val="a3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扰动可以按来源分为两类。内部扰动源于资源异常:设备被劫持、RA故障、AGV 故障或电量异常。外部扰动源于网络攻击诸如数据注入等。</w:t>
      </w:r>
    </w:p>
    <w:p w14:paraId="5E6FB97A" w14:textId="77777777" w:rsidR="00FD50E0" w:rsidRDefault="000A1F3C">
      <w:pPr>
        <w:rPr>
          <w:rFonts w:hint="eastAsia"/>
          <w:highlight w:val="lightGray"/>
        </w:rPr>
      </w:pPr>
      <w:r>
        <w:rPr>
          <w:rFonts w:ascii="微软雅黑" w:eastAsia="微软雅黑" w:hAnsi="微软雅黑" w:hint="eastAsia"/>
          <w:sz w:val="22"/>
          <w:szCs w:val="22"/>
        </w:rPr>
        <w:t>两类扰动影响调度的机理不同。内部扰动改变的是资源的可用性和参数的准确性——原计划的时间安排建立在"设备可用、时间准确、路网畅通"的假设上,扰动使这些假设局部失效——需要进行重调度;外部扰动因为不是物理上导致智能体受影响，所以只需要甄别假消息并过滤或忽略（防御）即可。</w:t>
      </w:r>
    </w:p>
    <w:p w14:paraId="7F2B6A43" w14:textId="77777777" w:rsidR="00FD50E0" w:rsidRDefault="00FD50E0">
      <w:pPr>
        <w:rPr>
          <w:rFonts w:hint="eastAsia"/>
          <w:highlight w:val="lightGray"/>
        </w:rPr>
      </w:pPr>
    </w:p>
    <w:p w14:paraId="3F989097" w14:textId="77777777" w:rsidR="00FD50E0" w:rsidRDefault="00FD50E0">
      <w:pPr>
        <w:rPr>
          <w:rFonts w:hint="eastAsia"/>
          <w:highlight w:val="lightGray"/>
        </w:rPr>
      </w:pPr>
    </w:p>
    <w:p w14:paraId="5AEFBB42" w14:textId="77777777" w:rsidR="00FD50E0" w:rsidRDefault="00FD50E0">
      <w:pPr>
        <w:rPr>
          <w:rFonts w:hint="eastAsia"/>
          <w:highlight w:val="lightGray"/>
        </w:rPr>
      </w:pPr>
    </w:p>
    <w:p w14:paraId="39EFBAFA" w14:textId="77777777" w:rsidR="00FD50E0" w:rsidRDefault="000A1F3C">
      <w:pPr>
        <w:rPr>
          <w:rFonts w:hint="eastAsia"/>
          <w:highlight w:val="lightGray"/>
        </w:rPr>
      </w:pPr>
      <w:r>
        <w:rPr>
          <w:rFonts w:hint="eastAsia"/>
          <w:highlight w:val="lightGray"/>
        </w:rPr>
        <w:t>如何抓创新点：</w:t>
      </w:r>
    </w:p>
    <w:p w14:paraId="3CE4E728" w14:textId="77777777" w:rsidR="00FD50E0" w:rsidRDefault="000A1F3C">
      <w:pPr>
        <w:numPr>
          <w:ilvl w:val="0"/>
          <w:numId w:val="3"/>
        </w:numPr>
        <w:shd w:val="clear" w:color="auto" w:fill="FCFCFC"/>
        <w:spacing w:before="100" w:beforeAutospacing="1" w:after="100" w:afterAutospacing="1"/>
        <w:rPr>
          <w:rFonts w:ascii="Segoe UI" w:hAnsi="Segoe UI" w:cs="Segoe UI"/>
          <w:color w:val="141414"/>
          <w:sz w:val="20"/>
          <w:szCs w:val="20"/>
        </w:rPr>
      </w:pPr>
      <w:r>
        <w:rPr>
          <w:rStyle w:val="font-semibold"/>
          <w:rFonts w:ascii="Segoe UI" w:hAnsi="Segoe UI" w:cs="Segoe UI" w:hint="eastAsia"/>
          <w:b/>
          <w:bCs/>
          <w:color w:val="141414"/>
          <w:sz w:val="20"/>
          <w:szCs w:val="20"/>
        </w:rPr>
        <w:t>组合缺口</w:t>
      </w:r>
      <w:r>
        <w:rPr>
          <w:rFonts w:ascii="Segoe UI" w:hAnsi="Segoe UI" w:cs="Segoe UI"/>
          <w:color w:val="141414"/>
          <w:sz w:val="20"/>
          <w:szCs w:val="20"/>
        </w:rPr>
        <w:t>:</w:t>
      </w:r>
      <w:r>
        <w:rPr>
          <w:rFonts w:ascii="Segoe UI" w:hAnsi="Segoe UI" w:cs="Segoe UI" w:hint="eastAsia"/>
          <w:color w:val="141414"/>
          <w:sz w:val="20"/>
          <w:szCs w:val="20"/>
        </w:rPr>
        <w:t>现有集成路径规划的工作里</w:t>
      </w:r>
      <w:r>
        <w:rPr>
          <w:rFonts w:ascii="Segoe UI" w:hAnsi="Segoe UI" w:cs="Segoe UI"/>
          <w:color w:val="141414"/>
          <w:sz w:val="20"/>
          <w:szCs w:val="20"/>
        </w:rPr>
        <w:t>,</w:t>
      </w:r>
      <w:r>
        <w:rPr>
          <w:rFonts w:ascii="Segoe UI" w:hAnsi="Segoe UI" w:cs="Segoe UI" w:hint="eastAsia"/>
          <w:color w:val="141414"/>
          <w:sz w:val="20"/>
          <w:szCs w:val="20"/>
        </w:rPr>
        <w:t>机器基本是普通</w:t>
      </w:r>
      <w:r>
        <w:rPr>
          <w:rFonts w:ascii="Segoe UI" w:hAnsi="Segoe UI" w:cs="Segoe UI"/>
          <w:color w:val="141414"/>
          <w:sz w:val="20"/>
          <w:szCs w:val="20"/>
        </w:rPr>
        <w:t xml:space="preserve"> FJSP </w:t>
      </w:r>
      <w:r>
        <w:rPr>
          <w:rFonts w:ascii="Segoe UI" w:hAnsi="Segoe UI" w:cs="Segoe UI" w:hint="eastAsia"/>
          <w:color w:val="141414"/>
          <w:sz w:val="20"/>
          <w:szCs w:val="20"/>
        </w:rPr>
        <w:t>设定</w:t>
      </w:r>
      <w:r>
        <w:rPr>
          <w:rFonts w:ascii="Segoe UI" w:hAnsi="Segoe UI" w:cs="Segoe UI"/>
          <w:color w:val="141414"/>
          <w:sz w:val="20"/>
          <w:szCs w:val="20"/>
        </w:rPr>
        <w:t>;</w:t>
      </w:r>
    </w:p>
    <w:p w14:paraId="3484B74F" w14:textId="77777777" w:rsidR="00FD50E0" w:rsidRDefault="000A1F3C">
      <w:pPr>
        <w:shd w:val="clear" w:color="auto" w:fill="FCFCFC"/>
        <w:spacing w:before="100" w:beforeAutospacing="1" w:after="100" w:afterAutospacing="1"/>
        <w:ind w:left="720"/>
        <w:rPr>
          <w:rFonts w:ascii="Segoe UI" w:hAnsi="Segoe UI" w:cs="Segoe UI"/>
          <w:color w:val="141414"/>
          <w:sz w:val="20"/>
          <w:szCs w:val="20"/>
        </w:rPr>
      </w:pPr>
      <w:r>
        <w:rPr>
          <w:rFonts w:ascii="Segoe UI" w:hAnsi="Segoe UI" w:cs="Segoe UI"/>
          <w:color w:val="141414"/>
          <w:sz w:val="20"/>
          <w:szCs w:val="20"/>
        </w:rPr>
        <w:t>"</w:t>
      </w:r>
      <w:r>
        <w:rPr>
          <w:rFonts w:ascii="Segoe UI" w:hAnsi="Segoe UI" w:cs="Segoe UI" w:hint="eastAsia"/>
          <w:color w:val="141414"/>
          <w:sz w:val="20"/>
          <w:szCs w:val="20"/>
        </w:rPr>
        <w:t>全柔性</w:t>
      </w:r>
      <w:r>
        <w:rPr>
          <w:rFonts w:ascii="Segoe UI" w:hAnsi="Segoe UI" w:cs="Segoe UI"/>
          <w:color w:val="141414"/>
          <w:sz w:val="20"/>
          <w:szCs w:val="20"/>
        </w:rPr>
        <w:t xml:space="preserve"> + </w:t>
      </w:r>
      <w:r>
        <w:rPr>
          <w:rFonts w:ascii="Segoe UI" w:hAnsi="Segoe UI" w:cs="Segoe UI" w:hint="eastAsia"/>
          <w:color w:val="141414"/>
          <w:sz w:val="20"/>
          <w:szCs w:val="20"/>
        </w:rPr>
        <w:t>时间异构</w:t>
      </w:r>
      <w:r>
        <w:rPr>
          <w:rFonts w:ascii="Segoe UI" w:hAnsi="Segoe UI" w:cs="Segoe UI"/>
          <w:color w:val="141414"/>
          <w:sz w:val="20"/>
          <w:szCs w:val="20"/>
        </w:rPr>
        <w:t xml:space="preserve"> RA(</w:t>
      </w:r>
      <w:r>
        <w:rPr>
          <w:rFonts w:ascii="Segoe UI" w:hAnsi="Segoe UI" w:cs="Segoe UI" w:hint="eastAsia"/>
          <w:color w:val="141414"/>
          <w:sz w:val="20"/>
          <w:szCs w:val="20"/>
        </w:rPr>
        <w:t>不相关并行机结构</w:t>
      </w:r>
      <w:r>
        <w:rPr>
          <w:rFonts w:ascii="Segoe UI" w:hAnsi="Segoe UI" w:cs="Segoe UI"/>
          <w:color w:val="141414"/>
          <w:sz w:val="20"/>
          <w:szCs w:val="20"/>
        </w:rPr>
        <w:t xml:space="preserve">)+ </w:t>
      </w:r>
      <w:r>
        <w:rPr>
          <w:rFonts w:ascii="Segoe UI" w:hAnsi="Segoe UI" w:cs="Segoe UI" w:hint="eastAsia"/>
          <w:color w:val="141414"/>
          <w:sz w:val="20"/>
          <w:szCs w:val="20"/>
        </w:rPr>
        <w:t>有限</w:t>
      </w:r>
      <w:r>
        <w:rPr>
          <w:rFonts w:ascii="Segoe UI" w:hAnsi="Segoe UI" w:cs="Segoe UI"/>
          <w:color w:val="141414"/>
          <w:sz w:val="20"/>
          <w:szCs w:val="20"/>
        </w:rPr>
        <w:t xml:space="preserve"> AGV + </w:t>
      </w:r>
      <w:r>
        <w:rPr>
          <w:rFonts w:ascii="Segoe UI" w:hAnsi="Segoe UI" w:cs="Segoe UI" w:hint="eastAsia"/>
          <w:color w:val="141414"/>
          <w:sz w:val="20"/>
          <w:szCs w:val="20"/>
        </w:rPr>
        <w:t>无冲突路径规划</w:t>
      </w:r>
      <w:r>
        <w:rPr>
          <w:rFonts w:ascii="Segoe UI" w:hAnsi="Segoe UI" w:cs="Segoe UI"/>
          <w:color w:val="141414"/>
          <w:sz w:val="20"/>
          <w:szCs w:val="20"/>
        </w:rPr>
        <w:t>"</w:t>
      </w:r>
      <w:r>
        <w:rPr>
          <w:rFonts w:ascii="Segoe UI" w:hAnsi="Segoe UI" w:cs="Segoe UI" w:hint="eastAsia"/>
          <w:color w:val="141414"/>
          <w:sz w:val="20"/>
          <w:szCs w:val="20"/>
        </w:rPr>
        <w:t>这个</w:t>
      </w:r>
      <w:r>
        <w:rPr>
          <w:rStyle w:val="font-semibold"/>
          <w:rFonts w:ascii="Segoe UI" w:hAnsi="Segoe UI" w:cs="Segoe UI" w:hint="eastAsia"/>
          <w:b/>
          <w:bCs/>
          <w:color w:val="141414"/>
          <w:sz w:val="20"/>
          <w:szCs w:val="20"/>
        </w:rPr>
        <w:t>组合</w:t>
      </w:r>
      <w:r>
        <w:rPr>
          <w:rFonts w:ascii="Segoe UI" w:hAnsi="Segoe UI" w:cs="Segoe UI" w:hint="eastAsia"/>
          <w:color w:val="141414"/>
          <w:sz w:val="20"/>
          <w:szCs w:val="20"/>
        </w:rPr>
        <w:t>目前没有人做。综述</w:t>
      </w:r>
      <w:r>
        <w:rPr>
          <w:rFonts w:ascii="Segoe UI" w:hAnsi="Segoe UI" w:cs="Segoe UI"/>
          <w:color w:val="141414"/>
          <w:sz w:val="20"/>
          <w:szCs w:val="20"/>
        </w:rPr>
        <w:t>(Xin 2025)</w:t>
      </w:r>
      <w:r>
        <w:rPr>
          <w:rFonts w:ascii="Segoe UI" w:hAnsi="Segoe UI" w:cs="Segoe UI" w:hint="eastAsia"/>
          <w:color w:val="141414"/>
          <w:sz w:val="20"/>
          <w:szCs w:val="20"/>
        </w:rPr>
        <w:t>明确声明不覆盖路径规划</w:t>
      </w:r>
      <w:r>
        <w:rPr>
          <w:rFonts w:ascii="Segoe UI" w:hAnsi="Segoe UI" w:cs="Segoe UI"/>
          <w:color w:val="141414"/>
          <w:sz w:val="20"/>
          <w:szCs w:val="20"/>
        </w:rPr>
        <w:t>——</w:t>
      </w:r>
      <w:r>
        <w:rPr>
          <w:rFonts w:ascii="Segoe UI" w:hAnsi="Segoe UI" w:cs="Segoe UI" w:hint="eastAsia"/>
          <w:color w:val="141414"/>
          <w:sz w:val="20"/>
          <w:szCs w:val="20"/>
        </w:rPr>
        <w:t>这是可以直接引用的</w:t>
      </w:r>
      <w:r>
        <w:rPr>
          <w:rFonts w:ascii="Segoe UI" w:hAnsi="Segoe UI" w:cs="Segoe UI"/>
          <w:color w:val="141414"/>
          <w:sz w:val="20"/>
          <w:szCs w:val="20"/>
        </w:rPr>
        <w:t xml:space="preserve"> gap </w:t>
      </w:r>
      <w:r>
        <w:rPr>
          <w:rFonts w:ascii="Segoe UI" w:hAnsi="Segoe UI" w:cs="Segoe UI" w:hint="eastAsia"/>
          <w:color w:val="141414"/>
          <w:sz w:val="20"/>
          <w:szCs w:val="20"/>
        </w:rPr>
        <w:t>陈述。</w:t>
      </w:r>
    </w:p>
    <w:p w14:paraId="62791A01" w14:textId="77777777" w:rsidR="00FD50E0" w:rsidRDefault="000A1F3C">
      <w:pPr>
        <w:numPr>
          <w:ilvl w:val="0"/>
          <w:numId w:val="3"/>
        </w:numPr>
        <w:shd w:val="clear" w:color="auto" w:fill="FCFCFC"/>
        <w:spacing w:before="100" w:beforeAutospacing="1" w:after="100" w:afterAutospacing="1"/>
        <w:rPr>
          <w:rFonts w:ascii="Segoe UI" w:hAnsi="Segoe UI" w:cs="Segoe UI"/>
          <w:sz w:val="20"/>
          <w:szCs w:val="20"/>
        </w:rPr>
      </w:pPr>
      <w:r>
        <w:rPr>
          <w:rStyle w:val="font-semibold"/>
          <w:rFonts w:ascii="Segoe UI" w:hAnsi="Segoe UI" w:cs="Segoe UI" w:hint="eastAsia"/>
          <w:b/>
          <w:bCs/>
          <w:color w:val="141414"/>
          <w:sz w:val="20"/>
          <w:szCs w:val="20"/>
        </w:rPr>
        <w:lastRenderedPageBreak/>
        <w:t>耦合缺口</w:t>
      </w:r>
      <w:r>
        <w:rPr>
          <w:rFonts w:ascii="Segoe UI" w:hAnsi="Segoe UI" w:cs="Segoe UI"/>
          <w:color w:val="141414"/>
          <w:sz w:val="20"/>
          <w:szCs w:val="20"/>
        </w:rPr>
        <w:t>:</w:t>
      </w:r>
      <w:r>
        <w:rPr>
          <w:rFonts w:ascii="Segoe UI" w:hAnsi="Segoe UI" w:cs="Segoe UI" w:hint="eastAsia"/>
          <w:color w:val="141414"/>
          <w:sz w:val="20"/>
          <w:szCs w:val="20"/>
        </w:rPr>
        <w:t>现有工作几乎都是</w:t>
      </w:r>
      <w:r>
        <w:rPr>
          <w:rStyle w:val="font-semibold"/>
          <w:rFonts w:ascii="Segoe UI" w:hAnsi="Segoe UI" w:cs="Segoe UI" w:hint="eastAsia"/>
          <w:b/>
          <w:bCs/>
          <w:color w:val="141414"/>
          <w:sz w:val="20"/>
          <w:szCs w:val="20"/>
        </w:rPr>
        <w:t>两阶段松耦合</w:t>
      </w:r>
      <w:r>
        <w:rPr>
          <w:rFonts w:ascii="Segoe UI" w:hAnsi="Segoe UI" w:cs="Segoe UI"/>
          <w:color w:val="141414"/>
          <w:sz w:val="20"/>
          <w:szCs w:val="20"/>
        </w:rPr>
        <w:t>——</w:t>
      </w:r>
      <w:r>
        <w:rPr>
          <w:rFonts w:ascii="Segoe UI" w:hAnsi="Segoe UI" w:cs="Segoe UI" w:hint="eastAsia"/>
          <w:color w:val="141414"/>
          <w:sz w:val="20"/>
          <w:szCs w:val="20"/>
        </w:rPr>
        <w:t>先排产、再按排产结果做时间窗路由</w:t>
      </w:r>
      <w:r>
        <w:rPr>
          <w:rFonts w:ascii="Segoe UI" w:hAnsi="Segoe UI" w:cs="Segoe UI"/>
          <w:color w:val="141414"/>
          <w:sz w:val="20"/>
          <w:szCs w:val="20"/>
        </w:rPr>
        <w:t>,</w:t>
      </w:r>
      <w:r>
        <w:rPr>
          <w:rFonts w:ascii="Segoe UI" w:hAnsi="Segoe UI" w:cs="Segoe UI" w:hint="eastAsia"/>
          <w:color w:val="141414"/>
          <w:sz w:val="20"/>
          <w:szCs w:val="20"/>
        </w:rPr>
        <w:t>路由结果不反馈修改排产。真正的</w:t>
      </w:r>
      <w:r>
        <w:rPr>
          <w:rFonts w:ascii="Segoe UI" w:hAnsi="Segoe UI" w:cs="Segoe UI"/>
          <w:color w:val="141414"/>
          <w:sz w:val="20"/>
          <w:szCs w:val="20"/>
        </w:rPr>
        <w:t>"</w:t>
      </w:r>
      <w:r>
        <w:rPr>
          <w:rFonts w:ascii="Segoe UI" w:hAnsi="Segoe UI" w:cs="Segoe UI" w:hint="eastAsia"/>
          <w:color w:val="141414"/>
          <w:sz w:val="20"/>
          <w:szCs w:val="20"/>
        </w:rPr>
        <w:t>集成</w:t>
      </w:r>
      <w:r>
        <w:rPr>
          <w:rFonts w:ascii="Segoe UI" w:hAnsi="Segoe UI" w:cs="Segoe UI"/>
          <w:color w:val="141414"/>
          <w:sz w:val="20"/>
          <w:szCs w:val="20"/>
        </w:rPr>
        <w:t>"</w:t>
      </w:r>
      <w:r>
        <w:rPr>
          <w:rFonts w:ascii="Segoe UI" w:hAnsi="Segoe UI" w:cs="Segoe UI" w:hint="eastAsia"/>
          <w:color w:val="141414"/>
          <w:sz w:val="20"/>
          <w:szCs w:val="20"/>
        </w:rPr>
        <w:t>应该是</w:t>
      </w:r>
      <w:r>
        <w:rPr>
          <w:rFonts w:ascii="Segoe UI" w:hAnsi="Segoe UI" w:cs="Segoe UI"/>
          <w:color w:val="141414"/>
          <w:sz w:val="20"/>
          <w:szCs w:val="20"/>
        </w:rPr>
        <w:t>:</w:t>
      </w:r>
      <w:r>
        <w:rPr>
          <w:rFonts w:ascii="Segoe UI" w:hAnsi="Segoe UI" w:cs="Segoe UI" w:hint="eastAsia"/>
          <w:color w:val="141414"/>
          <w:sz w:val="20"/>
          <w:szCs w:val="20"/>
        </w:rPr>
        <w:t>路径冲突</w:t>
      </w:r>
      <w:r>
        <w:rPr>
          <w:rFonts w:ascii="Segoe UI" w:hAnsi="Segoe UI" w:cs="Segoe UI"/>
          <w:color w:val="141414"/>
          <w:sz w:val="20"/>
          <w:szCs w:val="20"/>
        </w:rPr>
        <w:t>/</w:t>
      </w:r>
      <w:r>
        <w:rPr>
          <w:rFonts w:ascii="Segoe UI" w:hAnsi="Segoe UI" w:cs="Segoe UI" w:hint="eastAsia"/>
          <w:color w:val="141414"/>
          <w:sz w:val="20"/>
          <w:szCs w:val="20"/>
        </w:rPr>
        <w:t>拥堵导致的运输时间变化会</w:t>
      </w:r>
      <w:r>
        <w:rPr>
          <w:rFonts w:ascii="Segoe UI" w:hAnsi="Segoe UI" w:cs="Segoe UI" w:hint="eastAsia"/>
          <w:sz w:val="20"/>
          <w:szCs w:val="20"/>
        </w:rPr>
        <w:t>反向影响工序</w:t>
      </w:r>
      <w:r>
        <w:rPr>
          <w:rFonts w:ascii="Segoe UI" w:hAnsi="Segoe UI" w:cs="Segoe UI"/>
          <w:sz w:val="20"/>
          <w:szCs w:val="20"/>
        </w:rPr>
        <w:t xml:space="preserve">—RA </w:t>
      </w:r>
      <w:r>
        <w:rPr>
          <w:rFonts w:ascii="Segoe UI" w:hAnsi="Segoe UI" w:cs="Segoe UI" w:hint="eastAsia"/>
          <w:sz w:val="20"/>
          <w:szCs w:val="20"/>
        </w:rPr>
        <w:t>指派和排序决策</w:t>
      </w:r>
      <w:r>
        <w:rPr>
          <w:rFonts w:ascii="Segoe UI" w:hAnsi="Segoe UI" w:cs="Segoe UI"/>
          <w:sz w:val="20"/>
          <w:szCs w:val="20"/>
        </w:rPr>
        <w:t>(</w:t>
      </w:r>
      <w:r>
        <w:rPr>
          <w:rFonts w:ascii="Segoe UI" w:hAnsi="Segoe UI" w:cs="Segoe UI" w:hint="eastAsia"/>
          <w:sz w:val="20"/>
          <w:szCs w:val="20"/>
        </w:rPr>
        <w:t>比如因为通往</w:t>
      </w:r>
      <w:r>
        <w:rPr>
          <w:rFonts w:ascii="Segoe UI" w:hAnsi="Segoe UI" w:cs="Segoe UI"/>
          <w:sz w:val="20"/>
          <w:szCs w:val="20"/>
        </w:rPr>
        <w:t xml:space="preserve"> RA1 </w:t>
      </w:r>
      <w:r>
        <w:rPr>
          <w:rFonts w:ascii="Segoe UI" w:hAnsi="Segoe UI" w:cs="Segoe UI" w:hint="eastAsia"/>
          <w:sz w:val="20"/>
          <w:szCs w:val="20"/>
        </w:rPr>
        <w:t>的路段拥堵</w:t>
      </w:r>
      <w:r>
        <w:rPr>
          <w:rFonts w:ascii="Segoe UI" w:hAnsi="Segoe UI" w:cs="Segoe UI"/>
          <w:sz w:val="20"/>
          <w:szCs w:val="20"/>
        </w:rPr>
        <w:t>,</w:t>
      </w:r>
      <w:r>
        <w:rPr>
          <w:rFonts w:ascii="Segoe UI" w:hAnsi="Segoe UI" w:cs="Segoe UI" w:hint="eastAsia"/>
          <w:sz w:val="20"/>
          <w:szCs w:val="20"/>
        </w:rPr>
        <w:t>改派到路网上更通畅的</w:t>
      </w:r>
      <w:r>
        <w:rPr>
          <w:rFonts w:ascii="Segoe UI" w:hAnsi="Segoe UI" w:cs="Segoe UI"/>
          <w:sz w:val="20"/>
          <w:szCs w:val="20"/>
        </w:rPr>
        <w:t xml:space="preserve"> RA3,</w:t>
      </w:r>
      <w:r>
        <w:rPr>
          <w:rFonts w:ascii="Segoe UI" w:hAnsi="Segoe UI" w:cs="Segoe UI" w:hint="eastAsia"/>
          <w:sz w:val="20"/>
          <w:szCs w:val="20"/>
        </w:rPr>
        <w:t>哪怕加工时间稍长</w:t>
      </w:r>
      <w:r>
        <w:rPr>
          <w:rFonts w:ascii="Segoe UI" w:hAnsi="Segoe UI" w:cs="Segoe UI"/>
          <w:sz w:val="20"/>
          <w:szCs w:val="20"/>
        </w:rPr>
        <w:t>)</w:t>
      </w:r>
      <w:r>
        <w:rPr>
          <w:rFonts w:ascii="Segoe UI" w:hAnsi="Segoe UI" w:cs="Segoe UI" w:hint="eastAsia"/>
          <w:sz w:val="20"/>
          <w:szCs w:val="20"/>
        </w:rPr>
        <w:t>。这种闭环</w:t>
      </w:r>
      <w:r>
        <w:rPr>
          <w:rFonts w:ascii="Segoe UI" w:hAnsi="Segoe UI" w:cs="Segoe UI"/>
          <w:sz w:val="20"/>
          <w:szCs w:val="20"/>
        </w:rPr>
        <w:t>/</w:t>
      </w:r>
      <w:r>
        <w:rPr>
          <w:rFonts w:ascii="Segoe UI" w:hAnsi="Segoe UI" w:cs="Segoe UI" w:hint="eastAsia"/>
          <w:sz w:val="20"/>
          <w:szCs w:val="20"/>
        </w:rPr>
        <w:t>同步优化是方法层面有辩护力的创新点</w:t>
      </w:r>
      <w:r>
        <w:rPr>
          <w:rFonts w:ascii="Segoe UI" w:hAnsi="Segoe UI" w:cs="Segoe UI"/>
          <w:sz w:val="20"/>
          <w:szCs w:val="20"/>
        </w:rPr>
        <w:t>,</w:t>
      </w:r>
      <w:r>
        <w:rPr>
          <w:rFonts w:ascii="Segoe UI" w:hAnsi="Segoe UI" w:cs="Segoe UI" w:hint="eastAsia"/>
          <w:sz w:val="20"/>
          <w:szCs w:val="20"/>
        </w:rPr>
        <w:t>而</w:t>
      </w:r>
      <w:r>
        <w:rPr>
          <w:rFonts w:ascii="Segoe UI" w:hAnsi="Segoe UI" w:cs="Segoe UI"/>
          <w:sz w:val="20"/>
          <w:szCs w:val="20"/>
        </w:rPr>
        <w:t xml:space="preserve">"RA </w:t>
      </w:r>
      <w:r>
        <w:rPr>
          <w:rFonts w:ascii="Segoe UI" w:hAnsi="Segoe UI" w:cs="Segoe UI" w:hint="eastAsia"/>
          <w:sz w:val="20"/>
          <w:szCs w:val="20"/>
        </w:rPr>
        <w:t>时间异构</w:t>
      </w:r>
      <w:r>
        <w:rPr>
          <w:rFonts w:ascii="Segoe UI" w:hAnsi="Segoe UI" w:cs="Segoe UI"/>
          <w:sz w:val="20"/>
          <w:szCs w:val="20"/>
        </w:rPr>
        <w:t>"</w:t>
      </w:r>
      <w:r>
        <w:rPr>
          <w:rFonts w:ascii="Segoe UI" w:hAnsi="Segoe UI" w:cs="Segoe UI" w:hint="eastAsia"/>
          <w:sz w:val="20"/>
          <w:szCs w:val="20"/>
        </w:rPr>
        <w:t>设定恰好让这个权衡有意义</w:t>
      </w:r>
      <w:r>
        <w:rPr>
          <w:rFonts w:ascii="Segoe UI" w:hAnsi="Segoe UI" w:cs="Segoe UI"/>
          <w:sz w:val="20"/>
          <w:szCs w:val="20"/>
        </w:rPr>
        <w:t>——</w:t>
      </w:r>
      <w:r>
        <w:rPr>
          <w:rFonts w:ascii="Segoe UI" w:hAnsi="Segoe UI" w:cs="Segoe UI" w:hint="eastAsia"/>
          <w:sz w:val="20"/>
          <w:szCs w:val="20"/>
        </w:rPr>
        <w:t>机器可替代、时间有差异</w:t>
      </w:r>
      <w:r>
        <w:rPr>
          <w:rFonts w:ascii="Segoe UI" w:hAnsi="Segoe UI" w:cs="Segoe UI"/>
          <w:sz w:val="20"/>
          <w:szCs w:val="20"/>
        </w:rPr>
        <w:t>,</w:t>
      </w:r>
      <w:r>
        <w:rPr>
          <w:rFonts w:ascii="Segoe UI" w:hAnsi="Segoe UI" w:cs="Segoe UI" w:hint="eastAsia"/>
          <w:sz w:val="20"/>
          <w:szCs w:val="20"/>
        </w:rPr>
        <w:t>路网状态才会真正改变指派决策。</w:t>
      </w:r>
    </w:p>
    <w:p w14:paraId="5AE77D11" w14:textId="77777777" w:rsidR="00FD50E0" w:rsidRDefault="00FD50E0">
      <w:pPr>
        <w:rPr>
          <w:rFonts w:hint="eastAsia"/>
          <w:highlight w:val="lightGray"/>
        </w:rPr>
      </w:pPr>
    </w:p>
    <w:p w14:paraId="7DB5D3CF" w14:textId="77777777" w:rsidR="00FD50E0" w:rsidRDefault="000A1F3C">
      <w:pPr>
        <w:pStyle w:val="ui-markdownparagraph"/>
        <w:shd w:val="clear" w:color="auto" w:fill="FCFCFC"/>
        <w:spacing w:before="90" w:beforeAutospacing="0" w:after="90" w:afterAutospacing="0"/>
        <w:rPr>
          <w:rFonts w:ascii="Segoe UI" w:hAnsi="Segoe UI" w:cs="Segoe UI"/>
          <w:color w:val="141414"/>
          <w:sz w:val="20"/>
          <w:szCs w:val="20"/>
        </w:rPr>
      </w:pPr>
      <w:r>
        <w:rPr>
          <w:rStyle w:val="font-semibold"/>
          <w:rFonts w:ascii="Segoe UI" w:hAnsi="Segoe UI" w:cs="Segoe UI" w:hint="eastAsia"/>
          <w:b/>
          <w:bCs/>
          <w:color w:val="141414"/>
          <w:sz w:val="20"/>
          <w:szCs w:val="20"/>
        </w:rPr>
        <w:t>问题</w:t>
      </w:r>
      <w:r>
        <w:rPr>
          <w:rStyle w:val="font-semibold"/>
          <w:rFonts w:ascii="Segoe UI" w:hAnsi="Segoe UI" w:cs="Segoe UI"/>
          <w:b/>
          <w:bCs/>
          <w:color w:val="141414"/>
          <w:sz w:val="20"/>
          <w:szCs w:val="20"/>
        </w:rPr>
        <w:t>/</w:t>
      </w:r>
      <w:r>
        <w:rPr>
          <w:rStyle w:val="font-semibold"/>
          <w:rFonts w:ascii="Segoe UI" w:hAnsi="Segoe UI" w:cs="Segoe UI" w:hint="eastAsia"/>
          <w:b/>
          <w:bCs/>
          <w:color w:val="141414"/>
          <w:sz w:val="20"/>
          <w:szCs w:val="20"/>
        </w:rPr>
        <w:t>模型层</w:t>
      </w:r>
      <w:r>
        <w:rPr>
          <w:rFonts w:ascii="Segoe UI" w:hAnsi="Segoe UI" w:cs="Segoe UI"/>
          <w:color w:val="141414"/>
          <w:sz w:val="20"/>
          <w:szCs w:val="20"/>
        </w:rPr>
        <w:t xml:space="preserve">: </w:t>
      </w:r>
      <w:r>
        <w:rPr>
          <w:rFonts w:ascii="Segoe UI" w:hAnsi="Segoe UI" w:cs="Segoe UI" w:hint="eastAsia"/>
          <w:color w:val="141414"/>
          <w:sz w:val="20"/>
          <w:szCs w:val="20"/>
        </w:rPr>
        <w:t>现有</w:t>
      </w:r>
      <w:r>
        <w:rPr>
          <w:rFonts w:ascii="Segoe UI" w:hAnsi="Segoe UI" w:cs="Segoe UI"/>
          <w:color w:val="141414"/>
          <w:sz w:val="20"/>
          <w:szCs w:val="20"/>
        </w:rPr>
        <w:t xml:space="preserve"> FJSP_PT </w:t>
      </w:r>
      <w:r>
        <w:rPr>
          <w:rFonts w:ascii="Segoe UI" w:hAnsi="Segoe UI" w:cs="Segoe UI" w:hint="eastAsia"/>
          <w:color w:val="141414"/>
          <w:sz w:val="20"/>
          <w:szCs w:val="20"/>
        </w:rPr>
        <w:t>研究普遍将任意两位置间的运输时间视为已知常数</w:t>
      </w:r>
      <w:r>
        <w:rPr>
          <w:rFonts w:ascii="Segoe UI" w:hAnsi="Segoe UI" w:cs="Segoe UI"/>
          <w:color w:val="141414"/>
          <w:sz w:val="20"/>
          <w:szCs w:val="20"/>
        </w:rPr>
        <w:t>,</w:t>
      </w:r>
      <w:r>
        <w:rPr>
          <w:rFonts w:ascii="Segoe UI" w:hAnsi="Segoe UI" w:cs="Segoe UI" w:hint="eastAsia"/>
          <w:color w:val="141414"/>
          <w:sz w:val="20"/>
          <w:szCs w:val="20"/>
        </w:rPr>
        <w:t>忽略了多</w:t>
      </w:r>
      <w:r>
        <w:rPr>
          <w:rFonts w:ascii="Segoe UI" w:hAnsi="Segoe UI" w:cs="Segoe UI"/>
          <w:color w:val="141414"/>
          <w:sz w:val="20"/>
          <w:szCs w:val="20"/>
        </w:rPr>
        <w:t xml:space="preserve"> AGV </w:t>
      </w:r>
      <w:r>
        <w:rPr>
          <w:rFonts w:ascii="Segoe UI" w:hAnsi="Segoe UI" w:cs="Segoe UI" w:hint="eastAsia"/>
          <w:color w:val="141414"/>
          <w:sz w:val="20"/>
          <w:szCs w:val="20"/>
        </w:rPr>
        <w:t>共享路网时的路径冲突与拥堵</w:t>
      </w:r>
      <w:r>
        <w:rPr>
          <w:rFonts w:ascii="Segoe UI" w:hAnsi="Segoe UI" w:cs="Segoe UI"/>
          <w:color w:val="141414"/>
          <w:sz w:val="20"/>
          <w:szCs w:val="20"/>
        </w:rPr>
        <w:t>;</w:t>
      </w:r>
      <w:r>
        <w:rPr>
          <w:rFonts w:ascii="Segoe UI" w:hAnsi="Segoe UI" w:cs="Segoe UI" w:hint="eastAsia"/>
          <w:color w:val="141414"/>
          <w:sz w:val="20"/>
          <w:szCs w:val="20"/>
        </w:rPr>
        <w:t>少量集成路径规划的研究又局限于同质机器设定。本文研究异构加工资源</w:t>
      </w:r>
      <w:r>
        <w:rPr>
          <w:rFonts w:ascii="Segoe UI" w:hAnsi="Segoe UI" w:cs="Segoe UI"/>
          <w:color w:val="141414"/>
          <w:sz w:val="20"/>
          <w:szCs w:val="20"/>
        </w:rPr>
        <w:t>(</w:t>
      </w:r>
      <w:r>
        <w:rPr>
          <w:rFonts w:ascii="Segoe UI" w:hAnsi="Segoe UI" w:cs="Segoe UI" w:hint="eastAsia"/>
          <w:color w:val="141414"/>
          <w:sz w:val="20"/>
          <w:szCs w:val="20"/>
        </w:rPr>
        <w:t>全柔性、时间异构的</w:t>
      </w:r>
      <w:r>
        <w:rPr>
          <w:rFonts w:ascii="Segoe UI" w:hAnsi="Segoe UI" w:cs="Segoe UI"/>
          <w:color w:val="141414"/>
          <w:sz w:val="20"/>
          <w:szCs w:val="20"/>
        </w:rPr>
        <w:t xml:space="preserve"> RA)</w:t>
      </w:r>
      <w:r>
        <w:rPr>
          <w:rFonts w:ascii="Segoe UI" w:hAnsi="Segoe UI" w:cs="Segoe UI" w:hint="eastAsia"/>
          <w:color w:val="141414"/>
          <w:sz w:val="20"/>
          <w:szCs w:val="20"/>
        </w:rPr>
        <w:t>与有限同质</w:t>
      </w:r>
      <w:r>
        <w:rPr>
          <w:rFonts w:ascii="Segoe UI" w:hAnsi="Segoe UI" w:cs="Segoe UI"/>
          <w:color w:val="141414"/>
          <w:sz w:val="20"/>
          <w:szCs w:val="20"/>
        </w:rPr>
        <w:t xml:space="preserve"> AGV </w:t>
      </w:r>
      <w:r>
        <w:rPr>
          <w:rFonts w:ascii="Segoe UI" w:hAnsi="Segoe UI" w:cs="Segoe UI" w:hint="eastAsia"/>
          <w:color w:val="141414"/>
          <w:sz w:val="20"/>
          <w:szCs w:val="20"/>
        </w:rPr>
        <w:t>车队下的调度</w:t>
      </w:r>
      <w:r>
        <w:rPr>
          <w:rFonts w:ascii="Segoe UI" w:hAnsi="Segoe UI" w:cs="Segoe UI"/>
          <w:color w:val="141414"/>
          <w:sz w:val="20"/>
          <w:szCs w:val="20"/>
        </w:rPr>
        <w:t>—</w:t>
      </w:r>
      <w:r>
        <w:rPr>
          <w:rFonts w:ascii="Segoe UI" w:hAnsi="Segoe UI" w:cs="Segoe UI" w:hint="eastAsia"/>
          <w:color w:val="141414"/>
          <w:sz w:val="20"/>
          <w:szCs w:val="20"/>
        </w:rPr>
        <w:t>路径集成问题</w:t>
      </w:r>
      <w:r>
        <w:rPr>
          <w:rFonts w:ascii="Segoe UI" w:hAnsi="Segoe UI" w:cs="Segoe UI"/>
          <w:color w:val="141414"/>
          <w:sz w:val="20"/>
          <w:szCs w:val="20"/>
        </w:rPr>
        <w:t>,</w:t>
      </w:r>
      <w:r>
        <w:rPr>
          <w:rFonts w:ascii="Segoe UI" w:hAnsi="Segoe UI" w:cs="Segoe UI" w:hint="eastAsia"/>
          <w:color w:val="141414"/>
          <w:sz w:val="20"/>
          <w:szCs w:val="20"/>
        </w:rPr>
        <w:t>其中运输时间不再是常数</w:t>
      </w:r>
      <w:r>
        <w:rPr>
          <w:rFonts w:ascii="Segoe UI" w:hAnsi="Segoe UI" w:cs="Segoe UI"/>
          <w:color w:val="141414"/>
          <w:sz w:val="20"/>
          <w:szCs w:val="20"/>
        </w:rPr>
        <w:t>,</w:t>
      </w:r>
      <w:r>
        <w:rPr>
          <w:rFonts w:ascii="Segoe UI" w:hAnsi="Segoe UI" w:cs="Segoe UI" w:hint="eastAsia"/>
          <w:color w:val="141414"/>
          <w:sz w:val="20"/>
          <w:szCs w:val="20"/>
        </w:rPr>
        <w:t>而是路由决策与路网占用状态的函数。</w:t>
      </w:r>
    </w:p>
    <w:p w14:paraId="438B95D9" w14:textId="77777777" w:rsidR="00FD50E0" w:rsidRDefault="000A1F3C">
      <w:pPr>
        <w:pStyle w:val="ui-markdownparagraph"/>
        <w:shd w:val="clear" w:color="auto" w:fill="FCFCFC"/>
        <w:spacing w:before="90" w:beforeAutospacing="0" w:after="90" w:afterAutospacing="0"/>
        <w:rPr>
          <w:rFonts w:ascii="Segoe UI" w:hAnsi="Segoe UI" w:cs="Segoe UI"/>
          <w:color w:val="141414"/>
          <w:sz w:val="20"/>
          <w:szCs w:val="20"/>
        </w:rPr>
      </w:pPr>
      <w:r>
        <w:rPr>
          <w:rStyle w:val="font-semibold"/>
          <w:rFonts w:ascii="Segoe UI" w:hAnsi="Segoe UI" w:cs="Segoe UI" w:hint="eastAsia"/>
          <w:b/>
          <w:bCs/>
          <w:color w:val="141414"/>
          <w:sz w:val="20"/>
          <w:szCs w:val="20"/>
        </w:rPr>
        <w:t>方法层</w:t>
      </w:r>
      <w:r>
        <w:rPr>
          <w:rFonts w:ascii="Segoe UI" w:hAnsi="Segoe UI" w:cs="Segoe UI"/>
          <w:color w:val="141414"/>
          <w:sz w:val="20"/>
          <w:szCs w:val="20"/>
        </w:rPr>
        <w:t xml:space="preserve">: </w:t>
      </w:r>
      <w:r>
        <w:rPr>
          <w:rFonts w:ascii="Segoe UI" w:hAnsi="Segoe UI" w:cs="Segoe UI" w:hint="eastAsia"/>
          <w:color w:val="141414"/>
          <w:sz w:val="20"/>
          <w:szCs w:val="20"/>
        </w:rPr>
        <w:t>提出调度层与路由层（路径规划层）双向耦合的求解框架</w:t>
      </w:r>
      <w:r>
        <w:rPr>
          <w:rFonts w:ascii="Segoe UI" w:hAnsi="Segoe UI" w:cs="Segoe UI"/>
          <w:color w:val="141414"/>
          <w:sz w:val="20"/>
          <w:szCs w:val="20"/>
        </w:rPr>
        <w:t>:</w:t>
      </w:r>
      <w:r>
        <w:rPr>
          <w:rFonts w:ascii="Segoe UI" w:hAnsi="Segoe UI" w:cs="Segoe UI" w:hint="eastAsia"/>
          <w:color w:val="141414"/>
          <w:sz w:val="20"/>
          <w:szCs w:val="20"/>
        </w:rPr>
        <w:t>上层优化工序</w:t>
      </w:r>
      <w:r>
        <w:rPr>
          <w:rFonts w:ascii="Segoe UI" w:hAnsi="Segoe UI" w:cs="Segoe UI"/>
          <w:color w:val="141414"/>
          <w:sz w:val="20"/>
          <w:szCs w:val="20"/>
        </w:rPr>
        <w:t xml:space="preserve">—RA </w:t>
      </w:r>
      <w:r>
        <w:rPr>
          <w:rFonts w:ascii="Segoe UI" w:hAnsi="Segoe UI" w:cs="Segoe UI" w:hint="eastAsia"/>
          <w:color w:val="141414"/>
          <w:sz w:val="20"/>
          <w:szCs w:val="20"/>
        </w:rPr>
        <w:t>指派、工序排序与运输任务分配</w:t>
      </w:r>
      <w:r>
        <w:rPr>
          <w:rFonts w:ascii="Segoe UI" w:hAnsi="Segoe UI" w:cs="Segoe UI"/>
          <w:color w:val="141414"/>
          <w:sz w:val="20"/>
          <w:szCs w:val="20"/>
        </w:rPr>
        <w:t>,</w:t>
      </w:r>
      <w:r>
        <w:rPr>
          <w:rFonts w:ascii="Segoe UI" w:hAnsi="Segoe UI" w:cs="Segoe UI" w:hint="eastAsia"/>
          <w:color w:val="141414"/>
          <w:sz w:val="20"/>
          <w:szCs w:val="20"/>
        </w:rPr>
        <w:t>下层基于时间窗的无冲突路由计算实际运输时间并反馈至上层</w:t>
      </w:r>
      <w:r>
        <w:rPr>
          <w:rFonts w:ascii="Segoe UI" w:hAnsi="Segoe UI" w:cs="Segoe UI"/>
          <w:color w:val="141414"/>
          <w:sz w:val="20"/>
          <w:szCs w:val="20"/>
        </w:rPr>
        <w:t>,</w:t>
      </w:r>
      <w:r>
        <w:rPr>
          <w:rFonts w:ascii="Segoe UI" w:hAnsi="Segoe UI" w:cs="Segoe UI" w:hint="eastAsia"/>
          <w:color w:val="141414"/>
          <w:sz w:val="20"/>
          <w:szCs w:val="20"/>
        </w:rPr>
        <w:t>实现两层决策的闭环协同优化</w:t>
      </w:r>
      <w:r>
        <w:rPr>
          <w:rFonts w:ascii="Segoe UI" w:hAnsi="Segoe UI" w:cs="Segoe UI"/>
          <w:color w:val="141414"/>
          <w:sz w:val="20"/>
          <w:szCs w:val="20"/>
        </w:rPr>
        <w:t>(</w:t>
      </w:r>
      <w:r>
        <w:rPr>
          <w:rFonts w:ascii="Segoe UI" w:hAnsi="Segoe UI" w:cs="Segoe UI" w:hint="eastAsia"/>
          <w:color w:val="141414"/>
          <w:sz w:val="20"/>
          <w:szCs w:val="20"/>
        </w:rPr>
        <w:t>而非现有工作的先排产、后路由的单向两阶段模式</w:t>
      </w:r>
      <w:r>
        <w:rPr>
          <w:rFonts w:ascii="Segoe UI" w:hAnsi="Segoe UI" w:cs="Segoe UI"/>
          <w:color w:val="141414"/>
          <w:sz w:val="20"/>
          <w:szCs w:val="20"/>
        </w:rPr>
        <w:t>)</w:t>
      </w:r>
      <w:r>
        <w:rPr>
          <w:rFonts w:ascii="Segoe UI" w:hAnsi="Segoe UI" w:cs="Segoe UI" w:hint="eastAsia"/>
          <w:color w:val="141414"/>
          <w:sz w:val="20"/>
          <w:szCs w:val="20"/>
        </w:rPr>
        <w:t>。</w:t>
      </w:r>
    </w:p>
    <w:p w14:paraId="5D00842A" w14:textId="77777777" w:rsidR="00FD50E0" w:rsidRDefault="00FD50E0">
      <w:pPr>
        <w:pStyle w:val="ui-markdownparagraph"/>
        <w:shd w:val="clear" w:color="auto" w:fill="FCFCFC"/>
        <w:spacing w:before="90" w:beforeAutospacing="0" w:after="90" w:afterAutospacing="0"/>
        <w:rPr>
          <w:rFonts w:ascii="Segoe UI" w:hAnsi="Segoe UI" w:cs="Segoe UI"/>
          <w:color w:val="141414"/>
          <w:sz w:val="20"/>
          <w:szCs w:val="20"/>
        </w:rPr>
      </w:pPr>
    </w:p>
    <w:p w14:paraId="77DB3365" w14:textId="77777777" w:rsidR="00FD50E0" w:rsidRDefault="00FD50E0">
      <w:pPr>
        <w:rPr>
          <w:rFonts w:hint="eastAsia"/>
          <w:highlight w:val="lightGray"/>
        </w:rPr>
      </w:pPr>
    </w:p>
    <w:p w14:paraId="2F4F985D" w14:textId="77777777" w:rsidR="00FD50E0" w:rsidRDefault="000A1F3C">
      <w:pPr>
        <w:rPr>
          <w:highlight w:val="lightGray"/>
        </w:rPr>
      </w:pPr>
      <w:r>
        <w:rPr>
          <w:rFonts w:hint="eastAsia"/>
          <w:highlight w:val="lightGray"/>
        </w:rPr>
        <w:t>考虑安全方面的研究内容——形成的新开题名称：</w:t>
      </w:r>
    </w:p>
    <w:p w14:paraId="1AE369B5" w14:textId="2FE76163" w:rsidR="00296089" w:rsidRDefault="00296089" w:rsidP="00296089">
      <w:pPr>
        <w:rPr>
          <w:rFonts w:hint="eastAsia"/>
        </w:rPr>
      </w:pPr>
      <w:r>
        <w:rPr>
          <w:rFonts w:hint="eastAsia"/>
        </w:rPr>
        <w:t>工业互联网环境下</w:t>
      </w:r>
      <w:r w:rsidRPr="00296089">
        <w:rPr>
          <w:rFonts w:hint="eastAsia"/>
          <w:highlight w:val="yellow"/>
        </w:rPr>
        <w:t>XXX</w:t>
      </w:r>
      <w:r>
        <w:rPr>
          <w:rFonts w:hint="eastAsia"/>
          <w:highlight w:val="yellow"/>
        </w:rPr>
        <w:t>（手段）</w:t>
      </w:r>
      <w:r w:rsidRPr="00296089">
        <w:rPr>
          <w:rFonts w:hint="eastAsia"/>
          <w:highlight w:val="yellow"/>
        </w:rPr>
        <w:t>的</w:t>
      </w:r>
      <w:r>
        <w:rPr>
          <w:rFonts w:hint="eastAsia"/>
        </w:rPr>
        <w:t>柔性作业车间</w:t>
      </w:r>
      <w:r>
        <w:rPr>
          <w:rFonts w:hint="eastAsia"/>
          <w:highlight w:val="yellow"/>
        </w:rPr>
        <w:t>集成</w:t>
      </w:r>
      <w:r>
        <w:rPr>
          <w:rFonts w:hint="eastAsia"/>
          <w:b/>
          <w:bCs/>
          <w:highlight w:val="yellow"/>
        </w:rPr>
        <w:t>调度</w:t>
      </w:r>
      <w:r>
        <w:rPr>
          <w:rFonts w:hint="eastAsia"/>
        </w:rPr>
        <w:t>及抗扰性研究</w:t>
      </w:r>
      <w:r>
        <w:rPr>
          <w:rFonts w:hint="eastAsia"/>
        </w:rPr>
        <w:t>【路线一</w:t>
      </w:r>
      <w:r w:rsidR="00866173">
        <w:rPr>
          <w:rFonts w:hint="eastAsia"/>
        </w:rPr>
        <w:t>（一个方法）</w:t>
      </w:r>
      <w:r>
        <w:rPr>
          <w:rFonts w:hint="eastAsia"/>
        </w:rPr>
        <w:t>；路线二（重调度与01集成调度</w:t>
      </w:r>
      <w:r w:rsidR="00866173">
        <w:rPr>
          <w:rFonts w:hint="eastAsia"/>
        </w:rPr>
        <w:t>的差异，不同，互不替代，各自有优势</w:t>
      </w:r>
      <w:r>
        <w:rPr>
          <w:rFonts w:hint="eastAsia"/>
        </w:rPr>
        <w:t>）</w:t>
      </w:r>
      <w:r w:rsidR="00252710">
        <w:rPr>
          <w:rFonts w:hint="eastAsia"/>
        </w:rPr>
        <w:t>、重调度机制&amp;应用场景（与01相同），能不能一块解决问题，初始化怎么做</w:t>
      </w:r>
      <w:r>
        <w:rPr>
          <w:rFonts w:hint="eastAsia"/>
        </w:rPr>
        <w:t>】</w:t>
      </w:r>
    </w:p>
    <w:p w14:paraId="358A134A" w14:textId="77777777" w:rsidR="00296089" w:rsidRDefault="00296089">
      <w:pPr>
        <w:rPr>
          <w:highlight w:val="lightGray"/>
        </w:rPr>
      </w:pPr>
    </w:p>
    <w:p w14:paraId="30A89118" w14:textId="7B78BF00" w:rsidR="00296089" w:rsidRPr="00296089" w:rsidRDefault="00296089">
      <w:pPr>
        <w:rPr>
          <w:rFonts w:hint="eastAsia"/>
          <w:highlight w:val="lightGray"/>
        </w:rPr>
      </w:pPr>
      <w:r>
        <w:rPr>
          <w:rFonts w:hint="eastAsia"/>
        </w:rPr>
        <w:t>工业互联网环境下</w:t>
      </w:r>
      <w:r w:rsidRPr="00296089">
        <w:rPr>
          <w:rFonts w:hint="eastAsia"/>
          <w:color w:val="FF0000"/>
          <w:highlight w:val="yellow"/>
        </w:rPr>
        <w:t>异构资源协同</w:t>
      </w:r>
      <w:r w:rsidRPr="00296089">
        <w:rPr>
          <w:rFonts w:hint="eastAsia"/>
          <w:color w:val="FF0000"/>
        </w:rPr>
        <w:t>的</w:t>
      </w:r>
      <w:r>
        <w:rPr>
          <w:rFonts w:hint="eastAsia"/>
        </w:rPr>
        <w:t>柔性作业车间</w:t>
      </w:r>
      <w:r>
        <w:rPr>
          <w:rFonts w:hint="eastAsia"/>
          <w:b/>
          <w:bCs/>
          <w:highlight w:val="yellow"/>
        </w:rPr>
        <w:t>调度</w:t>
      </w:r>
      <w:r>
        <w:rPr>
          <w:rFonts w:hint="eastAsia"/>
        </w:rPr>
        <w:t>及抗扰性研究</w:t>
      </w:r>
      <w:r>
        <w:rPr>
          <w:rFonts w:hint="eastAsia"/>
        </w:rPr>
        <w:t xml:space="preserve"> </w:t>
      </w:r>
      <w:r w:rsidRPr="00296089">
        <w:rPr>
          <w:rFonts w:hint="eastAsia"/>
          <w:highlight w:val="green"/>
        </w:rPr>
        <w:t>（keep）</w:t>
      </w:r>
    </w:p>
    <w:p w14:paraId="1B94E634" w14:textId="54EEE02E" w:rsidR="00FD50E0" w:rsidRDefault="000A1F3C">
      <w:r>
        <w:rPr>
          <w:rFonts w:hint="eastAsia"/>
        </w:rPr>
        <w:t>工业互联网环境下柔性作业车间</w:t>
      </w:r>
      <w:r>
        <w:rPr>
          <w:rFonts w:hint="eastAsia"/>
          <w:highlight w:val="yellow"/>
        </w:rPr>
        <w:t>集成</w:t>
      </w:r>
      <w:r>
        <w:rPr>
          <w:rFonts w:hint="eastAsia"/>
          <w:b/>
          <w:bCs/>
          <w:highlight w:val="yellow"/>
        </w:rPr>
        <w:t>调度</w:t>
      </w:r>
      <w:r>
        <w:rPr>
          <w:rFonts w:hint="eastAsia"/>
        </w:rPr>
        <w:t>及抗扰性研究</w:t>
      </w:r>
    </w:p>
    <w:p w14:paraId="34CF2AC5" w14:textId="77777777" w:rsidR="00296089" w:rsidRDefault="00296089">
      <w:pPr>
        <w:rPr>
          <w:rFonts w:hint="eastAsia"/>
        </w:rPr>
      </w:pPr>
    </w:p>
    <w:p w14:paraId="3A501821" w14:textId="77777777" w:rsidR="00FD50E0" w:rsidRDefault="000A1F3C">
      <w:pPr>
        <w:rPr>
          <w:rFonts w:hint="eastAsia"/>
        </w:rPr>
      </w:pPr>
      <w:r>
        <w:rPr>
          <w:rFonts w:hint="eastAsia"/>
          <w:highlight w:val="yellow"/>
        </w:rPr>
        <w:t>异构资源协同</w:t>
      </w:r>
      <w:r>
        <w:rPr>
          <w:rFonts w:hint="eastAsia"/>
        </w:rPr>
        <w:t>的柔性作业车间</w:t>
      </w:r>
      <w:r>
        <w:rPr>
          <w:rFonts w:hint="eastAsia"/>
          <w:highlight w:val="yellow"/>
        </w:rPr>
        <w:t>集成</w:t>
      </w:r>
      <w:r>
        <w:rPr>
          <w:rFonts w:hint="eastAsia"/>
          <w:b/>
          <w:bCs/>
          <w:highlight w:val="yellow"/>
        </w:rPr>
        <w:t>调度</w:t>
      </w:r>
      <w:r>
        <w:rPr>
          <w:rFonts w:hint="eastAsia"/>
        </w:rPr>
        <w:t>及抗扰性研究</w:t>
      </w:r>
    </w:p>
    <w:p w14:paraId="2DBA8F84" w14:textId="77777777" w:rsidR="000A1F3C" w:rsidRDefault="000A1F3C">
      <w:pPr>
        <w:rPr>
          <w:rFonts w:hint="eastAsia"/>
          <w:highlight w:val="lightGray"/>
        </w:rPr>
      </w:pPr>
    </w:p>
    <w:sectPr w:rsidR="000A1F3C">
      <w:pgSz w:w="11906" w:h="16838"/>
      <w:pgMar w:top="1440" w:right="1080" w:bottom="1440" w:left="1080" w:header="851" w:footer="992" w:gutter="0"/>
      <w:cols w:space="425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9A943D" w14:textId="77777777" w:rsidR="00D03A04" w:rsidRDefault="00D03A04">
      <w:pPr>
        <w:rPr>
          <w:rFonts w:hint="eastAsia"/>
        </w:rPr>
      </w:pPr>
      <w:r>
        <w:separator/>
      </w:r>
    </w:p>
  </w:endnote>
  <w:endnote w:type="continuationSeparator" w:id="0">
    <w:p w14:paraId="79ACB7AF" w14:textId="77777777" w:rsidR="00D03A04" w:rsidRDefault="00D03A0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38E253" w14:textId="77777777" w:rsidR="00D03A04" w:rsidRDefault="00D03A04">
      <w:pPr>
        <w:rPr>
          <w:rFonts w:hint="eastAsia"/>
        </w:rPr>
      </w:pPr>
      <w:r>
        <w:separator/>
      </w:r>
    </w:p>
  </w:footnote>
  <w:footnote w:type="continuationSeparator" w:id="0">
    <w:p w14:paraId="39E10BC1" w14:textId="77777777" w:rsidR="00D03A04" w:rsidRDefault="00D03A04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825E00"/>
    <w:multiLevelType w:val="multilevel"/>
    <w:tmpl w:val="CA140C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23810DF"/>
    <w:multiLevelType w:val="multilevel"/>
    <w:tmpl w:val="D38AF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9F54FC6"/>
    <w:multiLevelType w:val="multilevel"/>
    <w:tmpl w:val="6976659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76224610">
    <w:abstractNumId w:val="1"/>
  </w:num>
  <w:num w:numId="2" w16cid:durableId="2137988587">
    <w:abstractNumId w:val="0"/>
  </w:num>
  <w:num w:numId="3" w16cid:durableId="190803162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9724425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411C"/>
    <w:rsid w:val="000A1F3C"/>
    <w:rsid w:val="00252710"/>
    <w:rsid w:val="00296089"/>
    <w:rsid w:val="0033411C"/>
    <w:rsid w:val="00811A7D"/>
    <w:rsid w:val="00866173"/>
    <w:rsid w:val="00D03A04"/>
    <w:rsid w:val="00FD50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49B78AE"/>
  <w15:chartTrackingRefBased/>
  <w15:docId w15:val="{211F146E-CF55-41BC-8B46-0BA4438CD5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宋体" w:eastAsia="宋体" w:hAnsi="宋体" w:cs="宋体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32"/>
      <w:szCs w:val="32"/>
    </w:rPr>
  </w:style>
  <w:style w:type="paragraph" w:styleId="2">
    <w:name w:val="heading 2"/>
    <w:basedOn w:val="a"/>
    <w:link w:val="20"/>
    <w:uiPriority w:val="9"/>
    <w:qFormat/>
    <w:pPr>
      <w:spacing w:before="280" w:after="100" w:afterAutospacing="1"/>
      <w:outlineLvl w:val="1"/>
    </w:pPr>
    <w:rPr>
      <w:b/>
      <w:bCs/>
      <w:sz w:val="26"/>
      <w:szCs w:val="26"/>
    </w:rPr>
  </w:style>
  <w:style w:type="paragraph" w:styleId="3">
    <w:name w:val="heading 3"/>
    <w:basedOn w:val="a"/>
    <w:link w:val="30"/>
    <w:uiPriority w:val="9"/>
    <w:qFormat/>
    <w:pPr>
      <w:spacing w:before="200" w:after="100" w:afterAutospacing="1"/>
      <w:outlineLvl w:val="2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locked/>
    <w:rPr>
      <w:rFonts w:ascii="宋体" w:eastAsia="宋体" w:hAnsi="宋体" w:cs="宋体" w:hint="eastAsia"/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semiHidden/>
    <w:locked/>
    <w:rPr>
      <w:rFonts w:asciiTheme="majorHAnsi" w:eastAsiaTheme="majorEastAsia" w:hAnsiTheme="majorHAnsi" w:cstheme="majorBidi" w:hint="default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locked/>
    <w:rPr>
      <w:rFonts w:ascii="宋体" w:eastAsia="宋体" w:hAnsi="宋体" w:cs="宋体" w:hint="eastAsia"/>
      <w:b/>
      <w:bCs/>
      <w:sz w:val="32"/>
      <w:szCs w:val="32"/>
    </w:rPr>
  </w:style>
  <w:style w:type="paragraph" w:styleId="a3">
    <w:name w:val="Normal (Web)"/>
    <w:basedOn w:val="a"/>
    <w:uiPriority w:val="99"/>
    <w:semiHidden/>
    <w:unhideWhenUsed/>
    <w:pPr>
      <w:spacing w:before="120" w:after="120"/>
    </w:pPr>
  </w:style>
  <w:style w:type="paragraph" w:styleId="a4">
    <w:name w:val="header"/>
    <w:basedOn w:val="a"/>
    <w:link w:val="a5"/>
    <w:uiPriority w:val="99"/>
    <w:semiHidden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semiHidden/>
    <w:locked/>
    <w:rPr>
      <w:rFonts w:ascii="宋体" w:eastAsia="宋体" w:hAnsi="宋体" w:cs="宋体" w:hint="eastAsia"/>
      <w:sz w:val="18"/>
      <w:szCs w:val="18"/>
    </w:rPr>
  </w:style>
  <w:style w:type="paragraph" w:styleId="a6">
    <w:name w:val="footer"/>
    <w:basedOn w:val="a"/>
    <w:link w:val="a7"/>
    <w:uiPriority w:val="99"/>
    <w:semiHidden/>
    <w:unhideWhenUsed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semiHidden/>
    <w:locked/>
    <w:rPr>
      <w:rFonts w:ascii="宋体" w:eastAsia="宋体" w:hAnsi="宋体" w:cs="宋体" w:hint="eastAsia"/>
      <w:sz w:val="18"/>
      <w:szCs w:val="18"/>
    </w:rPr>
  </w:style>
  <w:style w:type="paragraph" w:customStyle="1" w:styleId="ui-markdownparagraph">
    <w:name w:val="ui-markdown__paragraph"/>
    <w:basedOn w:val="a"/>
    <w:uiPriority w:val="99"/>
    <w:semiHidden/>
    <w:pPr>
      <w:spacing w:before="100" w:beforeAutospacing="1" w:after="100" w:afterAutospacing="1"/>
    </w:pPr>
  </w:style>
  <w:style w:type="character" w:customStyle="1" w:styleId="font-semibold">
    <w:name w:val="font-semibold"/>
    <w:basedOn w:val="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5</Pages>
  <Words>740</Words>
  <Characters>4224</Characters>
  <Application>Microsoft Office Word</Application>
  <DocSecurity>0</DocSecurity>
  <Lines>35</Lines>
  <Paragraphs>9</Paragraphs>
  <ScaleCrop>false</ScaleCrop>
  <Company/>
  <LinksUpToDate>false</LinksUpToDate>
  <CharactersWithSpaces>4955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于琪</dc:creator>
  <cp:keywords/>
  <dc:description/>
  <cp:lastModifiedBy>Qi</cp:lastModifiedBy>
  <cp:revision>4</cp:revision>
  <dcterms:created xsi:type="dcterms:W3CDTF">2026-07-23T04:55:00Z</dcterms:created>
  <dcterms:modified xsi:type="dcterms:W3CDTF">2026-08-02T03:20:00Z</dcterms:modified>
</cp:coreProperties>
</file>