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8464" w14:textId="77777777" w:rsidR="00AD55FE" w:rsidRPr="00AD55FE" w:rsidRDefault="00AD55FE" w:rsidP="00AD55FE">
      <w:pPr>
        <w:shd w:val="clear" w:color="auto" w:fill="FFFFFF"/>
        <w:spacing w:before="90" w:after="90"/>
        <w:outlineLvl w:val="1"/>
        <w:rPr>
          <w:rFonts w:ascii="Open Sans" w:eastAsia="Times New Roman" w:hAnsi="Open Sans" w:cs="Open Sans"/>
          <w:color w:val="2A2B2E"/>
          <w:sz w:val="43"/>
          <w:szCs w:val="43"/>
          <w:lang w:eastAsia="en-GB"/>
        </w:rPr>
      </w:pPr>
      <w:r w:rsidRPr="00AD55FE">
        <w:rPr>
          <w:rFonts w:ascii="Open Sans" w:eastAsia="Times New Roman" w:hAnsi="Open Sans" w:cs="Open Sans"/>
          <w:color w:val="2A2B2E"/>
          <w:sz w:val="43"/>
          <w:szCs w:val="43"/>
          <w:lang w:eastAsia="en-GB"/>
        </w:rPr>
        <w:t>Art History of Florence</w:t>
      </w:r>
    </w:p>
    <w:p w14:paraId="11EDF089" w14:textId="77777777" w:rsidR="00AD55FE" w:rsidRPr="00AD55FE" w:rsidRDefault="00AD55FE" w:rsidP="00AD55FE">
      <w:pPr>
        <w:shd w:val="clear" w:color="auto" w:fill="FFFFFF"/>
        <w:spacing w:before="180" w:after="180"/>
        <w:rPr>
          <w:rFonts w:ascii="Open Sans" w:eastAsia="Times New Roman" w:hAnsi="Open Sans" w:cs="Open Sans"/>
          <w:color w:val="2A2B2E"/>
          <w:lang w:eastAsia="en-GB"/>
        </w:rPr>
      </w:pPr>
      <w:r w:rsidRPr="00AD55FE">
        <w:rPr>
          <w:rFonts w:ascii="Open Sans" w:eastAsia="Times New Roman" w:hAnsi="Open Sans" w:cs="Open Sans"/>
          <w:b/>
          <w:bCs/>
          <w:color w:val="2A2B2E"/>
          <w:lang w:eastAsia="en-GB"/>
        </w:rPr>
        <w:t>A new title</w:t>
      </w:r>
      <w:r w:rsidRPr="00AD55FE">
        <w:rPr>
          <w:rFonts w:ascii="Open Sans" w:eastAsia="Times New Roman" w:hAnsi="Open Sans" w:cs="Open Sans"/>
          <w:color w:val="2A2B2E"/>
          <w:lang w:eastAsia="en-GB"/>
        </w:rPr>
        <w:t>: The Art History of Florence, is ready for release. CBC sent a test mailing to a random sample of 4000 customers from its customer base. The customer responses have been collated with past purchase data. Each row (or case) in the spreadsheet (other than the header) corresponds to one market test customer. Each column is a variable, with the header row giving the name of the variable. The variable names and descriptions are given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2"/>
        <w:gridCol w:w="7004"/>
      </w:tblGrid>
      <w:tr w:rsidR="00AD55FE" w:rsidRPr="00AD55FE" w14:paraId="33D52E55" w14:textId="77777777" w:rsidTr="00AD55FE">
        <w:tc>
          <w:tcPr>
            <w:tcW w:w="2070" w:type="dxa"/>
            <w:shd w:val="clear" w:color="auto" w:fill="FFFFFF"/>
            <w:tcMar>
              <w:top w:w="30" w:type="dxa"/>
              <w:left w:w="30" w:type="dxa"/>
              <w:bottom w:w="30" w:type="dxa"/>
              <w:right w:w="30" w:type="dxa"/>
            </w:tcMar>
            <w:vAlign w:val="center"/>
            <w:hideMark/>
          </w:tcPr>
          <w:p w14:paraId="70316313"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b/>
                <w:bCs/>
                <w:color w:val="2A2B2E"/>
                <w:lang w:eastAsia="en-GB"/>
              </w:rPr>
              <w:t>Variable Name</w:t>
            </w:r>
          </w:p>
        </w:tc>
        <w:tc>
          <w:tcPr>
            <w:tcW w:w="7290" w:type="dxa"/>
            <w:shd w:val="clear" w:color="auto" w:fill="FFFFFF"/>
            <w:tcMar>
              <w:top w:w="30" w:type="dxa"/>
              <w:left w:w="30" w:type="dxa"/>
              <w:bottom w:w="30" w:type="dxa"/>
              <w:right w:w="30" w:type="dxa"/>
            </w:tcMar>
            <w:vAlign w:val="center"/>
            <w:hideMark/>
          </w:tcPr>
          <w:p w14:paraId="31B2CFA8"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b/>
                <w:bCs/>
                <w:color w:val="2A2B2E"/>
                <w:lang w:eastAsia="en-GB"/>
              </w:rPr>
              <w:t>Description</w:t>
            </w:r>
          </w:p>
        </w:tc>
      </w:tr>
      <w:tr w:rsidR="00AD55FE" w:rsidRPr="00AD55FE" w14:paraId="197255BB" w14:textId="77777777" w:rsidTr="00AD55FE">
        <w:tc>
          <w:tcPr>
            <w:tcW w:w="2070" w:type="dxa"/>
            <w:shd w:val="clear" w:color="auto" w:fill="FFFFFF"/>
            <w:tcMar>
              <w:top w:w="30" w:type="dxa"/>
              <w:left w:w="30" w:type="dxa"/>
              <w:bottom w:w="30" w:type="dxa"/>
              <w:right w:w="30" w:type="dxa"/>
            </w:tcMar>
            <w:vAlign w:val="center"/>
            <w:hideMark/>
          </w:tcPr>
          <w:p w14:paraId="145F459A"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Seq</w:t>
            </w:r>
            <w:proofErr w:type="spellEnd"/>
            <w:r w:rsidRPr="00AD55FE">
              <w:rPr>
                <w:rFonts w:ascii="Open Sans" w:eastAsia="Times New Roman" w:hAnsi="Open Sans" w:cs="Open Sans"/>
                <w:color w:val="2A2B2E"/>
                <w:lang w:eastAsia="en-GB"/>
              </w:rPr>
              <w:t>#</w:t>
            </w:r>
          </w:p>
        </w:tc>
        <w:tc>
          <w:tcPr>
            <w:tcW w:w="7290" w:type="dxa"/>
            <w:shd w:val="clear" w:color="auto" w:fill="FFFFFF"/>
            <w:tcMar>
              <w:top w:w="30" w:type="dxa"/>
              <w:left w:w="30" w:type="dxa"/>
              <w:bottom w:w="30" w:type="dxa"/>
              <w:right w:w="30" w:type="dxa"/>
            </w:tcMar>
            <w:vAlign w:val="center"/>
            <w:hideMark/>
          </w:tcPr>
          <w:p w14:paraId="25FDECCE"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Sequence number in the partition</w:t>
            </w:r>
          </w:p>
        </w:tc>
      </w:tr>
      <w:tr w:rsidR="00AD55FE" w:rsidRPr="00AD55FE" w14:paraId="350A473D" w14:textId="77777777" w:rsidTr="00AD55FE">
        <w:tc>
          <w:tcPr>
            <w:tcW w:w="2070" w:type="dxa"/>
            <w:shd w:val="clear" w:color="auto" w:fill="FFFFFF"/>
            <w:tcMar>
              <w:top w:w="30" w:type="dxa"/>
              <w:left w:w="30" w:type="dxa"/>
              <w:bottom w:w="30" w:type="dxa"/>
              <w:right w:w="30" w:type="dxa"/>
            </w:tcMar>
            <w:vAlign w:val="center"/>
            <w:hideMark/>
          </w:tcPr>
          <w:p w14:paraId="524FB7EE"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ID#</w:t>
            </w:r>
          </w:p>
        </w:tc>
        <w:tc>
          <w:tcPr>
            <w:tcW w:w="7290" w:type="dxa"/>
            <w:shd w:val="clear" w:color="auto" w:fill="FFFFFF"/>
            <w:tcMar>
              <w:top w:w="30" w:type="dxa"/>
              <w:left w:w="30" w:type="dxa"/>
              <w:bottom w:w="30" w:type="dxa"/>
              <w:right w:w="30" w:type="dxa"/>
            </w:tcMar>
            <w:vAlign w:val="center"/>
            <w:hideMark/>
          </w:tcPr>
          <w:p w14:paraId="57500CDC"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Identification number in the full (unpartitioned) market test dataset</w:t>
            </w:r>
          </w:p>
        </w:tc>
      </w:tr>
      <w:tr w:rsidR="00AD55FE" w:rsidRPr="00AD55FE" w14:paraId="1033FD5A" w14:textId="77777777" w:rsidTr="00AD55FE">
        <w:tc>
          <w:tcPr>
            <w:tcW w:w="2070" w:type="dxa"/>
            <w:shd w:val="clear" w:color="auto" w:fill="FFFFFF"/>
            <w:tcMar>
              <w:top w:w="30" w:type="dxa"/>
              <w:left w:w="30" w:type="dxa"/>
              <w:bottom w:w="30" w:type="dxa"/>
              <w:right w:w="30" w:type="dxa"/>
            </w:tcMar>
            <w:vAlign w:val="center"/>
            <w:hideMark/>
          </w:tcPr>
          <w:p w14:paraId="665BB78A"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Gender</w:t>
            </w:r>
          </w:p>
        </w:tc>
        <w:tc>
          <w:tcPr>
            <w:tcW w:w="7290" w:type="dxa"/>
            <w:shd w:val="clear" w:color="auto" w:fill="FFFFFF"/>
            <w:tcMar>
              <w:top w:w="30" w:type="dxa"/>
              <w:left w:w="30" w:type="dxa"/>
              <w:bottom w:w="30" w:type="dxa"/>
              <w:right w:w="30" w:type="dxa"/>
            </w:tcMar>
            <w:vAlign w:val="center"/>
            <w:hideMark/>
          </w:tcPr>
          <w:p w14:paraId="679D14CD"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0=Male,1=Female</w:t>
            </w:r>
          </w:p>
        </w:tc>
      </w:tr>
      <w:tr w:rsidR="00AD55FE" w:rsidRPr="00AD55FE" w14:paraId="40DE24CE" w14:textId="77777777" w:rsidTr="00AD55FE">
        <w:tc>
          <w:tcPr>
            <w:tcW w:w="2070" w:type="dxa"/>
            <w:shd w:val="clear" w:color="auto" w:fill="FFFFFF"/>
            <w:tcMar>
              <w:top w:w="30" w:type="dxa"/>
              <w:left w:w="30" w:type="dxa"/>
              <w:bottom w:w="30" w:type="dxa"/>
              <w:right w:w="30" w:type="dxa"/>
            </w:tcMar>
            <w:vAlign w:val="center"/>
            <w:hideMark/>
          </w:tcPr>
          <w:p w14:paraId="358B295B"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M</w:t>
            </w:r>
          </w:p>
        </w:tc>
        <w:tc>
          <w:tcPr>
            <w:tcW w:w="7290" w:type="dxa"/>
            <w:shd w:val="clear" w:color="auto" w:fill="FFFFFF"/>
            <w:tcMar>
              <w:top w:w="30" w:type="dxa"/>
              <w:left w:w="30" w:type="dxa"/>
              <w:bottom w:w="30" w:type="dxa"/>
              <w:right w:w="30" w:type="dxa"/>
            </w:tcMar>
            <w:vAlign w:val="center"/>
            <w:hideMark/>
          </w:tcPr>
          <w:p w14:paraId="36BE62B9"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Monetary—Total money spent on books</w:t>
            </w:r>
          </w:p>
        </w:tc>
      </w:tr>
      <w:tr w:rsidR="00AD55FE" w:rsidRPr="00AD55FE" w14:paraId="73CF0687" w14:textId="77777777" w:rsidTr="00AD55FE">
        <w:tc>
          <w:tcPr>
            <w:tcW w:w="2070" w:type="dxa"/>
            <w:shd w:val="clear" w:color="auto" w:fill="FFFFFF"/>
            <w:tcMar>
              <w:top w:w="30" w:type="dxa"/>
              <w:left w:w="30" w:type="dxa"/>
              <w:bottom w:w="30" w:type="dxa"/>
              <w:right w:w="30" w:type="dxa"/>
            </w:tcMar>
            <w:vAlign w:val="center"/>
            <w:hideMark/>
          </w:tcPr>
          <w:p w14:paraId="2536C542"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R</w:t>
            </w:r>
          </w:p>
        </w:tc>
        <w:tc>
          <w:tcPr>
            <w:tcW w:w="7290" w:type="dxa"/>
            <w:shd w:val="clear" w:color="auto" w:fill="FFFFFF"/>
            <w:tcMar>
              <w:top w:w="30" w:type="dxa"/>
              <w:left w:w="30" w:type="dxa"/>
              <w:bottom w:w="30" w:type="dxa"/>
              <w:right w:w="30" w:type="dxa"/>
            </w:tcMar>
            <w:vAlign w:val="center"/>
            <w:hideMark/>
          </w:tcPr>
          <w:p w14:paraId="413A4753"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Recency—Months since last purchase</w:t>
            </w:r>
          </w:p>
        </w:tc>
      </w:tr>
      <w:tr w:rsidR="00AD55FE" w:rsidRPr="00AD55FE" w14:paraId="1A737D4D" w14:textId="77777777" w:rsidTr="00AD55FE">
        <w:tc>
          <w:tcPr>
            <w:tcW w:w="2070" w:type="dxa"/>
            <w:shd w:val="clear" w:color="auto" w:fill="FFFFFF"/>
            <w:tcMar>
              <w:top w:w="30" w:type="dxa"/>
              <w:left w:w="30" w:type="dxa"/>
              <w:bottom w:w="30" w:type="dxa"/>
              <w:right w:w="30" w:type="dxa"/>
            </w:tcMar>
            <w:vAlign w:val="center"/>
            <w:hideMark/>
          </w:tcPr>
          <w:p w14:paraId="683A5EE7"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F</w:t>
            </w:r>
          </w:p>
        </w:tc>
        <w:tc>
          <w:tcPr>
            <w:tcW w:w="7290" w:type="dxa"/>
            <w:shd w:val="clear" w:color="auto" w:fill="FFFFFF"/>
            <w:tcMar>
              <w:top w:w="30" w:type="dxa"/>
              <w:left w:w="30" w:type="dxa"/>
              <w:bottom w:w="30" w:type="dxa"/>
              <w:right w:w="30" w:type="dxa"/>
            </w:tcMar>
            <w:vAlign w:val="center"/>
            <w:hideMark/>
          </w:tcPr>
          <w:p w14:paraId="2257B97C"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Frequency—Total number of purchases</w:t>
            </w:r>
          </w:p>
        </w:tc>
      </w:tr>
      <w:tr w:rsidR="00AD55FE" w:rsidRPr="00AD55FE" w14:paraId="480C6E9C" w14:textId="77777777" w:rsidTr="00AD55FE">
        <w:tc>
          <w:tcPr>
            <w:tcW w:w="2070" w:type="dxa"/>
            <w:shd w:val="clear" w:color="auto" w:fill="FFFFFF"/>
            <w:tcMar>
              <w:top w:w="30" w:type="dxa"/>
              <w:left w:w="30" w:type="dxa"/>
              <w:bottom w:w="30" w:type="dxa"/>
              <w:right w:w="30" w:type="dxa"/>
            </w:tcMar>
            <w:vAlign w:val="center"/>
            <w:hideMark/>
          </w:tcPr>
          <w:p w14:paraId="5B9AAFBD"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FirstPurch</w:t>
            </w:r>
            <w:proofErr w:type="spellEnd"/>
          </w:p>
        </w:tc>
        <w:tc>
          <w:tcPr>
            <w:tcW w:w="7290" w:type="dxa"/>
            <w:shd w:val="clear" w:color="auto" w:fill="FFFFFF"/>
            <w:tcMar>
              <w:top w:w="30" w:type="dxa"/>
              <w:left w:w="30" w:type="dxa"/>
              <w:bottom w:w="30" w:type="dxa"/>
              <w:right w:w="30" w:type="dxa"/>
            </w:tcMar>
            <w:vAlign w:val="center"/>
            <w:hideMark/>
          </w:tcPr>
          <w:p w14:paraId="5854CB69"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Months since first purchase</w:t>
            </w:r>
          </w:p>
        </w:tc>
      </w:tr>
      <w:tr w:rsidR="00AD55FE" w:rsidRPr="00AD55FE" w14:paraId="2476E9DF" w14:textId="77777777" w:rsidTr="00AD55FE">
        <w:tc>
          <w:tcPr>
            <w:tcW w:w="2070" w:type="dxa"/>
            <w:shd w:val="clear" w:color="auto" w:fill="FFFFFF"/>
            <w:tcMar>
              <w:top w:w="30" w:type="dxa"/>
              <w:left w:w="30" w:type="dxa"/>
              <w:bottom w:w="30" w:type="dxa"/>
              <w:right w:w="30" w:type="dxa"/>
            </w:tcMar>
            <w:vAlign w:val="center"/>
            <w:hideMark/>
          </w:tcPr>
          <w:p w14:paraId="1FFC2CFE"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ChildBks</w:t>
            </w:r>
            <w:proofErr w:type="spellEnd"/>
          </w:p>
        </w:tc>
        <w:tc>
          <w:tcPr>
            <w:tcW w:w="7290" w:type="dxa"/>
            <w:shd w:val="clear" w:color="auto" w:fill="FFFFFF"/>
            <w:tcMar>
              <w:top w:w="30" w:type="dxa"/>
              <w:left w:w="30" w:type="dxa"/>
              <w:bottom w:w="30" w:type="dxa"/>
              <w:right w:w="30" w:type="dxa"/>
            </w:tcMar>
            <w:vAlign w:val="center"/>
            <w:hideMark/>
          </w:tcPr>
          <w:p w14:paraId="2856C957"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child books</w:t>
            </w:r>
          </w:p>
        </w:tc>
      </w:tr>
      <w:tr w:rsidR="00AD55FE" w:rsidRPr="00AD55FE" w14:paraId="1EB8C9AF" w14:textId="77777777" w:rsidTr="00AD55FE">
        <w:tc>
          <w:tcPr>
            <w:tcW w:w="2070" w:type="dxa"/>
            <w:shd w:val="clear" w:color="auto" w:fill="FFFFFF"/>
            <w:tcMar>
              <w:top w:w="30" w:type="dxa"/>
              <w:left w:w="30" w:type="dxa"/>
              <w:bottom w:w="30" w:type="dxa"/>
              <w:right w:w="30" w:type="dxa"/>
            </w:tcMar>
            <w:vAlign w:val="center"/>
            <w:hideMark/>
          </w:tcPr>
          <w:p w14:paraId="00F6CCA2"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YouthBks</w:t>
            </w:r>
            <w:proofErr w:type="spellEnd"/>
          </w:p>
        </w:tc>
        <w:tc>
          <w:tcPr>
            <w:tcW w:w="7290" w:type="dxa"/>
            <w:shd w:val="clear" w:color="auto" w:fill="FFFFFF"/>
            <w:tcMar>
              <w:top w:w="30" w:type="dxa"/>
              <w:left w:w="30" w:type="dxa"/>
              <w:bottom w:w="30" w:type="dxa"/>
              <w:right w:w="30" w:type="dxa"/>
            </w:tcMar>
            <w:vAlign w:val="center"/>
            <w:hideMark/>
          </w:tcPr>
          <w:p w14:paraId="1715144F"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youth books</w:t>
            </w:r>
          </w:p>
        </w:tc>
      </w:tr>
      <w:tr w:rsidR="00AD55FE" w:rsidRPr="00AD55FE" w14:paraId="35491C88" w14:textId="77777777" w:rsidTr="00AD55FE">
        <w:tc>
          <w:tcPr>
            <w:tcW w:w="2070" w:type="dxa"/>
            <w:shd w:val="clear" w:color="auto" w:fill="FFFFFF"/>
            <w:tcMar>
              <w:top w:w="30" w:type="dxa"/>
              <w:left w:w="30" w:type="dxa"/>
              <w:bottom w:w="30" w:type="dxa"/>
              <w:right w:w="30" w:type="dxa"/>
            </w:tcMar>
            <w:vAlign w:val="center"/>
            <w:hideMark/>
          </w:tcPr>
          <w:p w14:paraId="321DF948"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CookBks</w:t>
            </w:r>
            <w:proofErr w:type="spellEnd"/>
          </w:p>
        </w:tc>
        <w:tc>
          <w:tcPr>
            <w:tcW w:w="7290" w:type="dxa"/>
            <w:shd w:val="clear" w:color="auto" w:fill="FFFFFF"/>
            <w:tcMar>
              <w:top w:w="30" w:type="dxa"/>
              <w:left w:w="30" w:type="dxa"/>
              <w:bottom w:w="30" w:type="dxa"/>
              <w:right w:w="30" w:type="dxa"/>
            </w:tcMar>
            <w:vAlign w:val="center"/>
            <w:hideMark/>
          </w:tcPr>
          <w:p w14:paraId="42F111EA"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cookbooks</w:t>
            </w:r>
          </w:p>
        </w:tc>
      </w:tr>
      <w:tr w:rsidR="00AD55FE" w:rsidRPr="00AD55FE" w14:paraId="26159A91" w14:textId="77777777" w:rsidTr="00AD55FE">
        <w:tc>
          <w:tcPr>
            <w:tcW w:w="2070" w:type="dxa"/>
            <w:shd w:val="clear" w:color="auto" w:fill="FFFFFF"/>
            <w:tcMar>
              <w:top w:w="30" w:type="dxa"/>
              <w:left w:w="30" w:type="dxa"/>
              <w:bottom w:w="30" w:type="dxa"/>
              <w:right w:w="30" w:type="dxa"/>
            </w:tcMar>
            <w:vAlign w:val="center"/>
            <w:hideMark/>
          </w:tcPr>
          <w:p w14:paraId="50D85962"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DoItYBks</w:t>
            </w:r>
            <w:proofErr w:type="spellEnd"/>
          </w:p>
        </w:tc>
        <w:tc>
          <w:tcPr>
            <w:tcW w:w="7290" w:type="dxa"/>
            <w:shd w:val="clear" w:color="auto" w:fill="FFFFFF"/>
            <w:tcMar>
              <w:top w:w="30" w:type="dxa"/>
              <w:left w:w="30" w:type="dxa"/>
              <w:bottom w:w="30" w:type="dxa"/>
              <w:right w:w="30" w:type="dxa"/>
            </w:tcMar>
            <w:vAlign w:val="center"/>
            <w:hideMark/>
          </w:tcPr>
          <w:p w14:paraId="16E9E57D"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do-it-yourself books</w:t>
            </w:r>
          </w:p>
        </w:tc>
      </w:tr>
      <w:tr w:rsidR="00AD55FE" w:rsidRPr="00AD55FE" w14:paraId="7B7174A2" w14:textId="77777777" w:rsidTr="00AD55FE">
        <w:tc>
          <w:tcPr>
            <w:tcW w:w="2070" w:type="dxa"/>
            <w:shd w:val="clear" w:color="auto" w:fill="FFFFFF"/>
            <w:tcMar>
              <w:top w:w="30" w:type="dxa"/>
              <w:left w:w="30" w:type="dxa"/>
              <w:bottom w:w="30" w:type="dxa"/>
              <w:right w:w="30" w:type="dxa"/>
            </w:tcMar>
            <w:vAlign w:val="center"/>
            <w:hideMark/>
          </w:tcPr>
          <w:p w14:paraId="25D78252"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RefBks</w:t>
            </w:r>
            <w:proofErr w:type="spellEnd"/>
          </w:p>
        </w:tc>
        <w:tc>
          <w:tcPr>
            <w:tcW w:w="7290" w:type="dxa"/>
            <w:shd w:val="clear" w:color="auto" w:fill="FFFFFF"/>
            <w:tcMar>
              <w:top w:w="30" w:type="dxa"/>
              <w:left w:w="30" w:type="dxa"/>
              <w:bottom w:w="30" w:type="dxa"/>
              <w:right w:w="30" w:type="dxa"/>
            </w:tcMar>
            <w:vAlign w:val="center"/>
            <w:hideMark/>
          </w:tcPr>
          <w:p w14:paraId="57AF4EDE"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 xml:space="preserve">Number of purchases from the category reference books (atlases, </w:t>
            </w:r>
            <w:proofErr w:type="spellStart"/>
            <w:r w:rsidRPr="00AD55FE">
              <w:rPr>
                <w:rFonts w:ascii="Open Sans" w:eastAsia="Times New Roman" w:hAnsi="Open Sans" w:cs="Open Sans"/>
                <w:color w:val="2A2B2E"/>
                <w:lang w:eastAsia="en-GB"/>
              </w:rPr>
              <w:t>encyclopedias</w:t>
            </w:r>
            <w:proofErr w:type="spellEnd"/>
            <w:r w:rsidRPr="00AD55FE">
              <w:rPr>
                <w:rFonts w:ascii="Open Sans" w:eastAsia="Times New Roman" w:hAnsi="Open Sans" w:cs="Open Sans"/>
                <w:color w:val="2A2B2E"/>
                <w:lang w:eastAsia="en-GB"/>
              </w:rPr>
              <w:t>, dictionaries)</w:t>
            </w:r>
          </w:p>
        </w:tc>
      </w:tr>
      <w:tr w:rsidR="00AD55FE" w:rsidRPr="00AD55FE" w14:paraId="4805CA72" w14:textId="77777777" w:rsidTr="00AD55FE">
        <w:tc>
          <w:tcPr>
            <w:tcW w:w="2070" w:type="dxa"/>
            <w:shd w:val="clear" w:color="auto" w:fill="FFFFFF"/>
            <w:tcMar>
              <w:top w:w="30" w:type="dxa"/>
              <w:left w:w="30" w:type="dxa"/>
              <w:bottom w:w="30" w:type="dxa"/>
              <w:right w:w="30" w:type="dxa"/>
            </w:tcMar>
            <w:vAlign w:val="center"/>
            <w:hideMark/>
          </w:tcPr>
          <w:p w14:paraId="4A9470D3"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lastRenderedPageBreak/>
              <w:t>ArtBks</w:t>
            </w:r>
            <w:proofErr w:type="spellEnd"/>
          </w:p>
        </w:tc>
        <w:tc>
          <w:tcPr>
            <w:tcW w:w="7290" w:type="dxa"/>
            <w:shd w:val="clear" w:color="auto" w:fill="FFFFFF"/>
            <w:tcMar>
              <w:top w:w="30" w:type="dxa"/>
              <w:left w:w="30" w:type="dxa"/>
              <w:bottom w:w="30" w:type="dxa"/>
              <w:right w:w="30" w:type="dxa"/>
            </w:tcMar>
            <w:vAlign w:val="center"/>
            <w:hideMark/>
          </w:tcPr>
          <w:p w14:paraId="3BB91FCD"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art books</w:t>
            </w:r>
          </w:p>
        </w:tc>
      </w:tr>
      <w:tr w:rsidR="00AD55FE" w:rsidRPr="00AD55FE" w14:paraId="7FA778C2" w14:textId="77777777" w:rsidTr="00AD55FE">
        <w:tc>
          <w:tcPr>
            <w:tcW w:w="2070" w:type="dxa"/>
            <w:shd w:val="clear" w:color="auto" w:fill="FFFFFF"/>
            <w:tcMar>
              <w:top w:w="30" w:type="dxa"/>
              <w:left w:w="30" w:type="dxa"/>
              <w:bottom w:w="30" w:type="dxa"/>
              <w:right w:w="30" w:type="dxa"/>
            </w:tcMar>
            <w:vAlign w:val="center"/>
            <w:hideMark/>
          </w:tcPr>
          <w:p w14:paraId="2134627D"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GeoBks</w:t>
            </w:r>
            <w:proofErr w:type="spellEnd"/>
          </w:p>
        </w:tc>
        <w:tc>
          <w:tcPr>
            <w:tcW w:w="7290" w:type="dxa"/>
            <w:shd w:val="clear" w:color="auto" w:fill="FFFFFF"/>
            <w:tcMar>
              <w:top w:w="30" w:type="dxa"/>
              <w:left w:w="30" w:type="dxa"/>
              <w:bottom w:w="30" w:type="dxa"/>
              <w:right w:w="30" w:type="dxa"/>
            </w:tcMar>
            <w:vAlign w:val="center"/>
            <w:hideMark/>
          </w:tcPr>
          <w:p w14:paraId="71B31E8A"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from the category geography books</w:t>
            </w:r>
          </w:p>
        </w:tc>
      </w:tr>
      <w:tr w:rsidR="00AD55FE" w:rsidRPr="00AD55FE" w14:paraId="3BCE506C" w14:textId="77777777" w:rsidTr="00AD55FE">
        <w:tc>
          <w:tcPr>
            <w:tcW w:w="2070" w:type="dxa"/>
            <w:shd w:val="clear" w:color="auto" w:fill="FFFFFF"/>
            <w:tcMar>
              <w:top w:w="30" w:type="dxa"/>
              <w:left w:w="30" w:type="dxa"/>
              <w:bottom w:w="30" w:type="dxa"/>
              <w:right w:w="30" w:type="dxa"/>
            </w:tcMar>
            <w:vAlign w:val="center"/>
            <w:hideMark/>
          </w:tcPr>
          <w:p w14:paraId="56D0A894"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ItalCook</w:t>
            </w:r>
            <w:proofErr w:type="spellEnd"/>
          </w:p>
        </w:tc>
        <w:tc>
          <w:tcPr>
            <w:tcW w:w="7290" w:type="dxa"/>
            <w:shd w:val="clear" w:color="auto" w:fill="FFFFFF"/>
            <w:tcMar>
              <w:top w:w="30" w:type="dxa"/>
              <w:left w:w="30" w:type="dxa"/>
              <w:bottom w:w="30" w:type="dxa"/>
              <w:right w:w="30" w:type="dxa"/>
            </w:tcMar>
            <w:vAlign w:val="center"/>
            <w:hideMark/>
          </w:tcPr>
          <w:p w14:paraId="1DE02A95"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of book title Secrets of Italian Cooking</w:t>
            </w:r>
          </w:p>
        </w:tc>
      </w:tr>
      <w:tr w:rsidR="00AD55FE" w:rsidRPr="00AD55FE" w14:paraId="45974614" w14:textId="77777777" w:rsidTr="00AD55FE">
        <w:tc>
          <w:tcPr>
            <w:tcW w:w="2070" w:type="dxa"/>
            <w:shd w:val="clear" w:color="auto" w:fill="FFFFFF"/>
            <w:tcMar>
              <w:top w:w="30" w:type="dxa"/>
              <w:left w:w="30" w:type="dxa"/>
              <w:bottom w:w="30" w:type="dxa"/>
              <w:right w:w="30" w:type="dxa"/>
            </w:tcMar>
            <w:vAlign w:val="center"/>
            <w:hideMark/>
          </w:tcPr>
          <w:p w14:paraId="74F02535"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ItalAtlas</w:t>
            </w:r>
            <w:proofErr w:type="spellEnd"/>
          </w:p>
        </w:tc>
        <w:tc>
          <w:tcPr>
            <w:tcW w:w="7290" w:type="dxa"/>
            <w:shd w:val="clear" w:color="auto" w:fill="FFFFFF"/>
            <w:tcMar>
              <w:top w:w="30" w:type="dxa"/>
              <w:left w:w="30" w:type="dxa"/>
              <w:bottom w:w="30" w:type="dxa"/>
              <w:right w:w="30" w:type="dxa"/>
            </w:tcMar>
            <w:vAlign w:val="center"/>
            <w:hideMark/>
          </w:tcPr>
          <w:p w14:paraId="3BD06AA0"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of book title Historical Atlas of Italy</w:t>
            </w:r>
          </w:p>
        </w:tc>
      </w:tr>
      <w:tr w:rsidR="00AD55FE" w:rsidRPr="00AD55FE" w14:paraId="20AD7671" w14:textId="77777777" w:rsidTr="00AD55FE">
        <w:tc>
          <w:tcPr>
            <w:tcW w:w="2070" w:type="dxa"/>
            <w:shd w:val="clear" w:color="auto" w:fill="FFFFFF"/>
            <w:tcMar>
              <w:top w:w="30" w:type="dxa"/>
              <w:left w:w="30" w:type="dxa"/>
              <w:bottom w:w="30" w:type="dxa"/>
              <w:right w:w="30" w:type="dxa"/>
            </w:tcMar>
            <w:vAlign w:val="center"/>
            <w:hideMark/>
          </w:tcPr>
          <w:p w14:paraId="576851D1" w14:textId="77777777" w:rsidR="00AD55FE" w:rsidRPr="00AD55FE" w:rsidRDefault="00AD55FE" w:rsidP="00AD55FE">
            <w:pPr>
              <w:spacing w:before="180" w:after="180"/>
              <w:rPr>
                <w:rFonts w:ascii="Open Sans" w:eastAsia="Times New Roman" w:hAnsi="Open Sans" w:cs="Open Sans"/>
                <w:color w:val="2A2B2E"/>
                <w:lang w:eastAsia="en-GB"/>
              </w:rPr>
            </w:pPr>
            <w:proofErr w:type="spellStart"/>
            <w:r w:rsidRPr="00AD55FE">
              <w:rPr>
                <w:rFonts w:ascii="Open Sans" w:eastAsia="Times New Roman" w:hAnsi="Open Sans" w:cs="Open Sans"/>
                <w:color w:val="2A2B2E"/>
                <w:lang w:eastAsia="en-GB"/>
              </w:rPr>
              <w:t>ItalArt</w:t>
            </w:r>
            <w:proofErr w:type="spellEnd"/>
          </w:p>
        </w:tc>
        <w:tc>
          <w:tcPr>
            <w:tcW w:w="7290" w:type="dxa"/>
            <w:shd w:val="clear" w:color="auto" w:fill="FFFFFF"/>
            <w:tcMar>
              <w:top w:w="30" w:type="dxa"/>
              <w:left w:w="30" w:type="dxa"/>
              <w:bottom w:w="30" w:type="dxa"/>
              <w:right w:w="30" w:type="dxa"/>
            </w:tcMar>
            <w:vAlign w:val="center"/>
            <w:hideMark/>
          </w:tcPr>
          <w:p w14:paraId="5817B5FC"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Number of purchases of book title Italian Art</w:t>
            </w:r>
          </w:p>
        </w:tc>
      </w:tr>
      <w:tr w:rsidR="00AD55FE" w:rsidRPr="00AD55FE" w14:paraId="7D96FC9E" w14:textId="77777777" w:rsidTr="00AD55FE">
        <w:tc>
          <w:tcPr>
            <w:tcW w:w="2070" w:type="dxa"/>
            <w:shd w:val="clear" w:color="auto" w:fill="FFFFFF"/>
            <w:tcMar>
              <w:top w:w="30" w:type="dxa"/>
              <w:left w:w="30" w:type="dxa"/>
              <w:bottom w:w="30" w:type="dxa"/>
              <w:right w:w="30" w:type="dxa"/>
            </w:tcMar>
            <w:vAlign w:val="center"/>
            <w:hideMark/>
          </w:tcPr>
          <w:p w14:paraId="39A58420"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Florence</w:t>
            </w:r>
          </w:p>
        </w:tc>
        <w:tc>
          <w:tcPr>
            <w:tcW w:w="7290" w:type="dxa"/>
            <w:shd w:val="clear" w:color="auto" w:fill="FFFFFF"/>
            <w:tcMar>
              <w:top w:w="30" w:type="dxa"/>
              <w:left w:w="30" w:type="dxa"/>
              <w:bottom w:w="30" w:type="dxa"/>
              <w:right w:w="30" w:type="dxa"/>
            </w:tcMar>
            <w:vAlign w:val="center"/>
            <w:hideMark/>
          </w:tcPr>
          <w:p w14:paraId="1DCA8682" w14:textId="77777777" w:rsidR="00AD55FE" w:rsidRPr="00AD55FE" w:rsidRDefault="00AD55FE" w:rsidP="00AD55FE">
            <w:pPr>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 1 if The Art History of Florence was bought; = 0 if not</w:t>
            </w:r>
          </w:p>
        </w:tc>
      </w:tr>
    </w:tbl>
    <w:p w14:paraId="24663FF9" w14:textId="77777777" w:rsidR="00AD55FE" w:rsidRPr="00AD55FE" w:rsidRDefault="00AD55FE" w:rsidP="00AD55FE">
      <w:pPr>
        <w:shd w:val="clear" w:color="auto" w:fill="FFFFFF"/>
        <w:spacing w:before="90" w:after="90"/>
        <w:outlineLvl w:val="1"/>
        <w:rPr>
          <w:rFonts w:ascii="Open Sans" w:eastAsia="Times New Roman" w:hAnsi="Open Sans" w:cs="Open Sans"/>
          <w:color w:val="2A2B2E"/>
          <w:sz w:val="43"/>
          <w:szCs w:val="43"/>
          <w:lang w:eastAsia="en-GB"/>
        </w:rPr>
      </w:pPr>
      <w:r w:rsidRPr="00AD55FE">
        <w:rPr>
          <w:rFonts w:ascii="Open Sans" w:eastAsia="Times New Roman" w:hAnsi="Open Sans" w:cs="Open Sans"/>
          <w:color w:val="2A2B2E"/>
          <w:sz w:val="43"/>
          <w:szCs w:val="43"/>
          <w:lang w:eastAsia="en-GB"/>
        </w:rPr>
        <w:t>Data Mining Techniques</w:t>
      </w:r>
    </w:p>
    <w:p w14:paraId="01B0EFA1" w14:textId="77777777" w:rsidR="00AD55FE" w:rsidRPr="00AD55FE" w:rsidRDefault="00AD55FE" w:rsidP="00AD55FE">
      <w:pPr>
        <w:shd w:val="clear" w:color="auto" w:fill="FFFFFF"/>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Various data mining techniques can be used to mine the data collected from the market test. No one technique is universally better than another. The particular context and the particular characteristics of the data are the major factors in determining which techniques perform better in an application. For this assignment, we focus on four fundamental techniques:</w:t>
      </w:r>
    </w:p>
    <w:p w14:paraId="7BE5A17E" w14:textId="77777777" w:rsidR="00AD55FE" w:rsidRPr="00AD55FE" w:rsidRDefault="00AD55FE" w:rsidP="00AD55FE">
      <w:pPr>
        <w:numPr>
          <w:ilvl w:val="0"/>
          <w:numId w:val="7"/>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 xml:space="preserve">K Nearest </w:t>
      </w:r>
      <w:proofErr w:type="spellStart"/>
      <w:r w:rsidRPr="00AD55FE">
        <w:rPr>
          <w:rFonts w:ascii="Open Sans" w:eastAsia="Times New Roman" w:hAnsi="Open Sans" w:cs="Open Sans"/>
          <w:color w:val="2A2B2E"/>
          <w:lang w:eastAsia="en-GB"/>
        </w:rPr>
        <w:t>Neighbors</w:t>
      </w:r>
      <w:proofErr w:type="spellEnd"/>
    </w:p>
    <w:p w14:paraId="33714CD9" w14:textId="77777777" w:rsidR="00AD55FE" w:rsidRPr="00AD55FE" w:rsidRDefault="00AD55FE" w:rsidP="00AD55FE">
      <w:pPr>
        <w:numPr>
          <w:ilvl w:val="0"/>
          <w:numId w:val="7"/>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Classification Trees</w:t>
      </w:r>
    </w:p>
    <w:p w14:paraId="1C9DE4CB" w14:textId="77777777" w:rsidR="00AD55FE" w:rsidRPr="00AD55FE" w:rsidRDefault="00AD55FE" w:rsidP="00AD55FE">
      <w:pPr>
        <w:numPr>
          <w:ilvl w:val="0"/>
          <w:numId w:val="7"/>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Random Forest</w:t>
      </w:r>
    </w:p>
    <w:p w14:paraId="705F0FEB" w14:textId="77777777" w:rsidR="00AD55FE" w:rsidRPr="00AD55FE" w:rsidRDefault="00AD55FE" w:rsidP="00AD55FE">
      <w:pPr>
        <w:numPr>
          <w:ilvl w:val="0"/>
          <w:numId w:val="7"/>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Boosted Trees</w:t>
      </w:r>
    </w:p>
    <w:p w14:paraId="09F291DA" w14:textId="77777777" w:rsidR="00AD55FE" w:rsidRPr="00AD55FE" w:rsidRDefault="00AD55FE" w:rsidP="00AD55FE">
      <w:pPr>
        <w:numPr>
          <w:ilvl w:val="0"/>
          <w:numId w:val="7"/>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Logistic Regression</w:t>
      </w:r>
    </w:p>
    <w:p w14:paraId="39D205D4" w14:textId="77777777" w:rsidR="00AD55FE" w:rsidRPr="00AD55FE" w:rsidRDefault="00AD55FE" w:rsidP="00AD55FE">
      <w:pPr>
        <w:shd w:val="clear" w:color="auto" w:fill="FFFFFF"/>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In the direct marketing business, the most commonly used variables are the RFM variables:</w:t>
      </w:r>
    </w:p>
    <w:p w14:paraId="4936613E" w14:textId="77777777" w:rsidR="00AD55FE" w:rsidRPr="00AD55FE" w:rsidRDefault="00AD55FE" w:rsidP="00AD55FE">
      <w:pPr>
        <w:numPr>
          <w:ilvl w:val="0"/>
          <w:numId w:val="8"/>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R = recency, time since last purchase</w:t>
      </w:r>
    </w:p>
    <w:p w14:paraId="463D6F73" w14:textId="77777777" w:rsidR="00AD55FE" w:rsidRPr="00AD55FE" w:rsidRDefault="00AD55FE" w:rsidP="00AD55FE">
      <w:pPr>
        <w:numPr>
          <w:ilvl w:val="0"/>
          <w:numId w:val="8"/>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F = frequency, number of previous purchases from the company over a period</w:t>
      </w:r>
    </w:p>
    <w:p w14:paraId="3DE96625" w14:textId="77777777" w:rsidR="00AD55FE" w:rsidRPr="00AD55FE" w:rsidRDefault="00AD55FE" w:rsidP="00AD55FE">
      <w:pPr>
        <w:numPr>
          <w:ilvl w:val="0"/>
          <w:numId w:val="8"/>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M = monetary, amount of money spent on the company’s products over a period</w:t>
      </w:r>
    </w:p>
    <w:p w14:paraId="3E006B57" w14:textId="77777777" w:rsidR="00AD55FE" w:rsidRPr="00AD55FE" w:rsidRDefault="00AD55FE" w:rsidP="00AD55FE">
      <w:pPr>
        <w:shd w:val="clear" w:color="auto" w:fill="FFFFFF"/>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The assumption is that the more recent the last purchase, the more products bought from the company in the past, and the more money spent in the past buying the company’s products, the more likely the customer is to purchase the product offered.</w:t>
      </w:r>
    </w:p>
    <w:p w14:paraId="3122B08A" w14:textId="77777777" w:rsidR="00AD55FE" w:rsidRPr="00AD55FE" w:rsidRDefault="00AD55FE" w:rsidP="00AD55FE">
      <w:pPr>
        <w:shd w:val="clear" w:color="auto" w:fill="FFFFFF"/>
        <w:spacing w:before="180" w:after="18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lastRenderedPageBreak/>
        <w:t>For </w:t>
      </w:r>
      <w:r w:rsidRPr="00AD55FE">
        <w:rPr>
          <w:rFonts w:ascii="Open Sans" w:eastAsia="Times New Roman" w:hAnsi="Open Sans" w:cs="Open Sans"/>
          <w:i/>
          <w:iCs/>
          <w:color w:val="2A2B2E"/>
          <w:lang w:eastAsia="en-GB"/>
        </w:rPr>
        <w:t>The Art History of Florence</w:t>
      </w:r>
      <w:r w:rsidRPr="00AD55FE">
        <w:rPr>
          <w:rFonts w:ascii="Open Sans" w:eastAsia="Times New Roman" w:hAnsi="Open Sans" w:cs="Open Sans"/>
          <w:color w:val="2A2B2E"/>
          <w:lang w:eastAsia="en-GB"/>
        </w:rPr>
        <w:t>, CBC wants to use the following all the explanatory variables (including R, F, and M) in the data to predict whether a customer would order the book.</w:t>
      </w:r>
    </w:p>
    <w:p w14:paraId="1ADB5FFF" w14:textId="77777777" w:rsidR="00AD55FE" w:rsidRPr="00AD55FE" w:rsidRDefault="00AD55FE" w:rsidP="00AD55FE">
      <w:pPr>
        <w:shd w:val="clear" w:color="auto" w:fill="FFFFFF"/>
        <w:spacing w:before="90" w:after="90"/>
        <w:outlineLvl w:val="1"/>
        <w:rPr>
          <w:rFonts w:ascii="Open Sans" w:eastAsia="Times New Roman" w:hAnsi="Open Sans" w:cs="Open Sans"/>
          <w:color w:val="2A2B2E"/>
          <w:sz w:val="43"/>
          <w:szCs w:val="43"/>
          <w:lang w:eastAsia="en-GB"/>
        </w:rPr>
      </w:pPr>
      <w:r w:rsidRPr="00AD55FE">
        <w:rPr>
          <w:rFonts w:ascii="Open Sans" w:eastAsia="Times New Roman" w:hAnsi="Open Sans" w:cs="Open Sans"/>
          <w:color w:val="2A2B2E"/>
          <w:sz w:val="43"/>
          <w:szCs w:val="43"/>
          <w:lang w:eastAsia="en-GB"/>
        </w:rPr>
        <w:t>Assignment:</w:t>
      </w:r>
    </w:p>
    <w:p w14:paraId="6CFE8683"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Data partitioning and exploration (10 points)</w:t>
      </w:r>
    </w:p>
    <w:p w14:paraId="7B7B375D"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Partition the data into training (60%) and validation (40%). Use seed = 1.</w:t>
      </w:r>
    </w:p>
    <w:p w14:paraId="4107DAA7"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What is the response rate for the training data customers taken as a whole?</w:t>
      </w:r>
    </w:p>
    <w:p w14:paraId="655C19D9"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Plot the response rate by the Recency variable?</w:t>
      </w:r>
    </w:p>
    <w:p w14:paraId="19588A3A"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Plot the response rate by the Monetary variable?</w:t>
      </w:r>
    </w:p>
    <w:p w14:paraId="74BB983A"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Plot the response rate by the Frequency variable?</w:t>
      </w:r>
    </w:p>
    <w:p w14:paraId="5BCBDC02"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 xml:space="preserve">k-Nearest </w:t>
      </w:r>
      <w:proofErr w:type="spellStart"/>
      <w:r w:rsidRPr="00AD55FE">
        <w:rPr>
          <w:rFonts w:ascii="Open Sans" w:eastAsia="Times New Roman" w:hAnsi="Open Sans" w:cs="Open Sans"/>
          <w:color w:val="2A2B2E"/>
          <w:lang w:eastAsia="en-GB"/>
        </w:rPr>
        <w:t>Neighbors</w:t>
      </w:r>
      <w:proofErr w:type="spellEnd"/>
      <w:r w:rsidRPr="00AD55FE">
        <w:rPr>
          <w:rFonts w:ascii="Open Sans" w:eastAsia="Times New Roman" w:hAnsi="Open Sans" w:cs="Open Sans"/>
          <w:color w:val="2A2B2E"/>
          <w:lang w:eastAsia="en-GB"/>
        </w:rPr>
        <w:t xml:space="preserve"> (20 points): Use the training set to construct a k-nearest-</w:t>
      </w:r>
      <w:proofErr w:type="spellStart"/>
      <w:r w:rsidRPr="00AD55FE">
        <w:rPr>
          <w:rFonts w:ascii="Open Sans" w:eastAsia="Times New Roman" w:hAnsi="Open Sans" w:cs="Open Sans"/>
          <w:color w:val="2A2B2E"/>
          <w:lang w:eastAsia="en-GB"/>
        </w:rPr>
        <w:t>neighbor</w:t>
      </w:r>
      <w:proofErr w:type="spellEnd"/>
      <w:r w:rsidRPr="00AD55FE">
        <w:rPr>
          <w:rFonts w:ascii="Open Sans" w:eastAsia="Times New Roman" w:hAnsi="Open Sans" w:cs="Open Sans"/>
          <w:color w:val="2A2B2E"/>
          <w:lang w:eastAsia="en-GB"/>
        </w:rPr>
        <w:t xml:space="preserve"> approach to classify cases with k = 1, 2, ..., 11, using Florence as the outcome variable. Remember to normalize all the explanatory variables.</w:t>
      </w:r>
    </w:p>
    <w:p w14:paraId="36C42B25"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Based on the validation set, find the best k.</w:t>
      </w:r>
    </w:p>
    <w:p w14:paraId="1EB7EBEE"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Calculate the confusion matrix for the best k model on the validation set and report the Sensitivity, Specificity, Positive Prediction Value, and the overall Accuracy.</w:t>
      </w:r>
    </w:p>
    <w:p w14:paraId="10E2D9DD"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Classification Tree (20 points): Use the training set to construct a classification tree of optimal depth with Florence as the outcome variable and all the explanatory variables.</w:t>
      </w:r>
    </w:p>
    <w:p w14:paraId="69CCA2F0"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Calculate the confusion matrix for the classification tree on the validation set and report the Sensitivity, Specificity, Positive Prediction Value, and the overall Accuracy.</w:t>
      </w:r>
    </w:p>
    <w:p w14:paraId="6A93BF1B"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Random Forest (20 points): Use the training set to construct a random forest with Florence as the outcome variable and all the explanatory variables.</w:t>
      </w:r>
    </w:p>
    <w:p w14:paraId="41175A8E"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Calculate the confusion matrix for the random forest on the validation set and report the Sensitivity, Specificity, Positive Prediction Value, and the overall Accuracy.</w:t>
      </w:r>
    </w:p>
    <w:p w14:paraId="37F9DB12"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Boosted Trees (20 points): Use the training set to construct a boosted trees model with Florence as the outcome variable and all the explanatory variables.</w:t>
      </w:r>
    </w:p>
    <w:p w14:paraId="07560115"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Calculate the confusion matrix for the classification tree on the validation set and report the Sensitivity, Specificity, Positive Prediction Value, and the overall Accuracy.</w:t>
      </w:r>
    </w:p>
    <w:p w14:paraId="0974374F"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lastRenderedPageBreak/>
        <w:t>Logistic Regression (20 points): Use the training set to construct a logistic regression model with Florence as the outcome variable and all the explanatory variables.</w:t>
      </w:r>
    </w:p>
    <w:p w14:paraId="4A7A7969" w14:textId="77777777" w:rsidR="00AD55FE" w:rsidRPr="00AD55FE" w:rsidRDefault="00AD55FE" w:rsidP="00AD55FE">
      <w:pPr>
        <w:numPr>
          <w:ilvl w:val="1"/>
          <w:numId w:val="9"/>
        </w:numPr>
        <w:shd w:val="clear" w:color="auto" w:fill="FFFFFF"/>
        <w:spacing w:before="100" w:beforeAutospacing="1" w:after="100" w:afterAutospacing="1"/>
        <w:ind w:left="2190"/>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 xml:space="preserve">If the </w:t>
      </w:r>
      <w:proofErr w:type="spellStart"/>
      <w:r w:rsidRPr="00AD55FE">
        <w:rPr>
          <w:rFonts w:ascii="Open Sans" w:eastAsia="Times New Roman" w:hAnsi="Open Sans" w:cs="Open Sans"/>
          <w:color w:val="2A2B2E"/>
          <w:lang w:eastAsia="en-GB"/>
        </w:rPr>
        <w:t>cutoff</w:t>
      </w:r>
      <w:proofErr w:type="spellEnd"/>
      <w:r w:rsidRPr="00AD55FE">
        <w:rPr>
          <w:rFonts w:ascii="Open Sans" w:eastAsia="Times New Roman" w:hAnsi="Open Sans" w:cs="Open Sans"/>
          <w:color w:val="2A2B2E"/>
          <w:lang w:eastAsia="en-GB"/>
        </w:rPr>
        <w:t xml:space="preserve"> criterion for a campaign is a 30% likelihood of a purchase, calculate the confusion matrix on the validation set and report the Sensitivity, Specificity, Positive Prediction Value, and the overall Accuracy.</w:t>
      </w:r>
    </w:p>
    <w:p w14:paraId="57909553" w14:textId="77777777" w:rsidR="00AD55FE" w:rsidRPr="00AD55FE" w:rsidRDefault="00AD55FE" w:rsidP="00AD55FE">
      <w:pPr>
        <w:numPr>
          <w:ilvl w:val="0"/>
          <w:numId w:val="9"/>
        </w:numPr>
        <w:shd w:val="clear" w:color="auto" w:fill="FFFFFF"/>
        <w:spacing w:before="100" w:beforeAutospacing="1" w:after="100" w:afterAutospacing="1"/>
        <w:ind w:left="1095"/>
        <w:rPr>
          <w:rFonts w:ascii="Open Sans" w:eastAsia="Times New Roman" w:hAnsi="Open Sans" w:cs="Open Sans"/>
          <w:color w:val="2A2B2E"/>
          <w:lang w:eastAsia="en-GB"/>
        </w:rPr>
      </w:pPr>
      <w:r w:rsidRPr="00AD55FE">
        <w:rPr>
          <w:rFonts w:ascii="Open Sans" w:eastAsia="Times New Roman" w:hAnsi="Open Sans" w:cs="Open Sans"/>
          <w:color w:val="2A2B2E"/>
          <w:lang w:eastAsia="en-GB"/>
        </w:rPr>
        <w:t>Final Recommendation (10 points): Create a table with the Sensitivity, Specificity, Positive Prediction Value, and the overall Accuracy for each of the four data mining techniques above. Based on these results, which technique (if any) would you recommend that CBC use for to determine their mailing list for </w:t>
      </w:r>
      <w:r w:rsidRPr="00AD55FE">
        <w:rPr>
          <w:rFonts w:ascii="Open Sans" w:eastAsia="Times New Roman" w:hAnsi="Open Sans" w:cs="Open Sans"/>
          <w:i/>
          <w:iCs/>
          <w:color w:val="2A2B2E"/>
          <w:lang w:eastAsia="en-GB"/>
        </w:rPr>
        <w:t>The Art History of Florence?</w:t>
      </w:r>
    </w:p>
    <w:p w14:paraId="1B9F0ACB" w14:textId="77777777" w:rsidR="00FB4872" w:rsidRDefault="00FB4872"/>
    <w:sectPr w:rsidR="00FB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1313"/>
    <w:multiLevelType w:val="multilevel"/>
    <w:tmpl w:val="FBB0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A2CF1"/>
    <w:multiLevelType w:val="multilevel"/>
    <w:tmpl w:val="881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69CB"/>
    <w:multiLevelType w:val="multilevel"/>
    <w:tmpl w:val="AAC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80A"/>
    <w:multiLevelType w:val="multilevel"/>
    <w:tmpl w:val="1B8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46128"/>
    <w:multiLevelType w:val="multilevel"/>
    <w:tmpl w:val="034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757A"/>
    <w:multiLevelType w:val="multilevel"/>
    <w:tmpl w:val="4B3C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3140E"/>
    <w:multiLevelType w:val="multilevel"/>
    <w:tmpl w:val="093E1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72B75"/>
    <w:multiLevelType w:val="multilevel"/>
    <w:tmpl w:val="B2A03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A1066"/>
    <w:multiLevelType w:val="multilevel"/>
    <w:tmpl w:val="91E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957286">
    <w:abstractNumId w:val="3"/>
  </w:num>
  <w:num w:numId="2" w16cid:durableId="493573492">
    <w:abstractNumId w:val="0"/>
  </w:num>
  <w:num w:numId="3" w16cid:durableId="245696504">
    <w:abstractNumId w:val="4"/>
  </w:num>
  <w:num w:numId="4" w16cid:durableId="1948347621">
    <w:abstractNumId w:val="7"/>
  </w:num>
  <w:num w:numId="5" w16cid:durableId="1753695785">
    <w:abstractNumId w:val="8"/>
  </w:num>
  <w:num w:numId="6" w16cid:durableId="1643120737">
    <w:abstractNumId w:val="5"/>
  </w:num>
  <w:num w:numId="7" w16cid:durableId="476069437">
    <w:abstractNumId w:val="1"/>
  </w:num>
  <w:num w:numId="8" w16cid:durableId="1917400374">
    <w:abstractNumId w:val="2"/>
  </w:num>
  <w:num w:numId="9" w16cid:durableId="671294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FE"/>
    <w:rsid w:val="002D29AA"/>
    <w:rsid w:val="009201D5"/>
    <w:rsid w:val="00AD55FE"/>
    <w:rsid w:val="00FB4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C00334"/>
  <w15:chartTrackingRefBased/>
  <w15:docId w15:val="{DC8E7902-14F6-1C48-B194-61BEE2D2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55F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5F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D55F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D55FE"/>
    <w:rPr>
      <w:b/>
      <w:bCs/>
    </w:rPr>
  </w:style>
  <w:style w:type="character" w:styleId="Emphasis">
    <w:name w:val="Emphasis"/>
    <w:basedOn w:val="DefaultParagraphFont"/>
    <w:uiPriority w:val="20"/>
    <w:qFormat/>
    <w:rsid w:val="00AD55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1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m25158</dc:creator>
  <cp:keywords/>
  <dc:description/>
  <cp:lastModifiedBy>m25158</cp:lastModifiedBy>
  <cp:revision>2</cp:revision>
  <dcterms:created xsi:type="dcterms:W3CDTF">2022-10-21T00:21:00Z</dcterms:created>
  <dcterms:modified xsi:type="dcterms:W3CDTF">2022-10-21T03:20:00Z</dcterms:modified>
</cp:coreProperties>
</file>