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3152" w14:textId="77777777" w:rsidR="009343DE" w:rsidRDefault="00000000">
      <w:pPr>
        <w:pStyle w:val="Heading1"/>
      </w:pPr>
      <w:bookmarkStart w:id="0" w:name="llm-validation-framework"/>
      <w:r>
        <w:t>LLM Validation Framework</w:t>
      </w:r>
    </w:p>
    <w:p w14:paraId="199DF833" w14:textId="77777777" w:rsidR="009343DE" w:rsidRDefault="00000000">
      <w:pPr>
        <w:pStyle w:val="FirstParagraph"/>
      </w:pPr>
      <w:r>
        <w:rPr>
          <w:b/>
          <w:bCs/>
        </w:rPr>
        <w:t>End-to-End Blackbox Testing from the User Perspective</w:t>
      </w:r>
    </w:p>
    <w:p w14:paraId="5C477519" w14:textId="77777777" w:rsidR="009343DE" w:rsidRDefault="005E45FE">
      <w:r>
        <w:rPr>
          <w:noProof/>
        </w:rPr>
        <w:pict w14:anchorId="51003755">
          <v:rect id="_x0000_i1037" alt="" style="width:468pt;height:.05pt;mso-width-percent:0;mso-height-percent:0;mso-width-percent:0;mso-height-percent:0" o:hralign="center" o:hrstd="t" o:hr="t"/>
        </w:pict>
      </w:r>
    </w:p>
    <w:p w14:paraId="3C641F3E" w14:textId="77777777" w:rsidR="009343DE" w:rsidRDefault="00000000">
      <w:pPr>
        <w:pStyle w:val="Heading2"/>
      </w:pPr>
      <w:bookmarkStart w:id="1" w:name="table-of-contents"/>
      <w:r>
        <w:t>Table of Contents</w:t>
      </w:r>
    </w:p>
    <w:p w14:paraId="680F5B39" w14:textId="77777777" w:rsidR="009343DE" w:rsidRDefault="00000000">
      <w:pPr>
        <w:pStyle w:val="Compact"/>
        <w:numPr>
          <w:ilvl w:val="0"/>
          <w:numId w:val="2"/>
        </w:numPr>
      </w:pPr>
      <w:hyperlink w:anchor="what-we-measure-and-why">
        <w:r>
          <w:rPr>
            <w:rStyle w:val="Hyperlink"/>
          </w:rPr>
          <w:t>What We Measure and Why</w:t>
        </w:r>
      </w:hyperlink>
    </w:p>
    <w:p w14:paraId="302B8169" w14:textId="77777777" w:rsidR="009343DE" w:rsidRDefault="00000000">
      <w:pPr>
        <w:pStyle w:val="Compact"/>
        <w:numPr>
          <w:ilvl w:val="0"/>
          <w:numId w:val="2"/>
        </w:numPr>
      </w:pPr>
      <w:hyperlink w:anchor="six-dimensions-of-validation">
        <w:r>
          <w:rPr>
            <w:rStyle w:val="Hyperlink"/>
          </w:rPr>
          <w:t>Six Dimensions of Validation</w:t>
        </w:r>
      </w:hyperlink>
    </w:p>
    <w:p w14:paraId="10105B9C" w14:textId="77777777" w:rsidR="009343DE" w:rsidRDefault="00000000">
      <w:pPr>
        <w:pStyle w:val="Compact"/>
        <w:numPr>
          <w:ilvl w:val="1"/>
          <w:numId w:val="3"/>
        </w:numPr>
      </w:pPr>
      <w:hyperlink w:anchor="X1d2d220f3fad40ba018ed3875dede677667ce6b">
        <w:r>
          <w:rPr>
            <w:rStyle w:val="Hyperlink"/>
          </w:rPr>
          <w:t>Retrieval Validation</w:t>
        </w:r>
      </w:hyperlink>
    </w:p>
    <w:p w14:paraId="5E972791" w14:textId="77777777" w:rsidR="009343DE" w:rsidRDefault="00000000">
      <w:pPr>
        <w:pStyle w:val="Compact"/>
        <w:numPr>
          <w:ilvl w:val="1"/>
          <w:numId w:val="3"/>
        </w:numPr>
      </w:pPr>
      <w:hyperlink w:anchor="Xb30780062e35848ab38396728fdfcbe2dc61ec5">
        <w:r>
          <w:rPr>
            <w:rStyle w:val="Hyperlink"/>
          </w:rPr>
          <w:t>Q&amp;A Validation</w:t>
        </w:r>
      </w:hyperlink>
    </w:p>
    <w:p w14:paraId="67D5D2D8" w14:textId="77777777" w:rsidR="009343DE" w:rsidRDefault="00000000">
      <w:pPr>
        <w:pStyle w:val="Compact"/>
        <w:numPr>
          <w:ilvl w:val="1"/>
          <w:numId w:val="3"/>
        </w:numPr>
      </w:pPr>
      <w:hyperlink w:anchor="X1da5888916266141e7f69cb40a7038457a204c9">
        <w:r>
          <w:rPr>
            <w:rStyle w:val="Hyperlink"/>
          </w:rPr>
          <w:t>Tone/Politeness Validation</w:t>
        </w:r>
      </w:hyperlink>
    </w:p>
    <w:p w14:paraId="11069B43" w14:textId="77777777" w:rsidR="009343DE" w:rsidRDefault="00000000">
      <w:pPr>
        <w:pStyle w:val="Compact"/>
        <w:numPr>
          <w:ilvl w:val="1"/>
          <w:numId w:val="3"/>
        </w:numPr>
      </w:pPr>
      <w:hyperlink w:anchor="X401e55a26a652ef3fe0028de255aad1b915a088">
        <w:r>
          <w:rPr>
            <w:rStyle w:val="Hyperlink"/>
          </w:rPr>
          <w:t>Risk/Guardrails Validation</w:t>
        </w:r>
      </w:hyperlink>
    </w:p>
    <w:p w14:paraId="457F174E" w14:textId="77777777" w:rsidR="009343DE" w:rsidRDefault="00000000">
      <w:pPr>
        <w:pStyle w:val="Compact"/>
        <w:numPr>
          <w:ilvl w:val="1"/>
          <w:numId w:val="3"/>
        </w:numPr>
      </w:pPr>
      <w:hyperlink w:anchor="X693b3eb5dfdfb0a786014e64d0606d691c32a30">
        <w:r>
          <w:rPr>
            <w:rStyle w:val="Hyperlink"/>
          </w:rPr>
          <w:t>Hallucination Validation</w:t>
        </w:r>
      </w:hyperlink>
    </w:p>
    <w:p w14:paraId="37ADED7E" w14:textId="77777777" w:rsidR="009343DE" w:rsidRDefault="00000000">
      <w:pPr>
        <w:pStyle w:val="Compact"/>
        <w:numPr>
          <w:ilvl w:val="1"/>
          <w:numId w:val="3"/>
        </w:numPr>
      </w:pPr>
      <w:hyperlink w:anchor="X2671f3a8bbd9a4ddc36c6f116b52390b3bed149">
        <w:r>
          <w:rPr>
            <w:rStyle w:val="Hyperlink"/>
          </w:rPr>
          <w:t>Bad-Actor Attack Validation</w:t>
        </w:r>
      </w:hyperlink>
    </w:p>
    <w:p w14:paraId="267CD2AB" w14:textId="77777777" w:rsidR="009343DE" w:rsidRDefault="00000000">
      <w:pPr>
        <w:pStyle w:val="Compact"/>
        <w:numPr>
          <w:ilvl w:val="0"/>
          <w:numId w:val="2"/>
        </w:numPr>
      </w:pPr>
      <w:hyperlink w:anchor="summary-table">
        <w:r>
          <w:rPr>
            <w:rStyle w:val="Hyperlink"/>
          </w:rPr>
          <w:t>Summary</w:t>
        </w:r>
      </w:hyperlink>
    </w:p>
    <w:p w14:paraId="1DAAA012" w14:textId="77777777" w:rsidR="009343DE" w:rsidRDefault="00000000">
      <w:pPr>
        <w:pStyle w:val="Compact"/>
        <w:numPr>
          <w:ilvl w:val="0"/>
          <w:numId w:val="2"/>
        </w:numPr>
      </w:pPr>
      <w:hyperlink w:anchor="Xf558f5e4d610c7c2f43d72bebc5d2ddf3b959b8">
        <w:r>
          <w:rPr>
            <w:rStyle w:val="Hyperlink"/>
          </w:rPr>
          <w:t>Appendix A: Overlap Metrics</w:t>
        </w:r>
      </w:hyperlink>
    </w:p>
    <w:p w14:paraId="35CBA3FD" w14:textId="77777777" w:rsidR="009343DE" w:rsidRDefault="00000000">
      <w:pPr>
        <w:pStyle w:val="Compact"/>
        <w:numPr>
          <w:ilvl w:val="0"/>
          <w:numId w:val="2"/>
        </w:numPr>
      </w:pPr>
      <w:hyperlink w:anchor="Xd6496b635a16f2ea8595735605b9f8a4082f9ff">
        <w:r>
          <w:rPr>
            <w:rStyle w:val="Hyperlink"/>
          </w:rPr>
          <w:t>Appendix B: Quality Metrics</w:t>
        </w:r>
      </w:hyperlink>
    </w:p>
    <w:p w14:paraId="605EE565" w14:textId="77777777" w:rsidR="009343DE" w:rsidRDefault="00000000">
      <w:pPr>
        <w:pStyle w:val="Compact"/>
        <w:numPr>
          <w:ilvl w:val="0"/>
          <w:numId w:val="2"/>
        </w:numPr>
      </w:pPr>
      <w:hyperlink w:anchor="X5a6166d4ffc0e913f2c315ed4839a3c590aa8c5">
        <w:r>
          <w:rPr>
            <w:rStyle w:val="Hyperlink"/>
          </w:rPr>
          <w:t>Appendix C: Retrieval Metrics</w:t>
        </w:r>
      </w:hyperlink>
    </w:p>
    <w:p w14:paraId="33932E48" w14:textId="77777777" w:rsidR="009343DE" w:rsidRDefault="00000000">
      <w:pPr>
        <w:pStyle w:val="Compact"/>
        <w:numPr>
          <w:ilvl w:val="0"/>
          <w:numId w:val="2"/>
        </w:numPr>
      </w:pPr>
      <w:hyperlink w:anchor="Xa3a1cc76bfcb30829e7079bee7b99147a590b94">
        <w:r>
          <w:rPr>
            <w:rStyle w:val="Hyperlink"/>
          </w:rPr>
          <w:t>Appendix D: Text Metrics</w:t>
        </w:r>
      </w:hyperlink>
    </w:p>
    <w:p w14:paraId="30634AC9" w14:textId="77777777" w:rsidR="009343DE" w:rsidRDefault="005E45FE">
      <w:r>
        <w:rPr>
          <w:noProof/>
        </w:rPr>
        <w:pict w14:anchorId="75A1CF21">
          <v:rect id="_x0000_i1036" alt="" style="width:468pt;height:.05pt;mso-width-percent:0;mso-height-percent:0;mso-width-percent:0;mso-height-percent:0" o:hralign="center" o:hrstd="t" o:hr="t"/>
        </w:pict>
      </w:r>
    </w:p>
    <w:p w14:paraId="6C38D78F" w14:textId="77777777" w:rsidR="009343DE" w:rsidRDefault="00000000">
      <w:pPr>
        <w:pStyle w:val="Heading2"/>
      </w:pPr>
      <w:bookmarkStart w:id="2" w:name="what-we-measure-and-why"/>
      <w:bookmarkEnd w:id="1"/>
      <w:r>
        <w:t>What We Measure and Why</w:t>
      </w:r>
    </w:p>
    <w:p w14:paraId="5BB28148" w14:textId="77777777" w:rsidR="009343DE" w:rsidRDefault="00000000">
      <w:pPr>
        <w:pStyle w:val="FirstParagraph"/>
      </w:pPr>
      <w:r>
        <w:t xml:space="preserve">We measure the system </w:t>
      </w:r>
      <w:r>
        <w:rPr>
          <w:b/>
          <w:bCs/>
        </w:rPr>
        <w:t>as a whole</w:t>
      </w:r>
      <w:r>
        <w:t xml:space="preserve"> (blackbox testing) from the </w:t>
      </w:r>
      <w:r>
        <w:rPr>
          <w:b/>
          <w:bCs/>
        </w:rPr>
        <w:t>point of view of the user</w:t>
      </w:r>
      <w:r>
        <w:t>. This end-to-end approach validates the complete user experience, similar to how the audit team identified issues in VoiceBot by testing from the user’s perspective.</w:t>
      </w:r>
    </w:p>
    <w:p w14:paraId="6A169C6B" w14:textId="77777777" w:rsidR="009343DE" w:rsidRDefault="00000000">
      <w:pPr>
        <w:pStyle w:val="Heading3"/>
      </w:pPr>
      <w:bookmarkStart w:id="3" w:name="Xc58933178428b6e32fc7b8226913cc2114948b7"/>
      <w:r>
        <w:t>Complementary to Development Team Testing</w:t>
      </w:r>
    </w:p>
    <w:p w14:paraId="007B98FB" w14:textId="77777777" w:rsidR="009343DE" w:rsidRDefault="00000000">
      <w:pPr>
        <w:pStyle w:val="FirstParagraph"/>
      </w:pPr>
      <w:r>
        <w:t>Our validation approach is complementary to what the development team measures:</w:t>
      </w:r>
    </w:p>
    <w:tbl>
      <w:tblPr>
        <w:tblStyle w:val="Table"/>
        <w:tblW w:w="5000" w:type="pct"/>
        <w:tblLayout w:type="fixed"/>
        <w:tblLook w:val="0020" w:firstRow="1" w:lastRow="0" w:firstColumn="0" w:lastColumn="0" w:noHBand="0" w:noVBand="0"/>
      </w:tblPr>
      <w:tblGrid>
        <w:gridCol w:w="5455"/>
        <w:gridCol w:w="4121"/>
      </w:tblGrid>
      <w:tr w:rsidR="009343DE" w14:paraId="4BEE2C6F" w14:textId="77777777" w:rsidTr="009343DE">
        <w:trPr>
          <w:cnfStyle w:val="100000000000" w:firstRow="1" w:lastRow="0" w:firstColumn="0" w:lastColumn="0" w:oddVBand="0" w:evenVBand="0" w:oddHBand="0" w:evenHBand="0" w:firstRowFirstColumn="0" w:firstRowLastColumn="0" w:lastRowFirstColumn="0" w:lastRowLastColumn="0"/>
          <w:tblHeader/>
        </w:trPr>
        <w:tc>
          <w:tcPr>
            <w:tcW w:w="4511" w:type="dxa"/>
          </w:tcPr>
          <w:p w14:paraId="20A87C13" w14:textId="77777777" w:rsidR="009343DE" w:rsidRDefault="00000000">
            <w:pPr>
              <w:pStyle w:val="Compact"/>
            </w:pPr>
            <w:r>
              <w:t>Development Team (Component/Dev Validation)</w:t>
            </w:r>
          </w:p>
        </w:tc>
        <w:tc>
          <w:tcPr>
            <w:tcW w:w="3408" w:type="dxa"/>
          </w:tcPr>
          <w:p w14:paraId="7AACA2CB" w14:textId="77777777" w:rsidR="009343DE" w:rsidRDefault="00000000">
            <w:pPr>
              <w:pStyle w:val="Compact"/>
            </w:pPr>
            <w:r>
              <w:t>Our Team (E2E/Blackbox Testing)</w:t>
            </w:r>
          </w:p>
        </w:tc>
      </w:tr>
      <w:tr w:rsidR="009343DE" w14:paraId="299F8F5C" w14:textId="77777777">
        <w:tc>
          <w:tcPr>
            <w:tcW w:w="4511" w:type="dxa"/>
          </w:tcPr>
          <w:p w14:paraId="0B2B88F3" w14:textId="77777777" w:rsidR="009343DE" w:rsidRDefault="00000000">
            <w:pPr>
              <w:pStyle w:val="Compact"/>
            </w:pPr>
            <w:r>
              <w:t>Unit tests for individual components</w:t>
            </w:r>
          </w:p>
        </w:tc>
        <w:tc>
          <w:tcPr>
            <w:tcW w:w="3408" w:type="dxa"/>
          </w:tcPr>
          <w:p w14:paraId="203197F7" w14:textId="77777777" w:rsidR="009343DE" w:rsidRDefault="00000000">
            <w:pPr>
              <w:pStyle w:val="Compact"/>
            </w:pPr>
            <w:r>
              <w:t>Full system integration testing</w:t>
            </w:r>
          </w:p>
        </w:tc>
      </w:tr>
      <w:tr w:rsidR="009343DE" w14:paraId="50DF96EE" w14:textId="77777777">
        <w:tc>
          <w:tcPr>
            <w:tcW w:w="4511" w:type="dxa"/>
          </w:tcPr>
          <w:p w14:paraId="694B91D7" w14:textId="77777777" w:rsidR="009343DE" w:rsidRDefault="00000000">
            <w:pPr>
              <w:pStyle w:val="Compact"/>
            </w:pPr>
            <w:r>
              <w:t>Model-specific benchmarks</w:t>
            </w:r>
          </w:p>
        </w:tc>
        <w:tc>
          <w:tcPr>
            <w:tcW w:w="3408" w:type="dxa"/>
          </w:tcPr>
          <w:p w14:paraId="1326C1A5" w14:textId="77777777" w:rsidR="009343DE" w:rsidRDefault="00000000">
            <w:pPr>
              <w:pStyle w:val="Compact"/>
            </w:pPr>
            <w:r>
              <w:t>User-facing quality assessment</w:t>
            </w:r>
          </w:p>
        </w:tc>
      </w:tr>
      <w:tr w:rsidR="009343DE" w14:paraId="4FA7D98D" w14:textId="77777777">
        <w:tc>
          <w:tcPr>
            <w:tcW w:w="4511" w:type="dxa"/>
          </w:tcPr>
          <w:p w14:paraId="2CAE06F2" w14:textId="77777777" w:rsidR="009343DE" w:rsidRDefault="00000000">
            <w:pPr>
              <w:pStyle w:val="Compact"/>
            </w:pPr>
            <w:r>
              <w:t>Internal API validation</w:t>
            </w:r>
          </w:p>
        </w:tc>
        <w:tc>
          <w:tcPr>
            <w:tcW w:w="3408" w:type="dxa"/>
          </w:tcPr>
          <w:p w14:paraId="2B4D4DA1" w14:textId="77777777" w:rsidR="009343DE" w:rsidRDefault="00000000">
            <w:pPr>
              <w:pStyle w:val="Compact"/>
            </w:pPr>
            <w:r>
              <w:t>External behavior validation</w:t>
            </w:r>
          </w:p>
        </w:tc>
      </w:tr>
      <w:tr w:rsidR="009343DE" w14:paraId="2A3ED691" w14:textId="77777777">
        <w:tc>
          <w:tcPr>
            <w:tcW w:w="4511" w:type="dxa"/>
          </w:tcPr>
          <w:p w14:paraId="7551DBAC" w14:textId="77777777" w:rsidR="009343DE" w:rsidRDefault="00000000">
            <w:pPr>
              <w:pStyle w:val="Compact"/>
            </w:pPr>
            <w:r>
              <w:t>Performance profiling</w:t>
            </w:r>
          </w:p>
        </w:tc>
        <w:tc>
          <w:tcPr>
            <w:tcW w:w="3408" w:type="dxa"/>
          </w:tcPr>
          <w:p w14:paraId="60655370" w14:textId="77777777" w:rsidR="009343DE" w:rsidRDefault="00000000">
            <w:pPr>
              <w:pStyle w:val="Compact"/>
            </w:pPr>
            <w:r>
              <w:t>Response quality evaluation</w:t>
            </w:r>
          </w:p>
        </w:tc>
      </w:tr>
    </w:tbl>
    <w:p w14:paraId="47BA3B36" w14:textId="77777777" w:rsidR="009343DE" w:rsidRDefault="00000000">
      <w:pPr>
        <w:pStyle w:val="BodyText"/>
      </w:pPr>
      <w:r>
        <w:rPr>
          <w:b/>
          <w:bCs/>
        </w:rPr>
        <w:t>We expect some overlap</w:t>
      </w:r>
      <w:r>
        <w:t xml:space="preserve"> between component/dev validation and e2e/blackbox testing. This is </w:t>
      </w:r>
      <w:r>
        <w:rPr>
          <w:b/>
          <w:bCs/>
        </w:rPr>
        <w:t>normal and predictable</w:t>
      </w:r>
      <w:r>
        <w:t xml:space="preserve">, and is not a bad thing—it is natural that there will be </w:t>
      </w:r>
      <w:r>
        <w:lastRenderedPageBreak/>
        <w:t>overlaps. The overlap provides additional confidence when both approaches identify the same issues, and catches different types of problems when they don’t.</w:t>
      </w:r>
    </w:p>
    <w:p w14:paraId="4E7E6BD8" w14:textId="77777777" w:rsidR="009343DE" w:rsidRDefault="005E45FE">
      <w:r>
        <w:rPr>
          <w:noProof/>
        </w:rPr>
        <w:pict w14:anchorId="5429C559">
          <v:rect id="_x0000_i1035" alt="" style="width:468pt;height:.05pt;mso-width-percent:0;mso-height-percent:0;mso-width-percent:0;mso-height-percent:0" o:hralign="center" o:hrstd="t" o:hr="t"/>
        </w:pict>
      </w:r>
    </w:p>
    <w:p w14:paraId="62FC2684" w14:textId="77777777" w:rsidR="009343DE" w:rsidRDefault="00000000">
      <w:pPr>
        <w:pStyle w:val="Heading2"/>
      </w:pPr>
      <w:bookmarkStart w:id="4" w:name="six-dimensions-of-validation"/>
      <w:bookmarkEnd w:id="2"/>
      <w:bookmarkEnd w:id="3"/>
      <w:r>
        <w:t>Six Dimensions of Validation</w:t>
      </w:r>
    </w:p>
    <w:p w14:paraId="7E5E891D" w14:textId="77777777" w:rsidR="009343DE" w:rsidRDefault="00000000">
      <w:pPr>
        <w:pStyle w:val="Heading3"/>
      </w:pPr>
      <w:bookmarkStart w:id="5" w:name="retrieval-validation"/>
      <w:r>
        <w:t>1. Retrieval Validation</w:t>
      </w:r>
    </w:p>
    <w:p w14:paraId="0BBF24B6" w14:textId="77777777" w:rsidR="009343DE" w:rsidRDefault="00000000">
      <w:pPr>
        <w:pStyle w:val="Heading4"/>
      </w:pPr>
      <w:bookmarkStart w:id="6" w:name="what-it-is"/>
      <w:r>
        <w:t>What It Is</w:t>
      </w:r>
    </w:p>
    <w:p w14:paraId="3EF0014E" w14:textId="77777777" w:rsidR="009343DE" w:rsidRDefault="00000000">
      <w:pPr>
        <w:pStyle w:val="FirstParagraph"/>
      </w:pPr>
      <w:r>
        <w:t>Retrieval validation measures whether the system successfully retrieves all relevant pieces of knowledge needed to answer a query. Poor retrieval means the LLM cannot provide accurate answers, regardless of its generation capabilities.</w:t>
      </w:r>
    </w:p>
    <w:p w14:paraId="186EE71A" w14:textId="77777777" w:rsidR="009343DE" w:rsidRDefault="00000000">
      <w:pPr>
        <w:pStyle w:val="Heading4"/>
      </w:pPr>
      <w:bookmarkStart w:id="7" w:name="primary-metric"/>
      <w:bookmarkEnd w:id="6"/>
      <w:r>
        <w:t>Primary Metric</w:t>
      </w:r>
    </w:p>
    <w:p w14:paraId="71A49B25" w14:textId="77777777" w:rsidR="009343DE" w:rsidRDefault="00000000">
      <w:pPr>
        <w:pStyle w:val="FirstParagraph"/>
      </w:pPr>
      <w:r>
        <w:rPr>
          <w:b/>
          <w:bCs/>
        </w:rPr>
        <w:t>Retrieval Recall</w:t>
      </w:r>
      <w:r>
        <w:t xml:space="preserve"> — Measures whether the system successfully retrieves all relevant pieces of knowledge needed to answer a query.</w:t>
      </w:r>
    </w:p>
    <w:p w14:paraId="52E0DE50" w14:textId="77777777" w:rsidR="009343DE" w:rsidRDefault="00000000">
      <w:pPr>
        <w:pStyle w:val="BodyText"/>
      </w:pPr>
      <m:oMathPara>
        <m:oMathParaPr>
          <m:jc m:val="center"/>
        </m:oMathParaPr>
        <m:oMath>
          <m:r>
            <m:rPr>
              <m:nor/>
            </m:rPr>
            <m:t>Retrieval Recall</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retrieved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relevant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relevant</m:t>
                  </m:r>
                </m:sub>
              </m:sSub>
              <m:r>
                <m:rPr>
                  <m:sty m:val="p"/>
                </m:rPr>
                <w:rPr>
                  <w:rFonts w:ascii="Cambria Math" w:hAnsi="Cambria Math"/>
                </w:rPr>
                <m:t>|</m:t>
              </m:r>
            </m:den>
          </m:f>
        </m:oMath>
      </m:oMathPara>
    </w:p>
    <w:p w14:paraId="17BD9747" w14:textId="77777777" w:rsidR="009343DE" w:rsidRDefault="00000000">
      <w:pPr>
        <w:pStyle w:val="FirstParagraph"/>
      </w:pPr>
      <w:r>
        <w:rPr>
          <w:b/>
          <w:bCs/>
        </w:rPr>
        <w:t>Implementation Notes:</w:t>
      </w:r>
      <w:r>
        <w:t xml:space="preserve"> Requires a labeled test set mapping queries to relevant documents. Compare retrieved document IDs against ground truth using exact matching or semantic similarity thresholds.</w:t>
      </w:r>
    </w:p>
    <w:p w14:paraId="5F614E11" w14:textId="77777777" w:rsidR="009343DE" w:rsidRDefault="00000000">
      <w:pPr>
        <w:pStyle w:val="Heading4"/>
      </w:pPr>
      <w:bookmarkStart w:id="8" w:name="additional-metrics"/>
      <w:bookmarkEnd w:id="7"/>
      <w:r>
        <w:t>Additional Metrics</w:t>
      </w:r>
    </w:p>
    <w:p w14:paraId="32FCC2C2" w14:textId="77777777" w:rsidR="009343DE" w:rsidRDefault="00000000">
      <w:pPr>
        <w:pStyle w:val="Compact"/>
        <w:numPr>
          <w:ilvl w:val="0"/>
          <w:numId w:val="4"/>
        </w:numPr>
      </w:pPr>
      <w:r>
        <w:rPr>
          <w:b/>
          <w:bCs/>
        </w:rPr>
        <w:t>Precision@k</w:t>
      </w:r>
      <w:r>
        <w:t xml:space="preserve"> — Proportion of top-k retrieved documents that are relevant</w:t>
      </w:r>
    </w:p>
    <w:p w14:paraId="25C86B7D" w14:textId="77777777" w:rsidR="009343DE" w:rsidRDefault="00000000">
      <w:pPr>
        <w:pStyle w:val="Compact"/>
        <w:numPr>
          <w:ilvl w:val="0"/>
          <w:numId w:val="4"/>
        </w:numPr>
      </w:pPr>
      <w:r>
        <w:rPr>
          <w:b/>
          <w:bCs/>
        </w:rPr>
        <w:t>Mean Reciprocal Rank (MRR)</w:t>
      </w:r>
      <w:r>
        <w:t xml:space="preserve"> — Average of reciprocal ranks of the first relevant result</w:t>
      </w:r>
    </w:p>
    <w:p w14:paraId="14D05A2D" w14:textId="77777777" w:rsidR="009343DE" w:rsidRDefault="00000000">
      <w:pPr>
        <w:pStyle w:val="Compact"/>
        <w:numPr>
          <w:ilvl w:val="0"/>
          <w:numId w:val="4"/>
        </w:numPr>
      </w:pPr>
      <w:r>
        <w:rPr>
          <w:b/>
          <w:bCs/>
        </w:rPr>
        <w:t>Hit@k</w:t>
      </w:r>
      <w:r>
        <w:t xml:space="preserve"> — Binary indicator for at least one relevant document in top-k</w:t>
      </w:r>
    </w:p>
    <w:p w14:paraId="182039EE" w14:textId="77777777" w:rsidR="009343DE" w:rsidRDefault="005E45FE">
      <w:r>
        <w:rPr>
          <w:noProof/>
        </w:rPr>
        <w:pict w14:anchorId="7318C5C5">
          <v:rect id="_x0000_i1034" alt="" style="width:468pt;height:.05pt;mso-width-percent:0;mso-height-percent:0;mso-width-percent:0;mso-height-percent:0" o:hralign="center" o:hrstd="t" o:hr="t"/>
        </w:pict>
      </w:r>
    </w:p>
    <w:p w14:paraId="275B212D" w14:textId="77777777" w:rsidR="009343DE" w:rsidRDefault="00000000">
      <w:pPr>
        <w:pStyle w:val="Heading3"/>
      </w:pPr>
      <w:bookmarkStart w:id="9" w:name="qa-validation"/>
      <w:bookmarkEnd w:id="5"/>
      <w:bookmarkEnd w:id="8"/>
      <w:r>
        <w:t>2. Q&amp;A Validation</w:t>
      </w:r>
    </w:p>
    <w:p w14:paraId="6E147A49" w14:textId="77777777" w:rsidR="009343DE" w:rsidRDefault="00000000">
      <w:pPr>
        <w:pStyle w:val="Heading4"/>
      </w:pPr>
      <w:bookmarkStart w:id="10" w:name="what-it-is-1"/>
      <w:r>
        <w:t>What It Is</w:t>
      </w:r>
    </w:p>
    <w:p w14:paraId="22A4328A" w14:textId="77777777" w:rsidR="009343DE" w:rsidRDefault="00000000">
      <w:pPr>
        <w:pStyle w:val="FirstParagraph"/>
      </w:pPr>
      <w:r>
        <w:t>Q&amp;A validation measures whether the system provides correct, complete, and relevant answers to user questions. This evaluates the core functionality of the system—its ability to understand questions and generate appropriate responses.</w:t>
      </w:r>
    </w:p>
    <w:p w14:paraId="1033A0E4" w14:textId="77777777" w:rsidR="009343DE" w:rsidRDefault="00000000">
      <w:pPr>
        <w:pStyle w:val="Heading4"/>
      </w:pPr>
      <w:bookmarkStart w:id="11" w:name="primary-metrics"/>
      <w:bookmarkEnd w:id="10"/>
      <w:r>
        <w:t>Primary Metrics</w:t>
      </w:r>
    </w:p>
    <w:p w14:paraId="27B00C9E" w14:textId="77777777" w:rsidR="009343DE" w:rsidRDefault="00000000">
      <w:pPr>
        <w:pStyle w:val="FirstParagraph"/>
      </w:pPr>
      <w:r>
        <w:rPr>
          <w:b/>
          <w:bCs/>
        </w:rPr>
        <w:t>Context Relevancy</w:t>
      </w:r>
      <w:r>
        <w:t xml:space="preserve"> — Whether the retrieved knowledge matches the user’s query intent.</w:t>
      </w:r>
    </w:p>
    <w:p w14:paraId="27E0CF4F" w14:textId="77777777" w:rsidR="009343DE" w:rsidRDefault="00000000">
      <w:pPr>
        <w:pStyle w:val="BodyText"/>
      </w:pPr>
      <w:r>
        <w:rPr>
          <w:b/>
          <w:bCs/>
        </w:rPr>
        <w:t>Answer Relevancy</w:t>
      </w:r>
      <w:r>
        <w:t xml:space="preserve"> — Whether the generated answer directly addresses the user’s question.</w:t>
      </w:r>
    </w:p>
    <w:p w14:paraId="767DCF3B" w14:textId="77777777" w:rsidR="009343DE" w:rsidRDefault="00000000">
      <w:pPr>
        <w:pStyle w:val="BodyText"/>
      </w:pPr>
      <w:r>
        <w:rPr>
          <w:b/>
          <w:bCs/>
        </w:rPr>
        <w:lastRenderedPageBreak/>
        <w:t>Accuracy</w:t>
      </w:r>
      <w:r>
        <w:t xml:space="preserve"> — Whether the final answer is factually correct and aligns with business approved response. </w:t>
      </w:r>
      <w:r>
        <w:rPr>
          <w:b/>
          <w:bCs/>
        </w:rPr>
        <w:t>Threshold: &gt; 0.95</w:t>
      </w:r>
    </w:p>
    <w:p w14:paraId="5383F9DA" w14:textId="77777777" w:rsidR="009343DE" w:rsidRDefault="00000000">
      <w:pPr>
        <w:pStyle w:val="BodyText"/>
      </w:pPr>
      <w:r>
        <w:rPr>
          <w:b/>
          <w:bCs/>
        </w:rPr>
        <w:t>Implementation Notes:</w:t>
      </w:r>
      <w:r>
        <w:t xml:space="preserve"> Context relevancy uses an LLM-as-judge to evaluate each retrieved chunk against the query. Answer relevancy generates synthetic questions from the answer and measures embedding similarity to the original query. Accuracy uses an LLM-as-judge to evaluate semantic equivalence between generated and ground truth answers.</w:t>
      </w:r>
    </w:p>
    <w:p w14:paraId="0914FDEF" w14:textId="77777777" w:rsidR="009343DE" w:rsidRDefault="00000000">
      <w:pPr>
        <w:pStyle w:val="Heading4"/>
      </w:pPr>
      <w:bookmarkStart w:id="12" w:name="additional-metrics-1"/>
      <w:bookmarkEnd w:id="11"/>
      <w:r>
        <w:t>Additional Metrics</w:t>
      </w:r>
    </w:p>
    <w:p w14:paraId="055E7638" w14:textId="77777777" w:rsidR="009343DE" w:rsidRDefault="00000000">
      <w:pPr>
        <w:pStyle w:val="Compact"/>
        <w:numPr>
          <w:ilvl w:val="0"/>
          <w:numId w:val="5"/>
        </w:numPr>
      </w:pPr>
      <w:r>
        <w:rPr>
          <w:b/>
          <w:bCs/>
        </w:rPr>
        <w:t>Completeness</w:t>
      </w:r>
      <w:r>
        <w:t xml:space="preserve"> — Proportion of required information present in response</w:t>
      </w:r>
    </w:p>
    <w:p w14:paraId="13EA0542" w14:textId="77777777" w:rsidR="009343DE" w:rsidRDefault="00000000">
      <w:pPr>
        <w:pStyle w:val="Compact"/>
        <w:numPr>
          <w:ilvl w:val="0"/>
          <w:numId w:val="5"/>
        </w:numPr>
      </w:pPr>
      <w:r>
        <w:rPr>
          <w:b/>
          <w:bCs/>
        </w:rPr>
        <w:t>Facts Covered</w:t>
      </w:r>
      <w:r>
        <w:t xml:space="preserve"> — Proportion of ground truth facts mentioned</w:t>
      </w:r>
    </w:p>
    <w:p w14:paraId="13D87053" w14:textId="77777777" w:rsidR="009343DE" w:rsidRDefault="00000000">
      <w:pPr>
        <w:pStyle w:val="Compact"/>
        <w:numPr>
          <w:ilvl w:val="0"/>
          <w:numId w:val="5"/>
        </w:numPr>
      </w:pPr>
      <w:r>
        <w:rPr>
          <w:b/>
          <w:bCs/>
        </w:rPr>
        <w:t>ROUGE-L</w:t>
      </w:r>
      <w:r>
        <w:t xml:space="preserve"> — Longest common subsequence overlap with reference</w:t>
      </w:r>
    </w:p>
    <w:p w14:paraId="7159CE3B" w14:textId="77777777" w:rsidR="009343DE" w:rsidRDefault="00000000">
      <w:pPr>
        <w:pStyle w:val="Compact"/>
        <w:numPr>
          <w:ilvl w:val="0"/>
          <w:numId w:val="5"/>
        </w:numPr>
      </w:pPr>
      <w:r>
        <w:rPr>
          <w:b/>
          <w:bCs/>
        </w:rPr>
        <w:t>F1 Score</w:t>
      </w:r>
      <w:r>
        <w:t xml:space="preserve"> — Harmonic mean of precision and recall at token level</w:t>
      </w:r>
    </w:p>
    <w:p w14:paraId="1D49A279" w14:textId="77777777" w:rsidR="009343DE" w:rsidRDefault="005E45FE">
      <w:r>
        <w:rPr>
          <w:noProof/>
        </w:rPr>
        <w:pict w14:anchorId="17AADA05">
          <v:rect id="_x0000_i1033" alt="" style="width:468pt;height:.05pt;mso-width-percent:0;mso-height-percent:0;mso-width-percent:0;mso-height-percent:0" o:hralign="center" o:hrstd="t" o:hr="t"/>
        </w:pict>
      </w:r>
    </w:p>
    <w:p w14:paraId="2CEACB28" w14:textId="77777777" w:rsidR="009343DE" w:rsidRDefault="00000000">
      <w:pPr>
        <w:pStyle w:val="Heading3"/>
      </w:pPr>
      <w:bookmarkStart w:id="13" w:name="tonepoliteness-validation"/>
      <w:bookmarkEnd w:id="9"/>
      <w:bookmarkEnd w:id="12"/>
      <w:r>
        <w:t>3. Tone/Politeness Validation</w:t>
      </w:r>
    </w:p>
    <w:p w14:paraId="46809725" w14:textId="77777777" w:rsidR="009343DE" w:rsidRDefault="00000000">
      <w:pPr>
        <w:pStyle w:val="Heading4"/>
      </w:pPr>
      <w:bookmarkStart w:id="14" w:name="what-it-is-2"/>
      <w:r>
        <w:t>What It Is</w:t>
      </w:r>
    </w:p>
    <w:p w14:paraId="4E334992" w14:textId="77777777" w:rsidR="009343DE" w:rsidRDefault="00000000">
      <w:pPr>
        <w:pStyle w:val="FirstParagraph"/>
      </w:pPr>
      <w:r>
        <w:t>Tone validation ensures the system communicates in an appropriate manner consistent with brand guidelines and user expectations. This includes formality level, empathy, professionalism, and overall communication style.</w:t>
      </w:r>
    </w:p>
    <w:p w14:paraId="209A4BCB" w14:textId="77777777" w:rsidR="009343DE" w:rsidRDefault="00000000">
      <w:pPr>
        <w:pStyle w:val="Heading4"/>
      </w:pPr>
      <w:bookmarkStart w:id="15" w:name="primary-metric-1"/>
      <w:bookmarkEnd w:id="14"/>
      <w:r>
        <w:t>Primary Metric</w:t>
      </w:r>
    </w:p>
    <w:p w14:paraId="5A5A77D9" w14:textId="77777777" w:rsidR="009343DE" w:rsidRDefault="00000000">
      <w:pPr>
        <w:pStyle w:val="FirstParagraph"/>
      </w:pPr>
      <w:r>
        <w:rPr>
          <w:b/>
          <w:bCs/>
        </w:rPr>
        <w:t>Tone Compliance</w:t>
      </w:r>
      <w:r>
        <w:t xml:space="preserve"> — Measures whether the response aligns with the expected communication style of the bank (formal, respectful, concise, non-emotional).</w:t>
      </w:r>
    </w:p>
    <w:p w14:paraId="5BB49626" w14:textId="77777777" w:rsidR="009343DE" w:rsidRDefault="00000000">
      <w:pPr>
        <w:pStyle w:val="BodyText"/>
      </w:pPr>
      <w:r>
        <w:rPr>
          <w:b/>
          <w:bCs/>
        </w:rPr>
        <w:t>Implementation Notes:</w:t>
      </w:r>
      <w:r>
        <w:t xml:space="preserve"> Define target tone attributes from brand guidelines and use an LLM-as-judge or fine-tuned classifier to evaluate each attribute. Calculate compliance as the proportion of attributes satisfied.</w:t>
      </w:r>
    </w:p>
    <w:p w14:paraId="39F1133C" w14:textId="77777777" w:rsidR="009343DE" w:rsidRDefault="00000000">
      <w:pPr>
        <w:pStyle w:val="Heading4"/>
      </w:pPr>
      <w:bookmarkStart w:id="16" w:name="additional-metrics-2"/>
      <w:bookmarkEnd w:id="15"/>
      <w:r>
        <w:t>Additional Metrics</w:t>
      </w:r>
    </w:p>
    <w:p w14:paraId="707BC00F" w14:textId="77777777" w:rsidR="009343DE" w:rsidRDefault="00000000">
      <w:pPr>
        <w:pStyle w:val="Compact"/>
        <w:numPr>
          <w:ilvl w:val="0"/>
          <w:numId w:val="6"/>
        </w:numPr>
      </w:pPr>
      <w:r>
        <w:rPr>
          <w:b/>
          <w:bCs/>
        </w:rPr>
        <w:t>Lexical Diversity</w:t>
      </w:r>
      <w:r>
        <w:t xml:space="preserve"> — Vocabulary richness (Type-Token Ratio)</w:t>
      </w:r>
    </w:p>
    <w:p w14:paraId="5683E26E" w14:textId="77777777" w:rsidR="009343DE" w:rsidRDefault="00000000">
      <w:pPr>
        <w:pStyle w:val="Compact"/>
        <w:numPr>
          <w:ilvl w:val="0"/>
          <w:numId w:val="6"/>
        </w:numPr>
      </w:pPr>
      <w:r>
        <w:rPr>
          <w:b/>
          <w:bCs/>
        </w:rPr>
        <w:t>Average Sentence Length</w:t>
      </w:r>
      <w:r>
        <w:t xml:space="preserve"> — Readability indicator</w:t>
      </w:r>
    </w:p>
    <w:p w14:paraId="1C926DDB" w14:textId="77777777" w:rsidR="009343DE" w:rsidRDefault="00000000">
      <w:pPr>
        <w:pStyle w:val="Compact"/>
        <w:numPr>
          <w:ilvl w:val="0"/>
          <w:numId w:val="6"/>
        </w:numPr>
      </w:pPr>
      <w:r>
        <w:rPr>
          <w:b/>
          <w:bCs/>
        </w:rPr>
        <w:t>Word Count Comparison</w:t>
      </w:r>
      <w:r>
        <w:t xml:space="preserve"> — Response verbosity vs. expected length</w:t>
      </w:r>
    </w:p>
    <w:p w14:paraId="388D2082" w14:textId="77777777" w:rsidR="009343DE" w:rsidRDefault="005E45FE">
      <w:r>
        <w:rPr>
          <w:noProof/>
        </w:rPr>
        <w:pict w14:anchorId="2CB55FD8">
          <v:rect id="_x0000_i1032" alt="" style="width:468pt;height:.05pt;mso-width-percent:0;mso-height-percent:0;mso-width-percent:0;mso-height-percent:0" o:hralign="center" o:hrstd="t" o:hr="t"/>
        </w:pict>
      </w:r>
    </w:p>
    <w:p w14:paraId="1924ECAD" w14:textId="77777777" w:rsidR="009343DE" w:rsidRDefault="00000000">
      <w:pPr>
        <w:pStyle w:val="Heading3"/>
      </w:pPr>
      <w:bookmarkStart w:id="17" w:name="riskguardrails-validation"/>
      <w:bookmarkEnd w:id="13"/>
      <w:bookmarkEnd w:id="16"/>
      <w:r>
        <w:t>4. Risk/Guardrails Validation</w:t>
      </w:r>
    </w:p>
    <w:p w14:paraId="38986D55" w14:textId="77777777" w:rsidR="009343DE" w:rsidRDefault="00000000">
      <w:pPr>
        <w:pStyle w:val="Heading4"/>
      </w:pPr>
      <w:bookmarkStart w:id="18" w:name="what-it-is-3"/>
      <w:r>
        <w:t>What It Is</w:t>
      </w:r>
    </w:p>
    <w:p w14:paraId="4AA73078" w14:textId="77777777" w:rsidR="009343DE" w:rsidRDefault="00000000">
      <w:pPr>
        <w:pStyle w:val="FirstParagraph"/>
      </w:pPr>
      <w:r>
        <w:t>Risk validation verifies that the system’s safety mechanisms are functioning properly, filtering harmful, offensive, or inappropriate content. This protects users and the organization from reputational and legal risks.</w:t>
      </w:r>
    </w:p>
    <w:p w14:paraId="0AFB363A" w14:textId="77777777" w:rsidR="009343DE" w:rsidRDefault="00000000">
      <w:pPr>
        <w:pStyle w:val="Heading4"/>
      </w:pPr>
      <w:bookmarkStart w:id="19" w:name="primary-metric-2"/>
      <w:bookmarkEnd w:id="18"/>
      <w:r>
        <w:lastRenderedPageBreak/>
        <w:t>Primary Metric</w:t>
      </w:r>
    </w:p>
    <w:p w14:paraId="625BFF3F" w14:textId="77777777" w:rsidR="009343DE" w:rsidRDefault="00000000">
      <w:pPr>
        <w:pStyle w:val="FirstParagraph"/>
      </w:pPr>
      <w:r>
        <w:rPr>
          <w:b/>
          <w:bCs/>
        </w:rPr>
        <w:t>Toxicity/Safety Filter</w:t>
      </w:r>
      <w:r>
        <w:t xml:space="preserve"> — Ensures the response avoids rude, harmful, biased, or offensive content. Checks that the model blocks unsafe behaviors by enforcing policies around PII, abuse, self-harm, compliance, and restricted topics. </w:t>
      </w:r>
      <w:r>
        <w:rPr>
          <w:b/>
          <w:bCs/>
        </w:rPr>
        <w:t>Threshold: 0</w:t>
      </w:r>
    </w:p>
    <w:p w14:paraId="7E5C0C38" w14:textId="77777777" w:rsidR="009343DE" w:rsidRDefault="00000000">
      <w:pPr>
        <w:pStyle w:val="BodyText"/>
      </w:pPr>
      <w:r>
        <w:rPr>
          <w:b/>
          <w:bCs/>
        </w:rPr>
        <w:t>Implementation Notes:</w:t>
      </w:r>
      <w:r>
        <w:t xml:space="preserve"> Run responses through safety classifiers for each risk category (PII, abuse, self-harm, restricted topics). Flag as unsafe if any category exceeds threshold. Combine regex patterns, NER, and LLM-as-judge for comprehensive detection.</w:t>
      </w:r>
    </w:p>
    <w:p w14:paraId="2C4DB59C" w14:textId="77777777" w:rsidR="009343DE" w:rsidRDefault="00000000">
      <w:pPr>
        <w:pStyle w:val="Heading4"/>
      </w:pPr>
      <w:bookmarkStart w:id="20" w:name="additional-metrics-3"/>
      <w:bookmarkEnd w:id="19"/>
      <w:r>
        <w:t>Additional Metrics</w:t>
      </w:r>
    </w:p>
    <w:p w14:paraId="3C3CDF7D" w14:textId="77777777" w:rsidR="009343DE" w:rsidRDefault="00000000">
      <w:pPr>
        <w:pStyle w:val="Compact"/>
        <w:numPr>
          <w:ilvl w:val="0"/>
          <w:numId w:val="7"/>
        </w:numPr>
      </w:pPr>
      <w:r>
        <w:rPr>
          <w:b/>
          <w:bCs/>
        </w:rPr>
        <w:t>Safety Rate</w:t>
      </w:r>
      <w:r>
        <w:t xml:space="preserve"> — Proportion of responses that pass safety filters</w:t>
      </w:r>
    </w:p>
    <w:p w14:paraId="065692A2" w14:textId="77777777" w:rsidR="009343DE" w:rsidRDefault="005E45FE">
      <w:r>
        <w:rPr>
          <w:noProof/>
        </w:rPr>
        <w:pict w14:anchorId="22754FF2">
          <v:rect id="_x0000_i1031" alt="" style="width:468pt;height:.05pt;mso-width-percent:0;mso-height-percent:0;mso-width-percent:0;mso-height-percent:0" o:hralign="center" o:hrstd="t" o:hr="t"/>
        </w:pict>
      </w:r>
    </w:p>
    <w:p w14:paraId="42440A9F" w14:textId="77777777" w:rsidR="009343DE" w:rsidRDefault="00000000">
      <w:pPr>
        <w:pStyle w:val="Heading3"/>
      </w:pPr>
      <w:bookmarkStart w:id="21" w:name="hallucination-validation"/>
      <w:bookmarkEnd w:id="17"/>
      <w:bookmarkEnd w:id="20"/>
      <w:r>
        <w:t>5. Hallucination Validation</w:t>
      </w:r>
    </w:p>
    <w:p w14:paraId="47585153" w14:textId="77777777" w:rsidR="009343DE" w:rsidRDefault="00000000">
      <w:pPr>
        <w:pStyle w:val="Heading4"/>
      </w:pPr>
      <w:bookmarkStart w:id="22" w:name="what-it-is-4"/>
      <w:r>
        <w:t>What It Is</w:t>
      </w:r>
    </w:p>
    <w:p w14:paraId="2234B5A5" w14:textId="77777777" w:rsidR="009343DE" w:rsidRDefault="00000000">
      <w:pPr>
        <w:pStyle w:val="FirstParagraph"/>
      </w:pPr>
      <w:r>
        <w:t>Hallucination validation detects when the system generates information that is not grounded in the provided context or factual knowledge. Hallucinations erode user trust and can lead to serious consequences in high-stakes domains.</w:t>
      </w:r>
    </w:p>
    <w:p w14:paraId="5B294246" w14:textId="77777777" w:rsidR="009343DE" w:rsidRDefault="00000000">
      <w:pPr>
        <w:pStyle w:val="Heading4"/>
      </w:pPr>
      <w:bookmarkStart w:id="23" w:name="primary-metric-3"/>
      <w:bookmarkEnd w:id="22"/>
      <w:r>
        <w:t>Primary Metric</w:t>
      </w:r>
    </w:p>
    <w:p w14:paraId="58E04E45" w14:textId="77777777" w:rsidR="009343DE" w:rsidRDefault="00000000">
      <w:pPr>
        <w:pStyle w:val="FirstParagraph"/>
      </w:pPr>
      <w:r>
        <w:rPr>
          <w:b/>
          <w:bCs/>
        </w:rPr>
        <w:t>Faithfulness/Hallucination</w:t>
      </w:r>
      <w:r>
        <w:t xml:space="preserve"> — Whether the response stays strictly grounded in the retrieved context without adding unsupported facts.</w:t>
      </w:r>
    </w:p>
    <w:p w14:paraId="30279AEA" w14:textId="77777777" w:rsidR="009343DE" w:rsidRDefault="00000000">
      <w:pPr>
        <w:pStyle w:val="BodyText"/>
      </w:pPr>
      <m:oMathPara>
        <m:oMathParaPr>
          <m:jc m:val="center"/>
        </m:oMathParaPr>
        <m:oMath>
          <m:r>
            <m:rPr>
              <m:nor/>
            </m:rPr>
            <m:t>Faithfulness</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supported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den>
          </m:f>
        </m:oMath>
      </m:oMathPara>
    </w:p>
    <w:p w14:paraId="7A6EC16B" w14:textId="77777777" w:rsidR="009343DE" w:rsidRDefault="00000000">
      <w:pPr>
        <w:pStyle w:val="FirstParagraph"/>
      </w:pPr>
      <w:r>
        <w:t xml:space="preserve">Alternatively expressed as </w:t>
      </w:r>
      <w:r>
        <w:rPr>
          <w:b/>
          <w:bCs/>
        </w:rPr>
        <w:t>Hallucination Rate</w:t>
      </w:r>
      <w:r>
        <w:t>:</w:t>
      </w:r>
    </w:p>
    <w:p w14:paraId="05FF31D7" w14:textId="77777777" w:rsidR="009343DE" w:rsidRDefault="00000000">
      <w:pPr>
        <w:pStyle w:val="BodyText"/>
      </w:pPr>
      <m:oMathPara>
        <m:oMathParaPr>
          <m:jc m:val="center"/>
        </m:oMathParaPr>
        <m:oMath>
          <m:r>
            <m:rPr>
              <m:nor/>
            </m:rPr>
            <m:t>Hallucination Rate</m:t>
          </m:r>
          <m:r>
            <m:rPr>
              <m:sty m:val="p"/>
            </m:rPr>
            <w:rPr>
              <w:rFonts w:ascii="Cambria Math" w:hAnsi="Cambria Math"/>
            </w:rPr>
            <m:t>=</m:t>
          </m:r>
          <m:r>
            <w:rPr>
              <w:rFonts w:ascii="Cambria Math" w:hAnsi="Cambria Math"/>
            </w:rPr>
            <m:t>1</m:t>
          </m:r>
          <m:r>
            <m:rPr>
              <m:sty m:val="p"/>
            </m:rPr>
            <w:rPr>
              <w:rFonts w:ascii="Cambria Math" w:hAnsi="Cambria Math"/>
            </w:rPr>
            <m:t>-</m:t>
          </m:r>
          <m:r>
            <m:rPr>
              <m:nor/>
            </m:rPr>
            <m:t>Faithfulness</m:t>
          </m:r>
        </m:oMath>
      </m:oMathPara>
    </w:p>
    <w:p w14:paraId="2A27C446" w14:textId="77777777" w:rsidR="009343DE" w:rsidRDefault="00000000">
      <w:pPr>
        <w:pStyle w:val="FirstParagraph"/>
      </w:pPr>
      <w:r>
        <w:rPr>
          <w:b/>
          <w:bCs/>
        </w:rPr>
        <w:t>Implementation Notes:</w:t>
      </w:r>
      <w:r>
        <w:t xml:space="preserve"> Extract factual claims from the response and verify each against the provided context. Use an LLM-as-judge or NLI model to check if the context entails each claim. Faithfulness is the proportion of supported claims.</w:t>
      </w:r>
    </w:p>
    <w:p w14:paraId="52A169A0" w14:textId="77777777" w:rsidR="009343DE" w:rsidRDefault="00000000">
      <w:pPr>
        <w:pStyle w:val="Heading4"/>
      </w:pPr>
      <w:bookmarkStart w:id="24" w:name="additional-metrics-4"/>
      <w:bookmarkEnd w:id="23"/>
      <w:r>
        <w:t>Additional Metrics</w:t>
      </w:r>
    </w:p>
    <w:p w14:paraId="155E01CF" w14:textId="77777777" w:rsidR="009343DE" w:rsidRDefault="00000000">
      <w:pPr>
        <w:pStyle w:val="Compact"/>
        <w:numPr>
          <w:ilvl w:val="0"/>
          <w:numId w:val="8"/>
        </w:numPr>
      </w:pPr>
      <w:r>
        <w:rPr>
          <w:b/>
          <w:bCs/>
        </w:rPr>
        <w:t>Has Contradictions</w:t>
      </w:r>
      <w:r>
        <w:t xml:space="preserve"> — Detection of internally contradictory statements</w:t>
      </w:r>
    </w:p>
    <w:p w14:paraId="52781E24" w14:textId="77777777" w:rsidR="009343DE" w:rsidRDefault="00000000">
      <w:pPr>
        <w:pStyle w:val="Compact"/>
        <w:numPr>
          <w:ilvl w:val="0"/>
          <w:numId w:val="8"/>
        </w:numPr>
      </w:pPr>
      <w:r>
        <w:rPr>
          <w:b/>
          <w:bCs/>
        </w:rPr>
        <w:t>Facts Covered</w:t>
      </w:r>
      <w:r>
        <w:t xml:space="preserve"> — Verification that stated facts match ground truth</w:t>
      </w:r>
    </w:p>
    <w:p w14:paraId="652930E7" w14:textId="77777777" w:rsidR="009343DE" w:rsidRDefault="005E45FE">
      <w:r>
        <w:rPr>
          <w:noProof/>
        </w:rPr>
        <w:pict w14:anchorId="4659068B">
          <v:rect id="_x0000_i1030" alt="" style="width:468pt;height:.05pt;mso-width-percent:0;mso-height-percent:0;mso-width-percent:0;mso-height-percent:0" o:hralign="center" o:hrstd="t" o:hr="t"/>
        </w:pict>
      </w:r>
    </w:p>
    <w:p w14:paraId="78460859" w14:textId="77777777" w:rsidR="009343DE" w:rsidRDefault="00000000">
      <w:pPr>
        <w:pStyle w:val="Heading3"/>
      </w:pPr>
      <w:bookmarkStart w:id="25" w:name="bad-actor-attack-validation"/>
      <w:bookmarkEnd w:id="21"/>
      <w:bookmarkEnd w:id="24"/>
      <w:r>
        <w:lastRenderedPageBreak/>
        <w:t>6. Bad-Actor Attack Validation</w:t>
      </w:r>
    </w:p>
    <w:p w14:paraId="31BB36E5" w14:textId="77777777" w:rsidR="009343DE" w:rsidRDefault="00000000">
      <w:pPr>
        <w:pStyle w:val="Heading4"/>
      </w:pPr>
      <w:bookmarkStart w:id="26" w:name="what-it-is-5"/>
      <w:r>
        <w:t>What It Is</w:t>
      </w:r>
    </w:p>
    <w:p w14:paraId="7635ACB4" w14:textId="77777777" w:rsidR="009343DE" w:rsidRDefault="00000000">
      <w:pPr>
        <w:pStyle w:val="FirstParagraph"/>
      </w:pPr>
      <w:r>
        <w:t>Bad-actor validation tests the system’s resilience against adversarial inputs designed to manipulate, bypass safety measures, or extract unintended behaviors. This includes prompt injection, jailbreaking attempts, and other attack vectors.</w:t>
      </w:r>
    </w:p>
    <w:p w14:paraId="042F7A78" w14:textId="77777777" w:rsidR="009343DE" w:rsidRDefault="00000000">
      <w:pPr>
        <w:pStyle w:val="Heading4"/>
      </w:pPr>
      <w:bookmarkStart w:id="27" w:name="primary-metric-4"/>
      <w:bookmarkEnd w:id="26"/>
      <w:r>
        <w:t>Primary Metric</w:t>
      </w:r>
    </w:p>
    <w:p w14:paraId="2C79F17C" w14:textId="77777777" w:rsidR="009343DE" w:rsidRDefault="00000000">
      <w:pPr>
        <w:pStyle w:val="FirstParagraph"/>
      </w:pPr>
      <w:r>
        <w:rPr>
          <w:b/>
          <w:bCs/>
        </w:rPr>
        <w:t>Adversarial Robustness</w:t>
      </w:r>
      <w:r>
        <w:t xml:space="preserve"> — Measures how well the system resists and safely handles adversarial inputs such as prompt injection attempts, manipulation, jailbreaks, or malicious user instructions.</w:t>
      </w:r>
    </w:p>
    <w:p w14:paraId="5D31FC1C" w14:textId="77777777" w:rsidR="009343DE" w:rsidRDefault="00000000">
      <w:pPr>
        <w:pStyle w:val="BodyText"/>
      </w:pPr>
      <m:oMathPara>
        <m:oMathParaPr>
          <m:jc m:val="center"/>
        </m:oMathParaPr>
        <m:oMath>
          <m:r>
            <m:rPr>
              <m:nor/>
            </m:rPr>
            <m:t>Adversarial Robustness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e>
          </m:d>
        </m:oMath>
      </m:oMathPara>
    </w:p>
    <w:p w14:paraId="61A1A4BF" w14:textId="77777777" w:rsidR="009343DE" w:rsidRDefault="00000000">
      <w:pPr>
        <w:pStyle w:val="FirstParagraph"/>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represents adversarial perturbations (prompt injections, manipulation, jailbreaks, malicious instructions).</w:t>
      </w:r>
    </w:p>
    <w:p w14:paraId="113A26C8" w14:textId="77777777" w:rsidR="009343DE" w:rsidRDefault="00000000">
      <w:pPr>
        <w:pStyle w:val="BodyText"/>
      </w:pPr>
      <w:r>
        <w:rPr>
          <w:b/>
          <w:bCs/>
        </w:rPr>
        <w:t>Implementation Notes:</w:t>
      </w:r>
      <w:r>
        <w:t xml:space="preserve"> Curate adversarial test cases across attack categories (prompt injection, jailbreaks, data extraction, manipulation). Evaluate if the system maintains safe behavior using pattern matching and LLM-as-judge. Robustness is the proportion of attacks successfully defended.</w:t>
      </w:r>
    </w:p>
    <w:p w14:paraId="7EEE6FA3" w14:textId="77777777" w:rsidR="009343DE" w:rsidRDefault="00000000">
      <w:pPr>
        <w:pStyle w:val="Heading4"/>
      </w:pPr>
      <w:bookmarkStart w:id="28" w:name="additional-metrics-5"/>
      <w:bookmarkEnd w:id="27"/>
      <w:r>
        <w:t>Additional Metrics</w:t>
      </w:r>
    </w:p>
    <w:p w14:paraId="1C3DCE22" w14:textId="77777777" w:rsidR="009343DE" w:rsidRDefault="00000000">
      <w:pPr>
        <w:pStyle w:val="Compact"/>
        <w:numPr>
          <w:ilvl w:val="0"/>
          <w:numId w:val="9"/>
        </w:numPr>
      </w:pPr>
      <w:r>
        <w:rPr>
          <w:b/>
          <w:bCs/>
        </w:rPr>
        <w:t>Attack Success Rate (ASR)</w:t>
      </w:r>
      <w:r>
        <w:t xml:space="preserve"> — Proportion of attacks that change model behavior</w:t>
      </w:r>
    </w:p>
    <w:p w14:paraId="0A19A2E1" w14:textId="77777777" w:rsidR="009343DE" w:rsidRDefault="005E45FE">
      <w:r>
        <w:rPr>
          <w:noProof/>
        </w:rPr>
        <w:pict w14:anchorId="7CDFF546">
          <v:rect id="_x0000_i1029" alt="" style="width:468pt;height:.05pt;mso-width-percent:0;mso-height-percent:0;mso-width-percent:0;mso-height-percent:0" o:hralign="center" o:hrstd="t" o:hr="t"/>
        </w:pict>
      </w:r>
    </w:p>
    <w:p w14:paraId="148A51E1" w14:textId="77777777" w:rsidR="009343DE" w:rsidRDefault="00000000">
      <w:pPr>
        <w:pStyle w:val="Heading2"/>
      </w:pPr>
      <w:bookmarkStart w:id="29" w:name="summary-table"/>
      <w:bookmarkEnd w:id="4"/>
      <w:bookmarkEnd w:id="25"/>
      <w:bookmarkEnd w:id="28"/>
      <w:r>
        <w:t>Summary Table</w:t>
      </w:r>
    </w:p>
    <w:tbl>
      <w:tblPr>
        <w:tblStyle w:val="Table"/>
        <w:tblW w:w="5000" w:type="pct"/>
        <w:tblLayout w:type="fixed"/>
        <w:tblLook w:val="0020" w:firstRow="1" w:lastRow="0" w:firstColumn="0" w:lastColumn="0" w:noHBand="0" w:noVBand="0"/>
      </w:tblPr>
      <w:tblGrid>
        <w:gridCol w:w="2150"/>
        <w:gridCol w:w="2932"/>
        <w:gridCol w:w="2345"/>
        <w:gridCol w:w="2149"/>
      </w:tblGrid>
      <w:tr w:rsidR="009343DE" w14:paraId="3A16981D" w14:textId="77777777" w:rsidTr="009343DE">
        <w:trPr>
          <w:cnfStyle w:val="100000000000" w:firstRow="1" w:lastRow="0" w:firstColumn="0" w:lastColumn="0" w:oddVBand="0" w:evenVBand="0" w:oddHBand="0" w:evenHBand="0" w:firstRowFirstColumn="0" w:firstRowLastColumn="0" w:lastRowFirstColumn="0" w:lastRowLastColumn="0"/>
          <w:tblHeader/>
        </w:trPr>
        <w:tc>
          <w:tcPr>
            <w:tcW w:w="1777" w:type="dxa"/>
          </w:tcPr>
          <w:p w14:paraId="1973EACD" w14:textId="77777777" w:rsidR="009343DE" w:rsidRDefault="00000000">
            <w:pPr>
              <w:pStyle w:val="Compact"/>
            </w:pPr>
            <w:r>
              <w:t>Dimension</w:t>
            </w:r>
          </w:p>
        </w:tc>
        <w:tc>
          <w:tcPr>
            <w:tcW w:w="2424" w:type="dxa"/>
          </w:tcPr>
          <w:p w14:paraId="0F036795" w14:textId="77777777" w:rsidR="009343DE" w:rsidRDefault="00000000">
            <w:pPr>
              <w:pStyle w:val="Compact"/>
            </w:pPr>
            <w:r>
              <w:t>Primary Metric</w:t>
            </w:r>
          </w:p>
        </w:tc>
        <w:tc>
          <w:tcPr>
            <w:tcW w:w="1939" w:type="dxa"/>
          </w:tcPr>
          <w:p w14:paraId="10A97FF2" w14:textId="77777777" w:rsidR="009343DE" w:rsidRDefault="00000000">
            <w:pPr>
              <w:pStyle w:val="Compact"/>
            </w:pPr>
            <w:r>
              <w:t>Focus Area</w:t>
            </w:r>
          </w:p>
        </w:tc>
        <w:tc>
          <w:tcPr>
            <w:tcW w:w="1777" w:type="dxa"/>
          </w:tcPr>
          <w:p w14:paraId="519E1EF6" w14:textId="77777777" w:rsidR="009343DE" w:rsidRDefault="00000000">
            <w:pPr>
              <w:pStyle w:val="Compact"/>
            </w:pPr>
            <w:r>
              <w:t>Threshold</w:t>
            </w:r>
          </w:p>
        </w:tc>
      </w:tr>
      <w:tr w:rsidR="009343DE" w14:paraId="539AA56F" w14:textId="77777777">
        <w:tc>
          <w:tcPr>
            <w:tcW w:w="1777" w:type="dxa"/>
          </w:tcPr>
          <w:p w14:paraId="0FD654B9" w14:textId="77777777" w:rsidR="009343DE" w:rsidRDefault="00000000">
            <w:pPr>
              <w:pStyle w:val="Compact"/>
            </w:pPr>
            <w:r>
              <w:t>Retrieval</w:t>
            </w:r>
          </w:p>
        </w:tc>
        <w:tc>
          <w:tcPr>
            <w:tcW w:w="2424" w:type="dxa"/>
          </w:tcPr>
          <w:p w14:paraId="2C7CFBEC" w14:textId="77777777" w:rsidR="009343DE" w:rsidRDefault="00000000">
            <w:pPr>
              <w:pStyle w:val="Compact"/>
            </w:pPr>
            <w:r>
              <w:t>Retrieval Recall</w:t>
            </w:r>
          </w:p>
        </w:tc>
        <w:tc>
          <w:tcPr>
            <w:tcW w:w="1939" w:type="dxa"/>
          </w:tcPr>
          <w:p w14:paraId="51D967D9" w14:textId="77777777" w:rsidR="009343DE" w:rsidRDefault="00000000">
            <w:pPr>
              <w:pStyle w:val="Compact"/>
            </w:pPr>
            <w:r>
              <w:t>Finding relevant information</w:t>
            </w:r>
          </w:p>
        </w:tc>
        <w:tc>
          <w:tcPr>
            <w:tcW w:w="1777" w:type="dxa"/>
          </w:tcPr>
          <w:p w14:paraId="1C71C4E1" w14:textId="77777777" w:rsidR="009343DE" w:rsidRDefault="00000000">
            <w:pPr>
              <w:pStyle w:val="Compact"/>
            </w:pPr>
            <w:r>
              <w:t>—</w:t>
            </w:r>
          </w:p>
        </w:tc>
      </w:tr>
      <w:tr w:rsidR="009343DE" w14:paraId="77F77027" w14:textId="77777777">
        <w:tc>
          <w:tcPr>
            <w:tcW w:w="1777" w:type="dxa"/>
          </w:tcPr>
          <w:p w14:paraId="6EC967EA" w14:textId="77777777" w:rsidR="009343DE" w:rsidRDefault="00000000">
            <w:pPr>
              <w:pStyle w:val="Compact"/>
            </w:pPr>
            <w:r>
              <w:t>Q&amp;A</w:t>
            </w:r>
          </w:p>
        </w:tc>
        <w:tc>
          <w:tcPr>
            <w:tcW w:w="2424" w:type="dxa"/>
          </w:tcPr>
          <w:p w14:paraId="3FA47EFC" w14:textId="77777777" w:rsidR="009343DE" w:rsidRDefault="00000000">
            <w:pPr>
              <w:pStyle w:val="Compact"/>
            </w:pPr>
            <w:r>
              <w:t>Context Relevancy, Answer Relevancy, Accuracy</w:t>
            </w:r>
          </w:p>
        </w:tc>
        <w:tc>
          <w:tcPr>
            <w:tcW w:w="1939" w:type="dxa"/>
          </w:tcPr>
          <w:p w14:paraId="24A85082" w14:textId="77777777" w:rsidR="009343DE" w:rsidRDefault="00000000">
            <w:pPr>
              <w:pStyle w:val="Compact"/>
            </w:pPr>
            <w:r>
              <w:t>Response correctness</w:t>
            </w:r>
          </w:p>
        </w:tc>
        <w:tc>
          <w:tcPr>
            <w:tcW w:w="1777" w:type="dxa"/>
          </w:tcPr>
          <w:p w14:paraId="68253F3A" w14:textId="77777777" w:rsidR="009343DE" w:rsidRDefault="00000000">
            <w:pPr>
              <w:pStyle w:val="Compact"/>
            </w:pPr>
            <w:r>
              <w:t>Accuracy &gt; 0.95</w:t>
            </w:r>
          </w:p>
        </w:tc>
      </w:tr>
      <w:tr w:rsidR="009343DE" w14:paraId="7B7DA8E7" w14:textId="77777777">
        <w:tc>
          <w:tcPr>
            <w:tcW w:w="1777" w:type="dxa"/>
          </w:tcPr>
          <w:p w14:paraId="6A96916F" w14:textId="77777777" w:rsidR="009343DE" w:rsidRDefault="00000000">
            <w:pPr>
              <w:pStyle w:val="Compact"/>
            </w:pPr>
            <w:r>
              <w:t>Tone/Politeness</w:t>
            </w:r>
          </w:p>
        </w:tc>
        <w:tc>
          <w:tcPr>
            <w:tcW w:w="2424" w:type="dxa"/>
          </w:tcPr>
          <w:p w14:paraId="2D564689" w14:textId="77777777" w:rsidR="009343DE" w:rsidRDefault="00000000">
            <w:pPr>
              <w:pStyle w:val="Compact"/>
            </w:pPr>
            <w:r>
              <w:t>Tone Compliance</w:t>
            </w:r>
          </w:p>
        </w:tc>
        <w:tc>
          <w:tcPr>
            <w:tcW w:w="1939" w:type="dxa"/>
          </w:tcPr>
          <w:p w14:paraId="61DCCF3B" w14:textId="77777777" w:rsidR="009343DE" w:rsidRDefault="00000000">
            <w:pPr>
              <w:pStyle w:val="Compact"/>
            </w:pPr>
            <w:r>
              <w:t>Communication style</w:t>
            </w:r>
          </w:p>
        </w:tc>
        <w:tc>
          <w:tcPr>
            <w:tcW w:w="1777" w:type="dxa"/>
          </w:tcPr>
          <w:p w14:paraId="6F0705FD" w14:textId="77777777" w:rsidR="009343DE" w:rsidRDefault="00000000">
            <w:pPr>
              <w:pStyle w:val="Compact"/>
            </w:pPr>
            <w:r>
              <w:t>—</w:t>
            </w:r>
          </w:p>
        </w:tc>
      </w:tr>
      <w:tr w:rsidR="009343DE" w14:paraId="5B1C48DD" w14:textId="77777777">
        <w:tc>
          <w:tcPr>
            <w:tcW w:w="1777" w:type="dxa"/>
          </w:tcPr>
          <w:p w14:paraId="1EC598A3" w14:textId="77777777" w:rsidR="009343DE" w:rsidRDefault="00000000">
            <w:pPr>
              <w:pStyle w:val="Compact"/>
            </w:pPr>
            <w:r>
              <w:t>Risk/Guardrails</w:t>
            </w:r>
          </w:p>
        </w:tc>
        <w:tc>
          <w:tcPr>
            <w:tcW w:w="2424" w:type="dxa"/>
          </w:tcPr>
          <w:p w14:paraId="1D7D5C4A" w14:textId="77777777" w:rsidR="009343DE" w:rsidRDefault="00000000">
            <w:pPr>
              <w:pStyle w:val="Compact"/>
            </w:pPr>
            <w:r>
              <w:t>Toxicity/Safety Filter</w:t>
            </w:r>
          </w:p>
        </w:tc>
        <w:tc>
          <w:tcPr>
            <w:tcW w:w="1939" w:type="dxa"/>
          </w:tcPr>
          <w:p w14:paraId="6D4A49C3" w14:textId="77777777" w:rsidR="009343DE" w:rsidRDefault="00000000">
            <w:pPr>
              <w:pStyle w:val="Compact"/>
            </w:pPr>
            <w:r>
              <w:t>Content safety</w:t>
            </w:r>
          </w:p>
        </w:tc>
        <w:tc>
          <w:tcPr>
            <w:tcW w:w="1777" w:type="dxa"/>
          </w:tcPr>
          <w:p w14:paraId="55FCB799" w14:textId="77777777" w:rsidR="009343DE" w:rsidRDefault="00000000">
            <w:pPr>
              <w:pStyle w:val="Compact"/>
            </w:pPr>
            <w:r>
              <w:t>0</w:t>
            </w:r>
          </w:p>
        </w:tc>
      </w:tr>
      <w:tr w:rsidR="009343DE" w14:paraId="5B0F3CF1" w14:textId="77777777">
        <w:tc>
          <w:tcPr>
            <w:tcW w:w="1777" w:type="dxa"/>
          </w:tcPr>
          <w:p w14:paraId="67242FC8" w14:textId="77777777" w:rsidR="009343DE" w:rsidRDefault="00000000">
            <w:pPr>
              <w:pStyle w:val="Compact"/>
            </w:pPr>
            <w:r>
              <w:t>Hallucination</w:t>
            </w:r>
          </w:p>
        </w:tc>
        <w:tc>
          <w:tcPr>
            <w:tcW w:w="2424" w:type="dxa"/>
          </w:tcPr>
          <w:p w14:paraId="724A0244" w14:textId="77777777" w:rsidR="009343DE" w:rsidRDefault="00000000">
            <w:pPr>
              <w:pStyle w:val="Compact"/>
            </w:pPr>
            <w:r>
              <w:t>Faithfulness/Hallucination</w:t>
            </w:r>
          </w:p>
        </w:tc>
        <w:tc>
          <w:tcPr>
            <w:tcW w:w="1939" w:type="dxa"/>
          </w:tcPr>
          <w:p w14:paraId="1C45D926" w14:textId="77777777" w:rsidR="009343DE" w:rsidRDefault="00000000">
            <w:pPr>
              <w:pStyle w:val="Compact"/>
            </w:pPr>
            <w:r>
              <w:t>Factual grounding</w:t>
            </w:r>
          </w:p>
        </w:tc>
        <w:tc>
          <w:tcPr>
            <w:tcW w:w="1777" w:type="dxa"/>
          </w:tcPr>
          <w:p w14:paraId="3EA8569B" w14:textId="77777777" w:rsidR="009343DE" w:rsidRDefault="00000000">
            <w:pPr>
              <w:pStyle w:val="Compact"/>
            </w:pPr>
            <w:r>
              <w:t>—</w:t>
            </w:r>
          </w:p>
        </w:tc>
      </w:tr>
      <w:tr w:rsidR="009343DE" w14:paraId="5DA6F3A9" w14:textId="77777777">
        <w:tc>
          <w:tcPr>
            <w:tcW w:w="1777" w:type="dxa"/>
          </w:tcPr>
          <w:p w14:paraId="72A1D213" w14:textId="77777777" w:rsidR="009343DE" w:rsidRDefault="00000000">
            <w:pPr>
              <w:pStyle w:val="Compact"/>
            </w:pPr>
            <w:r>
              <w:t>Bad-Actor Attack</w:t>
            </w:r>
          </w:p>
        </w:tc>
        <w:tc>
          <w:tcPr>
            <w:tcW w:w="2424" w:type="dxa"/>
          </w:tcPr>
          <w:p w14:paraId="45050BA7" w14:textId="77777777" w:rsidR="009343DE" w:rsidRDefault="00000000">
            <w:pPr>
              <w:pStyle w:val="Compact"/>
            </w:pPr>
            <w:r>
              <w:t>Adversarial Robustness</w:t>
            </w:r>
          </w:p>
        </w:tc>
        <w:tc>
          <w:tcPr>
            <w:tcW w:w="1939" w:type="dxa"/>
          </w:tcPr>
          <w:p w14:paraId="6D9CDCF5" w14:textId="77777777" w:rsidR="009343DE" w:rsidRDefault="00000000">
            <w:pPr>
              <w:pStyle w:val="Compact"/>
            </w:pPr>
            <w:r>
              <w:t>Security resilience</w:t>
            </w:r>
          </w:p>
        </w:tc>
        <w:tc>
          <w:tcPr>
            <w:tcW w:w="1777" w:type="dxa"/>
          </w:tcPr>
          <w:p w14:paraId="35D5944C" w14:textId="77777777" w:rsidR="009343DE" w:rsidRDefault="00000000">
            <w:pPr>
              <w:pStyle w:val="Compact"/>
            </w:pPr>
            <w:r>
              <w:t>—</w:t>
            </w:r>
          </w:p>
        </w:tc>
      </w:tr>
    </w:tbl>
    <w:p w14:paraId="68DE823E" w14:textId="77777777" w:rsidR="009343DE" w:rsidRDefault="005E45FE">
      <w:r>
        <w:rPr>
          <w:noProof/>
        </w:rPr>
        <w:pict w14:anchorId="5367277B">
          <v:rect id="_x0000_i1028" alt="" style="width:468pt;height:.05pt;mso-width-percent:0;mso-height-percent:0;mso-width-percent:0;mso-height-percent:0" o:hralign="center" o:hrstd="t" o:hr="t"/>
        </w:pict>
      </w:r>
    </w:p>
    <w:p w14:paraId="3B377B49" w14:textId="77777777" w:rsidR="009343DE" w:rsidRDefault="00000000">
      <w:pPr>
        <w:pStyle w:val="Heading1"/>
      </w:pPr>
      <w:bookmarkStart w:id="30" w:name="Xf558f5e4d610c7c2f43d72bebc5d2ddf3b959b8"/>
      <w:bookmarkEnd w:id="0"/>
      <w:bookmarkEnd w:id="29"/>
      <w:r>
        <w:lastRenderedPageBreak/>
        <w:t>Appendix A: Overlap Metrics (Mathematical Definitions)</w:t>
      </w:r>
    </w:p>
    <w:p w14:paraId="5A817589" w14:textId="77777777" w:rsidR="009343DE" w:rsidRDefault="00000000">
      <w:pPr>
        <w:pStyle w:val="Heading2"/>
      </w:pPr>
      <w:bookmarkStart w:id="31" w:name="rouge-1"/>
      <w:r>
        <w:t>ROUGE-1</w:t>
      </w:r>
    </w:p>
    <w:p w14:paraId="3386F6B1" w14:textId="77777777" w:rsidR="009343DE" w:rsidRDefault="00000000">
      <w:pPr>
        <w:pStyle w:val="FirstParagraph"/>
      </w:pPr>
      <w:r>
        <w:t>Unigram overlap between generated and reference text.</w:t>
      </w:r>
    </w:p>
    <w:p w14:paraId="5BB2A9AF" w14:textId="77777777" w:rsidR="009343DE" w:rsidRDefault="00000000">
      <w:pPr>
        <w:pStyle w:val="BodyText"/>
      </w:pPr>
      <m:oMathPara>
        <m:oMathParaPr>
          <m:jc m:val="center"/>
        </m:oMathParaPr>
        <m:oMath>
          <m:r>
            <m:rPr>
              <m:nor/>
            </m:rPr>
            <m:t>ROUGE-1 Recall</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unigrams</m:t>
              </m:r>
              <m:r>
                <m:rPr>
                  <m:sty m:val="p"/>
                </m:rPr>
                <w:rPr>
                  <w:rFonts w:ascii="Cambria Math" w:hAnsi="Cambria Math"/>
                </w:rPr>
                <m:t>(</m:t>
              </m:r>
              <m:r>
                <w:rPr>
                  <w:rFonts w:ascii="Cambria Math" w:hAnsi="Cambria Math"/>
                </w:rPr>
                <m:t>R</m:t>
              </m:r>
              <m:r>
                <m:rPr>
                  <m:sty m:val="p"/>
                </m:rPr>
                <w:rPr>
                  <w:rFonts w:ascii="Cambria Math" w:hAnsi="Cambria Math"/>
                </w:rPr>
                <m:t>)∩</m:t>
              </m:r>
              <m:r>
                <m:rPr>
                  <m:nor/>
                </m:rPr>
                <m:t>unigrams</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r>
                <m:rPr>
                  <m:nor/>
                </m:rPr>
                <m:t>unigrams</m:t>
              </m:r>
              <m:r>
                <m:rPr>
                  <m:sty m:val="p"/>
                </m:rPr>
                <w:rPr>
                  <w:rFonts w:ascii="Cambria Math" w:hAnsi="Cambria Math"/>
                </w:rPr>
                <m:t>(</m:t>
              </m:r>
              <m:r>
                <w:rPr>
                  <w:rFonts w:ascii="Cambria Math" w:hAnsi="Cambria Math"/>
                </w:rPr>
                <m:t>R</m:t>
              </m:r>
              <m:r>
                <m:rPr>
                  <m:sty m:val="p"/>
                </m:rPr>
                <w:rPr>
                  <w:rFonts w:ascii="Cambria Math" w:hAnsi="Cambria Math"/>
                </w:rPr>
                <m:t>)|</m:t>
              </m:r>
            </m:den>
          </m:f>
        </m:oMath>
      </m:oMathPara>
    </w:p>
    <w:p w14:paraId="7024800E" w14:textId="77777777" w:rsidR="009343DE" w:rsidRDefault="00000000">
      <w:pPr>
        <w:pStyle w:val="FirstParagraph"/>
      </w:pPr>
      <m:oMathPara>
        <m:oMathParaPr>
          <m:jc m:val="center"/>
        </m:oMathParaPr>
        <m:oMath>
          <m:r>
            <m:rPr>
              <m:nor/>
            </m:rPr>
            <m:t>ROUGE-1 Precision</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unigrams</m:t>
              </m:r>
              <m:r>
                <m:rPr>
                  <m:sty m:val="p"/>
                </m:rPr>
                <w:rPr>
                  <w:rFonts w:ascii="Cambria Math" w:hAnsi="Cambria Math"/>
                </w:rPr>
                <m:t>(</m:t>
              </m:r>
              <m:r>
                <w:rPr>
                  <w:rFonts w:ascii="Cambria Math" w:hAnsi="Cambria Math"/>
                </w:rPr>
                <m:t>R</m:t>
              </m:r>
              <m:r>
                <m:rPr>
                  <m:sty m:val="p"/>
                </m:rPr>
                <w:rPr>
                  <w:rFonts w:ascii="Cambria Math" w:hAnsi="Cambria Math"/>
                </w:rPr>
                <m:t>)∩</m:t>
              </m:r>
              <m:r>
                <m:rPr>
                  <m:nor/>
                </m:rPr>
                <m:t>unigrams</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r>
                <m:rPr>
                  <m:nor/>
                </m:rPr>
                <m:t>unigrams</m:t>
              </m:r>
              <m:r>
                <m:rPr>
                  <m:sty m:val="p"/>
                </m:rPr>
                <w:rPr>
                  <w:rFonts w:ascii="Cambria Math" w:hAnsi="Cambria Math"/>
                </w:rPr>
                <m:t>(</m:t>
              </m:r>
              <m:r>
                <w:rPr>
                  <w:rFonts w:ascii="Cambria Math" w:hAnsi="Cambria Math"/>
                </w:rPr>
                <m:t>C</m:t>
              </m:r>
              <m:r>
                <m:rPr>
                  <m:sty m:val="p"/>
                </m:rPr>
                <w:rPr>
                  <w:rFonts w:ascii="Cambria Math" w:hAnsi="Cambria Math"/>
                </w:rPr>
                <m:t>)|</m:t>
              </m:r>
            </m:den>
          </m:f>
        </m:oMath>
      </m:oMathPara>
    </w:p>
    <w:p w14:paraId="43517EFD" w14:textId="77777777" w:rsidR="009343DE" w:rsidRDefault="00000000">
      <w:pPr>
        <w:pStyle w:val="FirstParagraph"/>
      </w:pPr>
      <m:oMathPara>
        <m:oMathParaPr>
          <m:jc m:val="center"/>
        </m:oMathParaPr>
        <m:oMath>
          <m:r>
            <m:rPr>
              <m:nor/>
            </m:rPr>
            <m:t>ROUGE-1 F1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P</m:t>
              </m:r>
              <m:r>
                <m:rPr>
                  <m:sty m:val="p"/>
                </m:rPr>
                <w:rPr>
                  <w:rFonts w:ascii="Cambria Math" w:hAnsi="Cambria Math"/>
                </w:rPr>
                <m:t>+</m:t>
              </m:r>
              <m:r>
                <w:rPr>
                  <w:rFonts w:ascii="Cambria Math" w:hAnsi="Cambria Math"/>
                </w:rPr>
                <m:t>R</m:t>
              </m:r>
            </m:den>
          </m:f>
        </m:oMath>
      </m:oMathPara>
    </w:p>
    <w:p w14:paraId="28818AF3" w14:textId="77777777" w:rsidR="009343DE" w:rsidRDefault="00000000">
      <w:pPr>
        <w:pStyle w:val="Heading2"/>
      </w:pPr>
      <w:bookmarkStart w:id="32" w:name="rouge-2"/>
      <w:bookmarkEnd w:id="31"/>
      <w:r>
        <w:t>ROUGE-2</w:t>
      </w:r>
    </w:p>
    <w:p w14:paraId="0CBC5A5B" w14:textId="77777777" w:rsidR="009343DE" w:rsidRDefault="00000000">
      <w:pPr>
        <w:pStyle w:val="FirstParagraph"/>
      </w:pPr>
      <w:r>
        <w:t>Bigram (two consecutive words) overlap.</w:t>
      </w:r>
    </w:p>
    <w:p w14:paraId="30E312E0" w14:textId="77777777" w:rsidR="009343DE" w:rsidRDefault="00000000">
      <w:pPr>
        <w:pStyle w:val="BodyText"/>
      </w:pPr>
      <m:oMathPara>
        <m:oMathParaPr>
          <m:jc m:val="center"/>
        </m:oMathParaPr>
        <m:oMath>
          <m:r>
            <m:rPr>
              <m:nor/>
            </m:rPr>
            <m:t>ROUGE-2 Recall</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bigrams</m:t>
              </m:r>
              <m:r>
                <m:rPr>
                  <m:sty m:val="p"/>
                </m:rPr>
                <w:rPr>
                  <w:rFonts w:ascii="Cambria Math" w:hAnsi="Cambria Math"/>
                </w:rPr>
                <m:t>(</m:t>
              </m:r>
              <m:r>
                <w:rPr>
                  <w:rFonts w:ascii="Cambria Math" w:hAnsi="Cambria Math"/>
                </w:rPr>
                <m:t>R</m:t>
              </m:r>
              <m:r>
                <m:rPr>
                  <m:sty m:val="p"/>
                </m:rPr>
                <w:rPr>
                  <w:rFonts w:ascii="Cambria Math" w:hAnsi="Cambria Math"/>
                </w:rPr>
                <m:t>)∩</m:t>
              </m:r>
              <m:r>
                <m:rPr>
                  <m:nor/>
                </m:rPr>
                <m:t>bigrams</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r>
                <m:rPr>
                  <m:nor/>
                </m:rPr>
                <m:t>bigrams</m:t>
              </m:r>
              <m:r>
                <m:rPr>
                  <m:sty m:val="p"/>
                </m:rPr>
                <w:rPr>
                  <w:rFonts w:ascii="Cambria Math" w:hAnsi="Cambria Math"/>
                </w:rPr>
                <m:t>(</m:t>
              </m:r>
              <m:r>
                <w:rPr>
                  <w:rFonts w:ascii="Cambria Math" w:hAnsi="Cambria Math"/>
                </w:rPr>
                <m:t>R</m:t>
              </m:r>
              <m:r>
                <m:rPr>
                  <m:sty m:val="p"/>
                </m:rPr>
                <w:rPr>
                  <w:rFonts w:ascii="Cambria Math" w:hAnsi="Cambria Math"/>
                </w:rPr>
                <m:t>)|</m:t>
              </m:r>
            </m:den>
          </m:f>
        </m:oMath>
      </m:oMathPara>
    </w:p>
    <w:p w14:paraId="1257EF99" w14:textId="77777777" w:rsidR="009343DE" w:rsidRDefault="00000000">
      <w:pPr>
        <w:pStyle w:val="FirstParagraph"/>
      </w:pPr>
      <m:oMathPara>
        <m:oMathParaPr>
          <m:jc m:val="center"/>
        </m:oMathParaPr>
        <m:oMath>
          <m:r>
            <m:rPr>
              <m:nor/>
            </m:rPr>
            <m:t>ROUGE-2 Precision</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bigrams</m:t>
              </m:r>
              <m:r>
                <m:rPr>
                  <m:sty m:val="p"/>
                </m:rPr>
                <w:rPr>
                  <w:rFonts w:ascii="Cambria Math" w:hAnsi="Cambria Math"/>
                </w:rPr>
                <m:t>(</m:t>
              </m:r>
              <m:r>
                <w:rPr>
                  <w:rFonts w:ascii="Cambria Math" w:hAnsi="Cambria Math"/>
                </w:rPr>
                <m:t>R</m:t>
              </m:r>
              <m:r>
                <m:rPr>
                  <m:sty m:val="p"/>
                </m:rPr>
                <w:rPr>
                  <w:rFonts w:ascii="Cambria Math" w:hAnsi="Cambria Math"/>
                </w:rPr>
                <m:t>)∩</m:t>
              </m:r>
              <m:r>
                <m:rPr>
                  <m:nor/>
                </m:rPr>
                <m:t>bigrams</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r>
                <m:rPr>
                  <m:nor/>
                </m:rPr>
                <m:t>bigrams</m:t>
              </m:r>
              <m:r>
                <m:rPr>
                  <m:sty m:val="p"/>
                </m:rPr>
                <w:rPr>
                  <w:rFonts w:ascii="Cambria Math" w:hAnsi="Cambria Math"/>
                </w:rPr>
                <m:t>(</m:t>
              </m:r>
              <m:r>
                <w:rPr>
                  <w:rFonts w:ascii="Cambria Math" w:hAnsi="Cambria Math"/>
                </w:rPr>
                <m:t>C</m:t>
              </m:r>
              <m:r>
                <m:rPr>
                  <m:sty m:val="p"/>
                </m:rPr>
                <w:rPr>
                  <w:rFonts w:ascii="Cambria Math" w:hAnsi="Cambria Math"/>
                </w:rPr>
                <m:t>)|</m:t>
              </m:r>
            </m:den>
          </m:f>
        </m:oMath>
      </m:oMathPara>
    </w:p>
    <w:p w14:paraId="528F7A5A" w14:textId="77777777" w:rsidR="009343DE" w:rsidRDefault="00000000">
      <w:pPr>
        <w:pStyle w:val="Heading2"/>
      </w:pPr>
      <w:bookmarkStart w:id="33" w:name="rouge-l"/>
      <w:bookmarkEnd w:id="32"/>
      <w:r>
        <w:t>ROUGE-L</w:t>
      </w:r>
    </w:p>
    <w:p w14:paraId="6555AA41" w14:textId="77777777" w:rsidR="009343DE" w:rsidRDefault="00000000">
      <w:pPr>
        <w:pStyle w:val="FirstParagraph"/>
      </w:pPr>
      <w:r>
        <w:t>Longest Common Subsequence (LCS) based measure capturing sentence-level structure.</w:t>
      </w:r>
    </w:p>
    <w:p w14:paraId="22717E78" w14:textId="77777777" w:rsidR="009343DE"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r>
                <w:rPr>
                  <w:rFonts w:ascii="Cambria Math" w:hAnsi="Cambria Math"/>
                </w:rPr>
                <m:t>R</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m:t>
              </m:r>
              <m:r>
                <w:rPr>
                  <w:rFonts w:ascii="Cambria Math" w:hAnsi="Cambria Math"/>
                </w:rPr>
                <m:t>C</m:t>
              </m:r>
              <m:r>
                <m:rPr>
                  <m:sty m:val="p"/>
                </m:rPr>
                <w:rPr>
                  <w:rFonts w:ascii="Cambria Math" w:hAnsi="Cambria Math"/>
                </w:rPr>
                <m:t>|</m:t>
              </m:r>
            </m:den>
          </m:f>
        </m:oMath>
      </m:oMathPara>
    </w:p>
    <w:p w14:paraId="770D88EC" w14:textId="77777777" w:rsidR="009343DE" w:rsidRDefault="00000000">
      <w:pPr>
        <w:pStyle w:val="FirstParagraph"/>
      </w:pPr>
      <m:oMathPara>
        <m:oMathParaPr>
          <m:jc m:val="center"/>
        </m:oMathParaPr>
        <m:oMath>
          <m:r>
            <m:rPr>
              <m:nor/>
            </m:rPr>
            <m:t>ROUGE-L</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lcs</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lcs</m:t>
                  </m:r>
                </m:sub>
              </m:sSub>
            </m:num>
            <m:den>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lcs</m:t>
                  </m:r>
                </m:sub>
              </m:sSub>
            </m:den>
          </m:f>
        </m:oMath>
      </m:oMathPara>
    </w:p>
    <w:p w14:paraId="5D4AC2F0" w14:textId="77777777" w:rsidR="009343DE" w:rsidRDefault="00000000">
      <w:pPr>
        <w:pStyle w:val="FirstParagraph"/>
      </w:pPr>
      <w:r>
        <w:t xml:space="preserve">where </w:t>
      </w:r>
      <m:oMath>
        <m:r>
          <w:rPr>
            <w:rFonts w:ascii="Cambria Math" w:hAnsi="Cambria Math"/>
          </w:rPr>
          <m:t>β</m:t>
        </m:r>
      </m:oMath>
      <w:r>
        <w:t xml:space="preserve"> controls relative importance of recall vs. precision (typically </w:t>
      </w:r>
      <m:oMath>
        <m:r>
          <w:rPr>
            <w:rFonts w:ascii="Cambria Math" w:hAnsi="Cambria Math"/>
          </w:rPr>
          <m:t>β</m:t>
        </m:r>
        <m:r>
          <m:rPr>
            <m:sty m:val="p"/>
          </m:rPr>
          <w:rPr>
            <w:rFonts w:ascii="Cambria Math" w:hAnsi="Cambria Math"/>
          </w:rPr>
          <m:t>=</m:t>
        </m:r>
        <m:r>
          <w:rPr>
            <w:rFonts w:ascii="Cambria Math" w:hAnsi="Cambria Math"/>
          </w:rPr>
          <m:t>1.2</m:t>
        </m:r>
      </m:oMath>
      <w:r>
        <w:t>).</w:t>
      </w:r>
    </w:p>
    <w:p w14:paraId="18255F1C" w14:textId="77777777" w:rsidR="009343DE" w:rsidRDefault="00000000">
      <w:pPr>
        <w:pStyle w:val="Heading2"/>
      </w:pPr>
      <w:bookmarkStart w:id="34" w:name="bleu"/>
      <w:bookmarkEnd w:id="33"/>
      <w:r>
        <w:t>BLEU</w:t>
      </w:r>
    </w:p>
    <w:p w14:paraId="6CBE7A8E" w14:textId="77777777" w:rsidR="009343DE" w:rsidRDefault="00000000">
      <w:pPr>
        <w:pStyle w:val="FirstParagraph"/>
      </w:pPr>
      <w:r>
        <w:t>Precision-based n-gram overlap with brevity penalty.</w:t>
      </w:r>
    </w:p>
    <w:p w14:paraId="62707B11" w14:textId="77777777" w:rsidR="009343DE" w:rsidRDefault="00000000">
      <w:pPr>
        <w:pStyle w:val="BodyText"/>
      </w:pPr>
      <w:r>
        <w:rPr>
          <w:b/>
          <w:bCs/>
        </w:rPr>
        <w:t>Modified n-gram precision:</w:t>
      </w:r>
    </w:p>
    <w:p w14:paraId="102E2128" w14:textId="77777777" w:rsidR="009343DE"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m:rPr>
                      <m:nor/>
                    </m:rPr>
                    <m:t>n-grams</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r>
                    <m:rPr>
                      <m:sty m:val="p"/>
                    </m:rPr>
                    <w:rPr>
                      <w:rFonts w:ascii="Cambria Math" w:hAnsi="Cambria Math"/>
                    </w:rPr>
                    <m:t>min</m:t>
                  </m:r>
                </m:e>
              </m:nary>
              <m:r>
                <m:rPr>
                  <m:sty m:val="p"/>
                </m:rPr>
                <w:rPr>
                  <w:rFonts w:ascii="Cambria Math" w:hAnsi="Cambria Math"/>
                </w:rPr>
                <m:t>(</m:t>
              </m:r>
              <m:sSub>
                <m:sSubPr>
                  <m:ctrlPr>
                    <w:rPr>
                      <w:rFonts w:ascii="Cambria Math" w:hAnsi="Cambria Math"/>
                    </w:rPr>
                  </m:ctrlPr>
                </m:sSubPr>
                <m:e>
                  <m:r>
                    <m:rPr>
                      <m:nor/>
                    </m:rPr>
                    <m:t>count</m:t>
                  </m:r>
                </m:e>
                <m:sub>
                  <m:r>
                    <w:rPr>
                      <w:rFonts w:ascii="Cambria Math" w:hAnsi="Cambria Math"/>
                    </w:rPr>
                    <m:t>C</m:t>
                  </m:r>
                </m:sub>
              </m:sSub>
              <m:r>
                <m:rPr>
                  <m:sty m:val="p"/>
                </m:rPr>
                <w:rPr>
                  <w:rFonts w:ascii="Cambria Math" w:hAnsi="Cambria Math"/>
                </w:rPr>
                <m:t>(</m:t>
              </m:r>
              <m:r>
                <w:rPr>
                  <w:rFonts w:ascii="Cambria Math" w:hAnsi="Cambria Math"/>
                </w:rPr>
                <m:t>g</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R</m:t>
                      </m:r>
                    </m:e>
                    <m:sub>
                      <m:r>
                        <w:rPr>
                          <w:rFonts w:ascii="Cambria Math" w:hAnsi="Cambria Math"/>
                        </w:rPr>
                        <m:t>j</m:t>
                      </m:r>
                    </m:sub>
                  </m:sSub>
                </m:lim>
              </m:limLow>
              <m:sSub>
                <m:sSubPr>
                  <m:ctrlPr>
                    <w:rPr>
                      <w:rFonts w:ascii="Cambria Math" w:hAnsi="Cambria Math"/>
                    </w:rPr>
                  </m:ctrlPr>
                </m:sSubPr>
                <m:e>
                  <m:r>
                    <m:rPr>
                      <m:nor/>
                    </m:rPr>
                    <m:t>count</m:t>
                  </m:r>
                </m:e>
                <m:sub>
                  <m:sSub>
                    <m:sSubPr>
                      <m:ctrlPr>
                        <w:rPr>
                          <w:rFonts w:ascii="Cambria Math" w:hAnsi="Cambria Math"/>
                        </w:rPr>
                      </m:ctrlPr>
                    </m:sSubPr>
                    <m:e>
                      <m:r>
                        <w:rPr>
                          <w:rFonts w:ascii="Cambria Math" w:hAnsi="Cambria Math"/>
                        </w:rPr>
                        <m:t>R</m:t>
                      </m:r>
                    </m:e>
                    <m:sub>
                      <m:r>
                        <w:rPr>
                          <w:rFonts w:ascii="Cambria Math" w:hAnsi="Cambria Math"/>
                        </w:rPr>
                        <m:t>j</m:t>
                      </m:r>
                    </m:sub>
                  </m:sSub>
                </m:sub>
              </m:sSub>
              <m:r>
                <m:rPr>
                  <m:sty m:val="p"/>
                </m:rPr>
                <w:rPr>
                  <w:rFonts w:ascii="Cambria Math" w:hAnsi="Cambria Math"/>
                </w:rPr>
                <m:t>(</m:t>
              </m:r>
              <m:r>
                <w:rPr>
                  <w:rFonts w:ascii="Cambria Math" w:hAnsi="Cambria Math"/>
                </w:rPr>
                <m:t>g</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m:rPr>
                      <m:nor/>
                    </m:rPr>
                    <m:t>n-grams</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sSub>
                    <m:sSubPr>
                      <m:ctrlPr>
                        <w:rPr>
                          <w:rFonts w:ascii="Cambria Math" w:hAnsi="Cambria Math"/>
                        </w:rPr>
                      </m:ctrlPr>
                    </m:sSubPr>
                    <m:e>
                      <m:r>
                        <m:rPr>
                          <m:nor/>
                        </m:rPr>
                        <m:t>count</m:t>
                      </m:r>
                    </m:e>
                    <m:sub>
                      <m:r>
                        <w:rPr>
                          <w:rFonts w:ascii="Cambria Math" w:hAnsi="Cambria Math"/>
                        </w:rPr>
                        <m:t>C</m:t>
                      </m:r>
                    </m:sub>
                  </m:sSub>
                </m:e>
              </m:nary>
              <m:r>
                <m:rPr>
                  <m:sty m:val="p"/>
                </m:rPr>
                <w:rPr>
                  <w:rFonts w:ascii="Cambria Math" w:hAnsi="Cambria Math"/>
                </w:rPr>
                <m:t>(</m:t>
              </m:r>
              <m:r>
                <w:rPr>
                  <w:rFonts w:ascii="Cambria Math" w:hAnsi="Cambria Math"/>
                </w:rPr>
                <m:t>g</m:t>
              </m:r>
              <m:r>
                <m:rPr>
                  <m:sty m:val="p"/>
                </m:rPr>
                <w:rPr>
                  <w:rFonts w:ascii="Cambria Math" w:hAnsi="Cambria Math"/>
                </w:rPr>
                <m:t>)</m:t>
              </m:r>
            </m:den>
          </m:f>
        </m:oMath>
      </m:oMathPara>
    </w:p>
    <w:p w14:paraId="54BAB72C" w14:textId="77777777" w:rsidR="009343DE" w:rsidRDefault="00000000">
      <w:pPr>
        <w:pStyle w:val="FirstParagraph"/>
      </w:pPr>
      <w:r>
        <w:rPr>
          <w:b/>
          <w:bCs/>
        </w:rPr>
        <w:t>Brevity Penalty:</w:t>
      </w:r>
    </w:p>
    <w:p w14:paraId="1A12034E" w14:textId="77777777" w:rsidR="009343DE" w:rsidRDefault="00000000">
      <w:pPr>
        <w:pStyle w:val="BodyText"/>
      </w:pPr>
      <m:oMathPara>
        <m:oMathParaPr>
          <m:jc m:val="center"/>
        </m:oMathParaPr>
        <m:oMath>
          <m:r>
            <m:rPr>
              <m:nor/>
            </m:rPr>
            <w:lastRenderedPageBreak/>
            <m:t>BP</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R</m:t>
                    </m:r>
                    <m:r>
                      <m:rPr>
                        <m:sty m:val="p"/>
                      </m:rPr>
                      <w:rPr>
                        <w:rFonts w:ascii="Cambria Math" w:hAnsi="Cambria Math"/>
                      </w:rPr>
                      <m:t>|</m:t>
                    </m:r>
                  </m:e>
                </m:mr>
                <m:mr>
                  <m:e>
                    <m:r>
                      <m:rPr>
                        <m:sty m:val="p"/>
                      </m:rPr>
                      <w:rPr>
                        <w:rFonts w:ascii="Cambria Math" w:hAnsi="Cambria Math"/>
                      </w:rPr>
                      <m:t>exp</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r>
                              <m:rPr>
                                <m:sty m:val="p"/>
                              </m:rPr>
                              <w:rPr>
                                <w:rFonts w:ascii="Cambria Math" w:hAnsi="Cambria Math"/>
                              </w:rPr>
                              <m:t>|</m:t>
                            </m:r>
                          </m:num>
                          <m:den>
                            <m:r>
                              <m:rPr>
                                <m:sty m:val="p"/>
                              </m:rPr>
                              <w:rPr>
                                <w:rFonts w:ascii="Cambria Math" w:hAnsi="Cambria Math"/>
                              </w:rPr>
                              <m:t>|</m:t>
                            </m:r>
                            <m:r>
                              <w:rPr>
                                <w:rFonts w:ascii="Cambria Math" w:hAnsi="Cambria Math"/>
                              </w:rPr>
                              <m:t>C</m:t>
                            </m:r>
                            <m:r>
                              <m:rPr>
                                <m:sty m:val="p"/>
                              </m:rPr>
                              <w:rPr>
                                <w:rFonts w:ascii="Cambria Math" w:hAnsi="Cambria Math"/>
                              </w:rPr>
                              <m:t>|</m:t>
                            </m:r>
                          </m:den>
                        </m:f>
                      </m:e>
                    </m:d>
                  </m:e>
                  <m:e>
                    <m:r>
                      <m:rPr>
                        <m:nor/>
                      </m:rPr>
                      <m:t xml:space="preserve">if </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e>
                </m:mr>
              </m:m>
            </m:e>
          </m:d>
        </m:oMath>
      </m:oMathPara>
    </w:p>
    <w:p w14:paraId="40158587" w14:textId="77777777" w:rsidR="009343DE" w:rsidRDefault="00000000">
      <w:pPr>
        <w:pStyle w:val="FirstParagraph"/>
      </w:pPr>
      <w:r>
        <w:rPr>
          <w:b/>
          <w:bCs/>
        </w:rPr>
        <w:t>BLEU Score:</w:t>
      </w:r>
    </w:p>
    <w:p w14:paraId="14B05CBE" w14:textId="77777777" w:rsidR="009343DE" w:rsidRDefault="00000000">
      <w:pPr>
        <w:pStyle w:val="BodyText"/>
      </w:pPr>
      <m:oMathPara>
        <m:oMathParaPr>
          <m:jc m:val="center"/>
        </m:oMathParaPr>
        <m:oMath>
          <m:r>
            <m:rPr>
              <m:nor/>
            </m:rPr>
            <m:t>BLEU</m:t>
          </m:r>
          <m:r>
            <m:rPr>
              <m:sty m:val="p"/>
            </m:rPr>
            <w:rPr>
              <w:rFonts w:ascii="Cambria Math" w:hAnsi="Cambria Math"/>
            </w:rPr>
            <m:t>=</m:t>
          </m:r>
          <m:r>
            <m:rPr>
              <m:nor/>
            </m:rPr>
            <m:t>BP</m:t>
          </m:r>
          <m:r>
            <m:rPr>
              <m:sty m:val="p"/>
            </m:rPr>
            <w:rPr>
              <w:rFonts w:ascii="Cambria Math" w:hAnsi="Cambria Math"/>
            </w:rPr>
            <m:t>⋅exp</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n</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n</m:t>
                  </m:r>
                </m:sub>
              </m:sSub>
            </m:e>
          </m:d>
        </m:oMath>
      </m:oMathPara>
    </w:p>
    <w:p w14:paraId="4CE2B08D" w14:textId="77777777" w:rsidR="009343DE" w:rsidRDefault="00000000">
      <w:pPr>
        <w:pStyle w:val="Heading2"/>
      </w:pPr>
      <w:bookmarkStart w:id="35" w:name="f1-score"/>
      <w:bookmarkEnd w:id="34"/>
      <w:r>
        <w:t>F1 Score</w:t>
      </w:r>
    </w:p>
    <w:p w14:paraId="2F9BEEA9" w14:textId="77777777" w:rsidR="009343DE" w:rsidRDefault="00000000">
      <w:pPr>
        <w:pStyle w:val="FirstParagraph"/>
      </w:pPr>
      <w:r>
        <w:t>Token-level harmonic mean of precision and recall.</w:t>
      </w:r>
    </w:p>
    <w:p w14:paraId="0C1F9048" w14:textId="77777777" w:rsidR="009343DE" w:rsidRDefault="00000000">
      <w:pPr>
        <w:pStyle w:val="BodyTex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den>
          </m:f>
        </m:oMath>
      </m:oMathPara>
    </w:p>
    <w:p w14:paraId="31EEC730" w14:textId="77777777" w:rsidR="009343DE" w:rsidRDefault="00000000">
      <w:pPr>
        <w:pStyle w:val="FirstParagraph"/>
      </w:pPr>
      <m:oMathPara>
        <m:oMathParaPr>
          <m:jc m:val="center"/>
        </m:oMathParaPr>
        <m:oMath>
          <m:r>
            <m:rPr>
              <m:nor/>
            </m:rPr>
            <m:t>F1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305C5CA6" w14:textId="77777777" w:rsidR="009343DE" w:rsidRDefault="005E45FE">
      <w:r>
        <w:rPr>
          <w:noProof/>
        </w:rPr>
        <w:pict w14:anchorId="7A39CF0F">
          <v:rect id="_x0000_i1027" alt="" style="width:468pt;height:.05pt;mso-width-percent:0;mso-height-percent:0;mso-width-percent:0;mso-height-percent:0" o:hralign="center" o:hrstd="t" o:hr="t"/>
        </w:pict>
      </w:r>
    </w:p>
    <w:p w14:paraId="625B0878" w14:textId="77777777" w:rsidR="009343DE" w:rsidRDefault="00000000">
      <w:pPr>
        <w:pStyle w:val="Heading1"/>
      </w:pPr>
      <w:bookmarkStart w:id="36" w:name="Xd6496b635a16f2ea8595735605b9f8a4082f9ff"/>
      <w:bookmarkEnd w:id="30"/>
      <w:bookmarkEnd w:id="35"/>
      <w:r>
        <w:t>Appendix B: Quality Metrics (Mathematical Definitions)</w:t>
      </w:r>
    </w:p>
    <w:p w14:paraId="5960DE53" w14:textId="77777777" w:rsidR="009343DE" w:rsidRDefault="00000000">
      <w:pPr>
        <w:pStyle w:val="Heading2"/>
      </w:pPr>
      <w:bookmarkStart w:id="37" w:name="context-relevancy"/>
      <w:r>
        <w:t>Context Relevancy</w:t>
      </w:r>
    </w:p>
    <w:p w14:paraId="743E0438" w14:textId="77777777" w:rsidR="009343DE" w:rsidRDefault="00000000">
      <w:pPr>
        <w:pStyle w:val="FirstParagraph"/>
      </w:pPr>
      <w:r>
        <w:t>Measures whether the retrieved knowledge matches the user’s query intent.</w:t>
      </w:r>
    </w:p>
    <w:p w14:paraId="0A34D208" w14:textId="77777777" w:rsidR="009343DE" w:rsidRDefault="00000000">
      <w:pPr>
        <w:pStyle w:val="BodyText"/>
      </w:pPr>
      <m:oMathPara>
        <m:oMathParaPr>
          <m:jc m:val="center"/>
        </m:oMathParaPr>
        <m:oMath>
          <m:r>
            <m:rPr>
              <m:nor/>
            </m:rPr>
            <m:t>Context Relevancy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r>
                <m:rPr>
                  <m:nor/>
                </m:rPr>
                <m:t>relevant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e>
          </m:d>
        </m:oMath>
      </m:oMathPara>
    </w:p>
    <w:p w14:paraId="276A2FC9" w14:textId="77777777" w:rsidR="009343DE" w:rsidRDefault="00000000">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 retrieved context chunk and </w:t>
      </w:r>
      <m:oMath>
        <m:r>
          <w:rPr>
            <w:rFonts w:ascii="Cambria Math" w:hAnsi="Cambria Math"/>
          </w:rPr>
          <m:t>q</m:t>
        </m:r>
      </m:oMath>
      <w:r>
        <w:t xml:space="preserve"> is the user query. Alternatively, using semantic similarity:</w:t>
      </w:r>
    </w:p>
    <w:p w14:paraId="2FB7F24F" w14:textId="77777777" w:rsidR="009343DE" w:rsidRDefault="00000000">
      <w:pPr>
        <w:pStyle w:val="BodyText"/>
      </w:pPr>
      <m:oMathPara>
        <m:oMathParaPr>
          <m:jc m:val="center"/>
        </m:oMathParaPr>
        <m:oMath>
          <m:r>
            <m:rPr>
              <m:nor/>
            </m:rPr>
            <m:t>Context Relevancy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cos</m:t>
              </m:r>
            </m:e>
          </m:nary>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c</m:t>
                  </m:r>
                </m:e>
                <m:sub>
                  <m:r>
                    <w:rPr>
                      <w:rFonts w:ascii="Cambria Math" w:hAnsi="Cambria Math"/>
                    </w:rPr>
                    <m:t>i</m:t>
                  </m:r>
                </m:sub>
              </m:sSub>
            </m:sub>
          </m:sSub>
          <m:r>
            <m:rPr>
              <m:sty m:val="p"/>
            </m:rPr>
            <w:rPr>
              <w:rFonts w:ascii="Cambria Math" w:hAnsi="Cambria Math"/>
            </w:rPr>
            <m:t>)</m:t>
          </m:r>
        </m:oMath>
      </m:oMathPara>
    </w:p>
    <w:p w14:paraId="3ED794B2" w14:textId="77777777" w:rsidR="009343DE" w:rsidRDefault="00000000">
      <w:pPr>
        <w:pStyle w:val="Heading2"/>
      </w:pPr>
      <w:bookmarkStart w:id="38" w:name="answer-relevancy"/>
      <w:bookmarkEnd w:id="37"/>
      <w:r>
        <w:t>Answer Relevancy</w:t>
      </w:r>
    </w:p>
    <w:p w14:paraId="6F703BE4" w14:textId="77777777" w:rsidR="009343DE" w:rsidRDefault="00000000">
      <w:pPr>
        <w:pStyle w:val="FirstParagraph"/>
      </w:pPr>
      <w:r>
        <w:t>Measures whether the generated answer directly addresses the user’s question.</w:t>
      </w:r>
    </w:p>
    <w:p w14:paraId="3FB681C1" w14:textId="77777777" w:rsidR="009343DE" w:rsidRDefault="00000000">
      <w:pPr>
        <w:pStyle w:val="BodyText"/>
      </w:pPr>
      <m:oMathPara>
        <m:oMathParaPr>
          <m:jc m:val="center"/>
        </m:oMathParaPr>
        <m:oMath>
          <m:r>
            <m:rPr>
              <m:nor/>
            </m:rPr>
            <m:t>Answer Relevancy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cos</m:t>
              </m:r>
            </m:e>
          </m:nary>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sub>
          </m:sSub>
          <m:r>
            <m:rPr>
              <m:sty m:val="p"/>
            </m:rPr>
            <w:rPr>
              <w:rFonts w:ascii="Cambria Math" w:hAnsi="Cambria Math"/>
            </w:rPr>
            <m:t>)</m:t>
          </m:r>
        </m:oMath>
      </m:oMathPara>
    </w:p>
    <w:p w14:paraId="579CA08E" w14:textId="77777777" w:rsidR="009343DE" w:rsidRDefault="00000000">
      <w:pPr>
        <w:pStyle w:val="FirstParagraph"/>
      </w:pPr>
      <w:r>
        <w:lastRenderedPageBreak/>
        <w:t xml:space="preserve">where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oMath>
      <w:r>
        <w:t xml:space="preserve"> is the embedding of the original query and </w:t>
      </w:r>
      <m:oMath>
        <m:sSub>
          <m:sSubPr>
            <m:ctrlPr>
              <w:rPr>
                <w:rFonts w:ascii="Cambria Math" w:hAnsi="Cambria Math"/>
              </w:rPr>
            </m:ctrlPr>
          </m:sSubPr>
          <m:e>
            <m:r>
              <m:rPr>
                <m:sty m:val="b"/>
              </m:rPr>
              <w:rPr>
                <w:rFonts w:ascii="Cambria Math" w:hAnsi="Cambria Math"/>
              </w:rPr>
              <m:t>e</m:t>
            </m:r>
          </m:e>
          <m:sub>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sub>
        </m:sSub>
      </m:oMath>
      <w:r>
        <w:t xml:space="preserve"> are embeddings of synthetic questions generated from the answer. High similarity indicates the answer addresses the original query intent.</w:t>
      </w:r>
    </w:p>
    <w:p w14:paraId="2EC84074" w14:textId="77777777" w:rsidR="009343DE" w:rsidRDefault="00000000">
      <w:pPr>
        <w:pStyle w:val="Heading2"/>
      </w:pPr>
      <w:bookmarkStart w:id="39" w:name="faithfulness"/>
      <w:bookmarkEnd w:id="38"/>
      <w:r>
        <w:t>Faithfulness</w:t>
      </w:r>
    </w:p>
    <w:p w14:paraId="535D65F3" w14:textId="77777777" w:rsidR="009343DE" w:rsidRDefault="00000000">
      <w:pPr>
        <w:pStyle w:val="FirstParagraph"/>
      </w:pPr>
      <w:r>
        <w:t>Proportion of claims grounded in context.</w:t>
      </w:r>
    </w:p>
    <w:p w14:paraId="411D03E1" w14:textId="77777777" w:rsidR="009343DE" w:rsidRDefault="00000000">
      <w:pPr>
        <w:pStyle w:val="BodyText"/>
      </w:pPr>
      <m:oMathPara>
        <m:oMathParaPr>
          <m:jc m:val="center"/>
        </m:oMathParaPr>
        <m:oMath>
          <m:r>
            <m:rPr>
              <m:nor/>
            </m:rPr>
            <m:t>Faithfulness</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supported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m:rPr>
                  <m:sty m:val="p"/>
                </m:rPr>
                <w:rPr>
                  <w:rFonts w:ascii="Cambria Math" w:hAnsi="Cambria Math"/>
                </w:rPr>
                <m:t>|</m:t>
              </m:r>
            </m:den>
          </m:f>
        </m:oMath>
      </m:oMathPara>
    </w:p>
    <w:p w14:paraId="112A9819" w14:textId="77777777" w:rsidR="009343DE" w:rsidRDefault="00000000">
      <w:pPr>
        <w:pStyle w:val="FirstParagraph"/>
      </w:pPr>
      <w:r>
        <w:t xml:space="preserve">A claim </w:t>
      </w:r>
      <m:oMath>
        <m:r>
          <w:rPr>
            <w:rFonts w:ascii="Cambria Math" w:hAnsi="Cambria Math"/>
          </w:rPr>
          <m:t>c</m:t>
        </m:r>
      </m:oMath>
      <w:r>
        <w:t xml:space="preserve"> is supported if </w:t>
      </w:r>
      <m:oMath>
        <m:r>
          <w:rPr>
            <w:rFonts w:ascii="Cambria Math" w:hAnsi="Cambria Math"/>
          </w:rPr>
          <m:t>P</m:t>
        </m:r>
        <m:r>
          <m:rPr>
            <m:sty m:val="p"/>
          </m:rPr>
          <w:rPr>
            <w:rFonts w:ascii="Cambria Math" w:hAnsi="Cambria Math"/>
          </w:rPr>
          <m:t>(</m:t>
        </m:r>
        <m:r>
          <m:rPr>
            <m:nor/>
          </m:rPr>
          <m:t>entailment</m:t>
        </m:r>
        <m:r>
          <m:rPr>
            <m:sty m:val="p"/>
          </m:rPr>
          <w:rPr>
            <w:rFonts w:ascii="Cambria Math" w:hAnsi="Cambria Math"/>
          </w:rPr>
          <m:t>∣</m:t>
        </m:r>
        <m:r>
          <m:rPr>
            <m:nor/>
          </m:rPr>
          <m:t>context</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τ</m:t>
        </m:r>
      </m:oMath>
      <w:r>
        <w:t xml:space="preserve"> for threshold </w:t>
      </w:r>
      <m:oMath>
        <m:r>
          <w:rPr>
            <w:rFonts w:ascii="Cambria Math" w:hAnsi="Cambria Math"/>
          </w:rPr>
          <m:t>τ</m:t>
        </m:r>
      </m:oMath>
      <w:r>
        <w:t>.</w:t>
      </w:r>
    </w:p>
    <w:p w14:paraId="2A19A3E4" w14:textId="77777777" w:rsidR="009343DE" w:rsidRDefault="00000000">
      <w:pPr>
        <w:pStyle w:val="Heading2"/>
      </w:pPr>
      <w:bookmarkStart w:id="40" w:name="completeness"/>
      <w:bookmarkEnd w:id="39"/>
      <w:r>
        <w:t>Completeness</w:t>
      </w:r>
    </w:p>
    <w:p w14:paraId="34B12D22" w14:textId="77777777" w:rsidR="009343DE" w:rsidRDefault="00000000">
      <w:pPr>
        <w:pStyle w:val="FirstParagraph"/>
      </w:pPr>
      <w:r>
        <w:t>Proportion of required information present.</w:t>
      </w:r>
    </w:p>
    <w:p w14:paraId="0C1D39E3" w14:textId="77777777" w:rsidR="009343DE" w:rsidRDefault="00000000">
      <w:pPr>
        <w:pStyle w:val="BodyText"/>
      </w:pPr>
      <m:oMathPara>
        <m:oMathParaPr>
          <m:jc m:val="center"/>
        </m:oMathParaPr>
        <m:oMath>
          <m:r>
            <m:rPr>
              <m:nor/>
            </m:rPr>
            <m:t>Completeness</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covered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required</m:t>
                  </m:r>
                </m:sub>
              </m:sSub>
              <m:r>
                <m:rPr>
                  <m:sty m:val="p"/>
                </m:rPr>
                <w:rPr>
                  <w:rFonts w:ascii="Cambria Math" w:hAnsi="Cambria Math"/>
                </w:rPr>
                <m:t>|</m:t>
              </m:r>
            </m:den>
          </m:f>
        </m:oMath>
      </m:oMathPara>
    </w:p>
    <w:p w14:paraId="58426659" w14:textId="77777777" w:rsidR="009343DE" w:rsidRDefault="00000000">
      <w:pPr>
        <w:pStyle w:val="Heading2"/>
      </w:pPr>
      <w:bookmarkStart w:id="41" w:name="facts-covered"/>
      <w:bookmarkEnd w:id="40"/>
      <w:r>
        <w:t>Facts Covered</w:t>
      </w:r>
    </w:p>
    <w:p w14:paraId="065D369B" w14:textId="77777777" w:rsidR="009343DE" w:rsidRDefault="00000000">
      <w:pPr>
        <w:pStyle w:val="FirstParagraph"/>
      </w:pPr>
      <w:r>
        <w:t>Proportion of ground truth facts mentioned.</w:t>
      </w:r>
    </w:p>
    <w:p w14:paraId="41049CB8" w14:textId="77777777" w:rsidR="009343DE" w:rsidRDefault="00000000">
      <w:pPr>
        <w:pStyle w:val="BodyText"/>
      </w:pPr>
      <m:oMathPara>
        <m:oMathParaPr>
          <m:jc m:val="center"/>
        </m:oMathParaPr>
        <m:oMath>
          <m:r>
            <m:rPr>
              <m:nor/>
            </m:rPr>
            <m:t>Facts Covered</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m:rPr>
                      <m:nor/>
                    </m:rPr>
                    <m:t>response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m:rPr>
                      <m:nor/>
                    </m:rPr>
                    <m:t>GT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m:rPr>
                      <m:nor/>
                    </m:rPr>
                    <m:t>GT</m:t>
                  </m:r>
                </m:sub>
              </m:sSub>
              <m:r>
                <m:rPr>
                  <m:sty m:val="p"/>
                </m:rPr>
                <w:rPr>
                  <w:rFonts w:ascii="Cambria Math" w:hAnsi="Cambria Math"/>
                </w:rPr>
                <m:t>|</m:t>
              </m:r>
            </m:den>
          </m:f>
        </m:oMath>
      </m:oMathPara>
    </w:p>
    <w:p w14:paraId="68FD1276" w14:textId="77777777" w:rsidR="009343DE" w:rsidRDefault="00000000">
      <w:pPr>
        <w:pStyle w:val="Heading2"/>
      </w:pPr>
      <w:bookmarkStart w:id="42" w:name="accuracy"/>
      <w:bookmarkEnd w:id="41"/>
      <w:r>
        <w:t>Accuracy</w:t>
      </w:r>
    </w:p>
    <w:p w14:paraId="4FBA2DFB" w14:textId="77777777" w:rsidR="009343DE" w:rsidRDefault="00000000">
      <w:pPr>
        <w:pStyle w:val="FirstParagraph"/>
      </w:pPr>
      <w:r>
        <w:t>Correctness against ground truth.</w:t>
      </w:r>
    </w:p>
    <w:p w14:paraId="3482CC5A" w14:textId="77777777" w:rsidR="009343DE" w:rsidRDefault="00000000">
      <w:pPr>
        <w:pStyle w:val="BodyText"/>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m:oMathPara>
    </w:p>
    <w:p w14:paraId="18E66E31" w14:textId="77777777" w:rsidR="009343DE" w:rsidRDefault="00000000">
      <w:pPr>
        <w:pStyle w:val="FirstParagraph"/>
      </w:pPr>
      <w:r>
        <w:t>For semantic equivalence:</w:t>
      </w:r>
    </w:p>
    <w:p w14:paraId="5B1E0AF1" w14:textId="77777777" w:rsidR="009343DE" w:rsidRDefault="00000000">
      <w:pPr>
        <w:pStyle w:val="BodyText"/>
      </w:pPr>
      <m:oMathPara>
        <m:oMathParaPr>
          <m:jc m:val="center"/>
        </m:oMathParaPr>
        <m:oMath>
          <m:r>
            <m:rPr>
              <m:nor/>
            </m:rPr>
            <m:t>Semantic Accuracy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r>
                <m:rPr>
                  <m:nor/>
                </m:rPr>
                <m:t>sim</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τ</m:t>
              </m:r>
            </m:e>
          </m:d>
        </m:oMath>
      </m:oMathPara>
    </w:p>
    <w:p w14:paraId="2A96A1C9" w14:textId="77777777" w:rsidR="009343DE" w:rsidRDefault="00000000">
      <w:pPr>
        <w:pStyle w:val="Heading2"/>
      </w:pPr>
      <w:bookmarkStart w:id="43" w:name="toxicity"/>
      <w:bookmarkEnd w:id="42"/>
      <w:r>
        <w:t>Toxicity</w:t>
      </w:r>
    </w:p>
    <w:p w14:paraId="6FC95483" w14:textId="77777777" w:rsidR="009343DE" w:rsidRDefault="00000000">
      <w:pPr>
        <w:pStyle w:val="FirstParagraph"/>
      </w:pPr>
      <w:r>
        <w:t>Presence of harmful content.</w:t>
      </w:r>
    </w:p>
    <w:p w14:paraId="19BC2425" w14:textId="77777777" w:rsidR="009343DE" w:rsidRDefault="00000000">
      <w:pPr>
        <w:pStyle w:val="BodyText"/>
      </w:pPr>
      <m:oMathPara>
        <m:oMathParaPr>
          <m:jc m:val="center"/>
        </m:oMathParaPr>
        <m:oMath>
          <m:r>
            <m:rPr>
              <m:nor/>
            </m:rPr>
            <m:t>Toxicity Score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cr m:val="script"/>
                  <m:sty m:val="p"/>
                </m:rPr>
                <w:rPr>
                  <w:rFonts w:ascii="Cambria Math" w:hAnsi="Cambria Math"/>
                </w:rPr>
                <m:t>∈C</m:t>
              </m:r>
            </m:lim>
          </m:limLow>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61C37156" w14:textId="77777777" w:rsidR="009343DE" w:rsidRDefault="00000000">
      <w:pPr>
        <w:pStyle w:val="FirstParagraph"/>
      </w:pPr>
      <w:r>
        <w:t xml:space="preserve">where </w:t>
      </w:r>
      <m:oMath>
        <m:r>
          <m:rPr>
            <m:scr m:val="script"/>
            <m:sty m:val="p"/>
          </m:rPr>
          <w:rPr>
            <w:rFonts w:ascii="Cambria Math" w:hAnsi="Cambria Math"/>
          </w:rPr>
          <m:t>C={</m:t>
        </m:r>
        <m:r>
          <m:rPr>
            <m:nor/>
          </m:rPr>
          <m:t>hate</m:t>
        </m:r>
        <m:r>
          <m:rPr>
            <m:sty m:val="p"/>
          </m:rPr>
          <w:rPr>
            <w:rFonts w:ascii="Cambria Math" w:hAnsi="Cambria Math"/>
          </w:rPr>
          <m:t>,</m:t>
        </m:r>
        <m:r>
          <m:rPr>
            <m:nor/>
          </m:rPr>
          <m:t>harassment</m:t>
        </m:r>
        <m:r>
          <m:rPr>
            <m:sty m:val="p"/>
          </m:rPr>
          <w:rPr>
            <w:rFonts w:ascii="Cambria Math" w:hAnsi="Cambria Math"/>
          </w:rPr>
          <m:t>,</m:t>
        </m:r>
        <m:r>
          <m:rPr>
            <m:nor/>
          </m:rPr>
          <m:t>violence</m:t>
        </m:r>
        <m:r>
          <m:rPr>
            <m:sty m:val="p"/>
          </m:rPr>
          <w:rPr>
            <w:rFonts w:ascii="Cambria Math" w:hAnsi="Cambria Math"/>
          </w:rPr>
          <m:t>,</m:t>
        </m:r>
        <m:r>
          <m:rPr>
            <m:nor/>
          </m:rPr>
          <m:t>self-harm</m:t>
        </m:r>
        <m:r>
          <m:rPr>
            <m:sty m:val="p"/>
          </m:rPr>
          <w:rPr>
            <w:rFonts w:ascii="Cambria Math" w:hAnsi="Cambria Math"/>
          </w:rPr>
          <m:t>,…}</m:t>
        </m:r>
      </m:oMath>
    </w:p>
    <w:p w14:paraId="21DFDE8A" w14:textId="77777777" w:rsidR="009343DE" w:rsidRDefault="00000000">
      <w:pPr>
        <w:pStyle w:val="BodyText"/>
      </w:pPr>
      <m:oMathPara>
        <m:oMathParaPr>
          <m:jc m:val="center"/>
        </m:oMathParaPr>
        <m:oMath>
          <m:r>
            <m:rPr>
              <m:nor/>
            </m:rPr>
            <w:lastRenderedPageBreak/>
            <m:t>Safety Rate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m:rPr>
                      <m:nor/>
                    </m:rPr>
                    <m:t>Toxicity Score</m:t>
                  </m:r>
                </m:e>
                <m:sub>
                  <m:r>
                    <w:rPr>
                      <w:rFonts w:ascii="Cambria Math" w:hAnsi="Cambria Math"/>
                    </w:rPr>
                    <m:t>i</m:t>
                  </m:r>
                </m:sub>
              </m:sSub>
              <m:r>
                <m:rPr>
                  <m:sty m:val="p"/>
                </m:rPr>
                <w:rPr>
                  <w:rFonts w:ascii="Cambria Math" w:hAnsi="Cambria Math"/>
                </w:rPr>
                <m:t>≤</m:t>
              </m:r>
              <m:r>
                <w:rPr>
                  <w:rFonts w:ascii="Cambria Math" w:hAnsi="Cambria Math"/>
                </w:rPr>
                <m:t>θ</m:t>
              </m:r>
            </m:e>
          </m:d>
        </m:oMath>
      </m:oMathPara>
    </w:p>
    <w:p w14:paraId="246915FF" w14:textId="77777777" w:rsidR="009343DE" w:rsidRDefault="00000000">
      <w:pPr>
        <w:pStyle w:val="Heading2"/>
      </w:pPr>
      <w:bookmarkStart w:id="44" w:name="tone-compliance"/>
      <w:bookmarkEnd w:id="43"/>
      <w:r>
        <w:t>Tone Compliance</w:t>
      </w:r>
    </w:p>
    <w:p w14:paraId="6E7DA483" w14:textId="77777777" w:rsidR="009343DE" w:rsidRDefault="00000000">
      <w:pPr>
        <w:pStyle w:val="FirstParagraph"/>
      </w:pPr>
      <w:r>
        <w:t>Adherence to specified style.</w:t>
      </w:r>
    </w:p>
    <w:p w14:paraId="651D1D5D" w14:textId="77777777" w:rsidR="009343DE" w:rsidRDefault="00000000">
      <w:pPr>
        <w:pStyle w:val="BodyText"/>
      </w:pPr>
      <m:oMathPara>
        <m:oMathParaPr>
          <m:jc m:val="center"/>
        </m:oMathParaPr>
        <m:oMath>
          <m:r>
            <m:rPr>
              <m:nor/>
            </m:rPr>
            <m:t>Tone Compliance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target</m:t>
              </m:r>
            </m:sub>
          </m:sSub>
          <m:r>
            <m:rPr>
              <m:sty m:val="p"/>
            </m:rPr>
            <w:rPr>
              <w:rFonts w:ascii="Cambria Math" w:hAnsi="Cambria Math"/>
            </w:rPr>
            <m:t>∣</m:t>
          </m:r>
          <m:r>
            <w:rPr>
              <w:rFonts w:ascii="Cambria Math" w:hAnsi="Cambria Math"/>
            </w:rPr>
            <m:t>r</m:t>
          </m:r>
          <m:r>
            <m:rPr>
              <m:sty m:val="p"/>
            </m:rPr>
            <w:rPr>
              <w:rFonts w:ascii="Cambria Math" w:hAnsi="Cambria Math"/>
            </w:rPr>
            <m:t>)</m:t>
          </m:r>
        </m:oMath>
      </m:oMathPara>
    </w:p>
    <w:p w14:paraId="28FC68A8" w14:textId="77777777" w:rsidR="009343DE" w:rsidRDefault="00000000">
      <w:pPr>
        <w:pStyle w:val="FirstParagraph"/>
      </w:pPr>
      <w:r>
        <w:t>Using embedding similarity:</w:t>
      </w:r>
    </w:p>
    <w:p w14:paraId="7647AFC6" w14:textId="77777777" w:rsidR="009343DE" w:rsidRDefault="00000000">
      <w:pPr>
        <w:pStyle w:val="BodyText"/>
      </w:pPr>
      <m:oMathPara>
        <m:oMathParaPr>
          <m:jc m:val="center"/>
        </m:oMathParaPr>
        <m:oMath>
          <m:r>
            <m:rPr>
              <m:nor/>
            </m:rPr>
            <m:t>Tone Compliance</m:t>
          </m:r>
          <m:r>
            <m:rPr>
              <m:sty m:val="p"/>
            </m:rPr>
            <w:rPr>
              <w:rFonts w:ascii="Cambria Math" w:hAnsi="Cambria Math"/>
            </w:rPr>
            <m:t>=cos(</m:t>
          </m:r>
          <m:sSub>
            <m:sSubPr>
              <m:ctrlPr>
                <w:rPr>
                  <w:rFonts w:ascii="Cambria Math" w:hAnsi="Cambria Math"/>
                </w:rPr>
              </m:ctrlPr>
            </m:sSubPr>
            <m:e>
              <m:r>
                <m:rPr>
                  <m:sty m:val="b"/>
                </m:rPr>
                <w:rPr>
                  <w:rFonts w:ascii="Cambria Math" w:hAnsi="Cambria Math"/>
                </w:rPr>
                <m:t>t</m:t>
              </m:r>
            </m:e>
            <m:sub>
              <m:r>
                <m:rPr>
                  <m:nor/>
                </m:rPr>
                <m:t>target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nor/>
                </m:rPr>
                <m:t>response</m:t>
              </m:r>
            </m:sub>
          </m:sSub>
          <m:r>
            <m:rPr>
              <m:sty m:val="p"/>
            </m:rPr>
            <w:rPr>
              <w:rFonts w:ascii="Cambria Math" w:hAnsi="Cambria Math"/>
            </w:rPr>
            <m:t>)</m:t>
          </m:r>
        </m:oMath>
      </m:oMathPara>
    </w:p>
    <w:p w14:paraId="372F285B" w14:textId="77777777" w:rsidR="009343DE" w:rsidRDefault="00000000">
      <w:pPr>
        <w:pStyle w:val="Heading2"/>
      </w:pPr>
      <w:bookmarkStart w:id="45" w:name="adversarial-robustness"/>
      <w:bookmarkEnd w:id="44"/>
      <w:r>
        <w:t>Adversarial Robustness</w:t>
      </w:r>
    </w:p>
    <w:p w14:paraId="272BF46A" w14:textId="77777777" w:rsidR="009343DE" w:rsidRDefault="00000000">
      <w:pPr>
        <w:pStyle w:val="FirstParagraph"/>
      </w:pPr>
      <w:r>
        <w:t>Stability under adversarial perturbations.</w:t>
      </w:r>
    </w:p>
    <w:p w14:paraId="5C4C59AD" w14:textId="77777777" w:rsidR="009343DE" w:rsidRDefault="00000000">
      <w:pPr>
        <w:pStyle w:val="BodyText"/>
      </w:pPr>
      <m:oMathPara>
        <m:oMathParaPr>
          <m:jc m:val="center"/>
        </m:oMathParaPr>
        <m:oMath>
          <m:r>
            <m:rPr>
              <m:nor/>
            </m:rPr>
            <m:t>Adversarial Robustness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e>
          </m:d>
        </m:oMath>
      </m:oMathPara>
    </w:p>
    <w:p w14:paraId="78193383" w14:textId="77777777" w:rsidR="009343DE" w:rsidRDefault="00000000">
      <w:pPr>
        <w:pStyle w:val="FirstParagraph"/>
      </w:pPr>
      <w:r>
        <w:rPr>
          <w:b/>
          <w:bCs/>
        </w:rPr>
        <w:t>Attack Success Rate:</w:t>
      </w:r>
    </w:p>
    <w:p w14:paraId="79DA177B" w14:textId="77777777" w:rsidR="009343DE" w:rsidRDefault="00000000">
      <w:pPr>
        <w:pStyle w:val="BodyText"/>
      </w:pPr>
      <m:oMathPara>
        <m:oMathParaPr>
          <m:jc m:val="center"/>
        </m:oMathParaPr>
        <m:oMath>
          <m:r>
            <m:rPr>
              <m:nor/>
            </m:rPr>
            <m:t>ASR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1</m:t>
              </m:r>
            </m:e>
          </m:nary>
          <m:d>
            <m:dPr>
              <m:begChr m:val="["/>
              <m:endChr m:val="]"/>
              <m:ctrlPr>
                <w:rPr>
                  <w:rFonts w:ascii="Cambria Math" w:hAnsi="Cambria Math"/>
                </w:rPr>
              </m:ctrlPr>
            </m:d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oMath>
      </m:oMathPara>
    </w:p>
    <w:p w14:paraId="3EC3C34B" w14:textId="77777777" w:rsidR="009343DE" w:rsidRDefault="005E45FE">
      <w:r>
        <w:rPr>
          <w:noProof/>
        </w:rPr>
        <w:pict w14:anchorId="7D3E3C58">
          <v:rect id="_x0000_i1026" alt="" style="width:468pt;height:.05pt;mso-width-percent:0;mso-height-percent:0;mso-width-percent:0;mso-height-percent:0" o:hralign="center" o:hrstd="t" o:hr="t"/>
        </w:pict>
      </w:r>
    </w:p>
    <w:p w14:paraId="7727E697" w14:textId="77777777" w:rsidR="009343DE" w:rsidRDefault="00000000">
      <w:pPr>
        <w:pStyle w:val="Heading1"/>
      </w:pPr>
      <w:bookmarkStart w:id="46" w:name="X5a6166d4ffc0e913f2c315ed4839a3c590aa8c5"/>
      <w:bookmarkEnd w:id="36"/>
      <w:bookmarkEnd w:id="45"/>
      <w:r>
        <w:t>Appendix C: Retrieval Metrics (Mathematical Definitions)</w:t>
      </w:r>
    </w:p>
    <w:p w14:paraId="50C62099" w14:textId="77777777" w:rsidR="009343DE" w:rsidRDefault="00000000">
      <w:pPr>
        <w:pStyle w:val="Heading2"/>
      </w:pPr>
      <w:bookmarkStart w:id="47" w:name="retrieval-recall"/>
      <w:r>
        <w:t>Retrieval Recall</w:t>
      </w:r>
    </w:p>
    <w:p w14:paraId="5BDD5D14" w14:textId="77777777" w:rsidR="009343DE" w:rsidRDefault="00000000">
      <w:pPr>
        <w:pStyle w:val="FirstParagraph"/>
      </w:pPr>
      <w:r>
        <w:t>Measures whether the system successfully retrieves all relevant pieces of knowledge needed to answer a query.</w:t>
      </w:r>
    </w:p>
    <w:p w14:paraId="5648BDC1" w14:textId="77777777" w:rsidR="009343DE" w:rsidRDefault="00000000">
      <w:pPr>
        <w:pStyle w:val="BodyText"/>
      </w:pPr>
      <m:oMathPara>
        <m:oMathParaPr>
          <m:jc m:val="center"/>
        </m:oMathParaPr>
        <m:oMath>
          <m:r>
            <m:rPr>
              <m:nor/>
            </m:rPr>
            <m:t>Retrieval Recall</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retrieved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relevant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relevant</m:t>
                  </m:r>
                </m:sub>
              </m:sSub>
              <m:r>
                <m:rPr>
                  <m:sty m:val="p"/>
                </m:rPr>
                <w:rPr>
                  <w:rFonts w:ascii="Cambria Math" w:hAnsi="Cambria Math"/>
                </w:rPr>
                <m:t>|</m:t>
              </m:r>
            </m:den>
          </m:f>
        </m:oMath>
      </m:oMathPara>
    </w:p>
    <w:p w14:paraId="3FA467C2" w14:textId="77777777" w:rsidR="009343DE" w:rsidRDefault="00000000">
      <w:pPr>
        <w:pStyle w:val="FirstParagraph"/>
      </w:pPr>
      <w:r>
        <w:t xml:space="preserve">where </w:t>
      </w:r>
      <m:oMath>
        <m:sSub>
          <m:sSubPr>
            <m:ctrlPr>
              <w:rPr>
                <w:rFonts w:ascii="Cambria Math" w:hAnsi="Cambria Math"/>
              </w:rPr>
            </m:ctrlPr>
          </m:sSubPr>
          <m:e>
            <m:r>
              <w:rPr>
                <w:rFonts w:ascii="Cambria Math" w:hAnsi="Cambria Math"/>
              </w:rPr>
              <m:t>D</m:t>
            </m:r>
          </m:e>
          <m:sub>
            <m:r>
              <m:rPr>
                <m:nor/>
              </m:rPr>
              <m:t>retrieved</m:t>
            </m:r>
          </m:sub>
        </m:sSub>
      </m:oMath>
      <w:r>
        <w:t xml:space="preserve"> is the set of documents returned by the retrieval system and </w:t>
      </w:r>
      <m:oMath>
        <m:sSub>
          <m:sSubPr>
            <m:ctrlPr>
              <w:rPr>
                <w:rFonts w:ascii="Cambria Math" w:hAnsi="Cambria Math"/>
              </w:rPr>
            </m:ctrlPr>
          </m:sSubPr>
          <m:e>
            <m:r>
              <w:rPr>
                <w:rFonts w:ascii="Cambria Math" w:hAnsi="Cambria Math"/>
              </w:rPr>
              <m:t>D</m:t>
            </m:r>
          </m:e>
          <m:sub>
            <m:r>
              <m:rPr>
                <m:nor/>
              </m:rPr>
              <m:t>relevant</m:t>
            </m:r>
          </m:sub>
        </m:sSub>
      </m:oMath>
      <w:r>
        <w:t xml:space="preserve"> is the set of all documents relevant to the query.</w:t>
      </w:r>
    </w:p>
    <w:p w14:paraId="212D64BB" w14:textId="77777777" w:rsidR="009343DE" w:rsidRDefault="00000000">
      <w:pPr>
        <w:pStyle w:val="Heading2"/>
      </w:pPr>
      <w:bookmarkStart w:id="48" w:name="mean-reciprocal-rank-mrr"/>
      <w:bookmarkEnd w:id="47"/>
      <w:r>
        <w:t>Mean Reciprocal Rank (MRR)</w:t>
      </w:r>
    </w:p>
    <w:p w14:paraId="657E18F2" w14:textId="77777777" w:rsidR="009343DE" w:rsidRDefault="00000000">
      <w:pPr>
        <w:pStyle w:val="FirstParagraph"/>
      </w:pPr>
      <m:oMathPara>
        <m:oMathParaPr>
          <m:jc m:val="center"/>
        </m:oMathParaPr>
        <m:oMath>
          <m:r>
            <m:rPr>
              <m:nor/>
            </m:rPr>
            <m:t>MRR</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Q</m:t>
              </m:r>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Q</m:t>
              </m:r>
              <m:r>
                <m:rPr>
                  <m:sty m:val="p"/>
                </m:rP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m:rPr>
                          <m:nor/>
                        </m:rPr>
                        <m:t>rank</m:t>
                      </m:r>
                    </m:e>
                    <m:sub>
                      <m:r>
                        <w:rPr>
                          <w:rFonts w:ascii="Cambria Math" w:hAnsi="Cambria Math"/>
                        </w:rPr>
                        <m:t>i</m:t>
                      </m:r>
                    </m:sub>
                  </m:sSub>
                </m:den>
              </m:f>
            </m:e>
          </m:nary>
        </m:oMath>
      </m:oMathPara>
    </w:p>
    <w:p w14:paraId="318FF2E7" w14:textId="77777777" w:rsidR="009343DE" w:rsidRDefault="00000000">
      <w:pPr>
        <w:pStyle w:val="Heading2"/>
      </w:pPr>
      <w:bookmarkStart w:id="49" w:name="precisionk"/>
      <w:bookmarkEnd w:id="48"/>
      <w:r>
        <w:lastRenderedPageBreak/>
        <w:t>Precision@k</w:t>
      </w:r>
    </w:p>
    <w:p w14:paraId="7A664C79" w14:textId="77777777" w:rsidR="009343DE" w:rsidRDefault="00000000">
      <w:pPr>
        <w:pStyle w:val="FirstParagraph"/>
      </w:pPr>
      <m:oMathPara>
        <m:oMathParaPr>
          <m:jc m:val="center"/>
        </m:oMathParaPr>
        <m:oMath>
          <m:r>
            <m:rPr>
              <m:nor/>
            </m:rPr>
            <m:t>Precision@</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d</m:t>
              </m:r>
              <m:r>
                <m:rPr>
                  <m:nor/>
                </m:rPr>
                <m:t xml:space="preserve"> is relevant</m:t>
              </m:r>
              <m:r>
                <m:rPr>
                  <m:sty m:val="p"/>
                </m:rPr>
                <w:rPr>
                  <w:rFonts w:ascii="Cambria Math" w:hAnsi="Cambria Math"/>
                </w:rPr>
                <m:t>}|</m:t>
              </m:r>
            </m:num>
            <m:den>
              <m:r>
                <w:rPr>
                  <w:rFonts w:ascii="Cambria Math" w:hAnsi="Cambria Math"/>
                </w:rPr>
                <m:t>k</m:t>
              </m:r>
            </m:den>
          </m:f>
        </m:oMath>
      </m:oMathPara>
    </w:p>
    <w:p w14:paraId="4190C5E1" w14:textId="77777777" w:rsidR="009343DE" w:rsidRDefault="00000000">
      <w:pPr>
        <w:pStyle w:val="Heading2"/>
      </w:pPr>
      <w:bookmarkStart w:id="50" w:name="recallk"/>
      <w:bookmarkEnd w:id="49"/>
      <w:r>
        <w:t>Recall@k</w:t>
      </w:r>
    </w:p>
    <w:p w14:paraId="6A040F3E" w14:textId="77777777" w:rsidR="009343DE" w:rsidRDefault="00000000">
      <w:pPr>
        <w:pStyle w:val="FirstParagraph"/>
      </w:pPr>
      <m:oMathPara>
        <m:oMathParaPr>
          <m:jc m:val="center"/>
        </m:oMathParaPr>
        <m:oMath>
          <m:r>
            <m:rPr>
              <m:nor/>
            </m:rPr>
            <m:t>Recall@</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d</m:t>
              </m:r>
              <m:r>
                <m:rPr>
                  <m:nor/>
                </m:rPr>
                <m:t xml:space="preserve"> is relevant</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relevant</m:t>
                  </m:r>
                </m:sub>
              </m:sSub>
              <m:r>
                <m:rPr>
                  <m:sty m:val="p"/>
                </m:rPr>
                <w:rPr>
                  <w:rFonts w:ascii="Cambria Math" w:hAnsi="Cambria Math"/>
                </w:rPr>
                <m:t>|</m:t>
              </m:r>
            </m:den>
          </m:f>
        </m:oMath>
      </m:oMathPara>
    </w:p>
    <w:p w14:paraId="38C9BACE" w14:textId="77777777" w:rsidR="009343DE" w:rsidRDefault="00000000">
      <w:pPr>
        <w:pStyle w:val="Heading2"/>
      </w:pPr>
      <w:bookmarkStart w:id="51" w:name="hitk"/>
      <w:bookmarkEnd w:id="50"/>
      <w:r>
        <w:t>Hit@k</w:t>
      </w:r>
    </w:p>
    <w:p w14:paraId="2E103F4A" w14:textId="77777777" w:rsidR="009343DE" w:rsidRDefault="00000000">
      <w:pPr>
        <w:pStyle w:val="FirstParagraph"/>
      </w:pPr>
      <m:oMathPara>
        <m:oMathParaPr>
          <m:jc m:val="center"/>
        </m:oMathParaPr>
        <m:oMath>
          <m:r>
            <m:rPr>
              <m:nor/>
            </m:rPr>
            <m:t>Hit@</m:t>
          </m:r>
          <m:r>
            <w:rPr>
              <w:rFonts w:ascii="Cambria Math" w:hAnsi="Cambria Math"/>
            </w:rPr>
            <m:t>k</m:t>
          </m:r>
          <m:r>
            <m:rPr>
              <m:scr m:val="double-struck"/>
              <m:sty m:val="p"/>
            </m:rPr>
            <w:rPr>
              <w:rFonts w:ascii="Cambria Math" w:hAnsi="Cambria Math"/>
            </w:rPr>
            <m:t>=1</m:t>
          </m:r>
          <m:d>
            <m:dPr>
              <m:begChr m:val="["/>
              <m:endChr m:val="]"/>
              <m:ctrlPr>
                <w:rPr>
                  <w:rFonts w:ascii="Cambria Math" w:hAnsi="Cambria Math"/>
                </w:rPr>
              </m:ctrlPr>
            </m:dPr>
            <m:e>
              <m:r>
                <m:rPr>
                  <m:sty m:val="p"/>
                </m:rPr>
                <w:rPr>
                  <w:rFonts w:ascii="Cambria Math" w:hAnsi="Cambria Math"/>
                </w:rPr>
                <m:t>∃</m:t>
              </m:r>
              <m:r>
                <w:rPr>
                  <w:rFonts w:ascii="Cambria Math" w:hAnsi="Cambria Math"/>
                </w:rPr>
                <m:t> 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d</m:t>
              </m:r>
              <m:r>
                <m:rPr>
                  <m:nor/>
                </m:rPr>
                <m:t xml:space="preserve"> is relevant</m:t>
              </m:r>
            </m:e>
          </m:d>
        </m:oMath>
      </m:oMathPara>
    </w:p>
    <w:p w14:paraId="4058B42D" w14:textId="77777777" w:rsidR="009343DE" w:rsidRDefault="005E45FE">
      <w:r>
        <w:rPr>
          <w:noProof/>
        </w:rPr>
        <w:pict w14:anchorId="54F84A30">
          <v:rect id="_x0000_i1025" alt="" style="width:468pt;height:.05pt;mso-width-percent:0;mso-height-percent:0;mso-width-percent:0;mso-height-percent:0" o:hralign="center" o:hrstd="t" o:hr="t"/>
        </w:pict>
      </w:r>
    </w:p>
    <w:p w14:paraId="26050854" w14:textId="77777777" w:rsidR="009343DE" w:rsidRDefault="00000000">
      <w:pPr>
        <w:pStyle w:val="Heading1"/>
      </w:pPr>
      <w:bookmarkStart w:id="52" w:name="Xa3a1cc76bfcb30829e7079bee7b99147a590b94"/>
      <w:bookmarkEnd w:id="46"/>
      <w:bookmarkEnd w:id="51"/>
      <w:r>
        <w:t>Appendix D: Text Metrics (Mathematical Definitions)</w:t>
      </w:r>
    </w:p>
    <w:p w14:paraId="2A1D3A29" w14:textId="77777777" w:rsidR="009343DE" w:rsidRDefault="00000000">
      <w:pPr>
        <w:pStyle w:val="Heading2"/>
      </w:pPr>
      <w:bookmarkStart w:id="53" w:name="average-sentence-length"/>
      <w:r>
        <w:t>Average Sentence Length</w:t>
      </w:r>
    </w:p>
    <w:p w14:paraId="3E4D00D9" w14:textId="77777777" w:rsidR="009343DE" w:rsidRDefault="00000000">
      <w:pPr>
        <w:pStyle w:val="FirstParagraph"/>
      </w:pPr>
      <m:oMathPara>
        <m:oMathParaPr>
          <m:jc m:val="center"/>
        </m:oMathParaPr>
        <m:oMath>
          <m:r>
            <m:rPr>
              <m:nor/>
            </m:rPr>
            <m:t>Avg Sentence Length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um>
            <m:den>
              <m:r>
                <w:rPr>
                  <w:rFonts w:ascii="Cambria Math" w:hAnsi="Cambria Math"/>
                </w:rPr>
                <m:t>n</m:t>
              </m:r>
            </m:den>
          </m:f>
        </m:oMath>
      </m:oMathPara>
    </w:p>
    <w:p w14:paraId="2B266963" w14:textId="77777777" w:rsidR="009343DE" w:rsidRDefault="00000000">
      <w:pPr>
        <w:pStyle w:val="Heading2"/>
      </w:pPr>
      <w:bookmarkStart w:id="54" w:name="lexical-diversity-type-token-ratio"/>
      <w:bookmarkEnd w:id="53"/>
      <w:r>
        <w:t>Lexical Diversity (Type-Token Ratio)</w:t>
      </w:r>
    </w:p>
    <w:p w14:paraId="7BA5CBA9" w14:textId="77777777" w:rsidR="009343DE" w:rsidRDefault="00000000">
      <w:pPr>
        <w:pStyle w:val="FirstParagraph"/>
      </w:pPr>
      <m:oMathPara>
        <m:oMathParaPr>
          <m:jc m:val="center"/>
        </m:oMathParaPr>
        <m:oMath>
          <m:r>
            <m:rPr>
              <m:nor/>
            </m:rPr>
            <m:t>TTR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r>
                <m:rPr>
                  <m:sty m:val="p"/>
                </m:rPr>
                <w:rPr>
                  <w:rFonts w:ascii="Cambria Math" w:hAnsi="Cambria Math"/>
                </w:rPr>
                <m:t>|</m:t>
              </m:r>
            </m:num>
            <m:den>
              <m:r>
                <w:rPr>
                  <w:rFonts w:ascii="Cambria Math" w:hAnsi="Cambria Math"/>
                </w:rPr>
                <m:t>N</m:t>
              </m:r>
            </m:den>
          </m:f>
        </m:oMath>
      </m:oMathPara>
    </w:p>
    <w:p w14:paraId="2283044A" w14:textId="77777777" w:rsidR="009343DE" w:rsidRDefault="00000000">
      <w:pPr>
        <w:pStyle w:val="FirstParagraph"/>
      </w:pPr>
      <w:r>
        <w:rPr>
          <w:b/>
          <w:bCs/>
        </w:rPr>
        <w:t>Mean Segmental TTR:</w:t>
      </w:r>
    </w:p>
    <w:p w14:paraId="174841F5" w14:textId="77777777" w:rsidR="009343DE" w:rsidRDefault="00000000">
      <w:pPr>
        <w:pStyle w:val="BodyText"/>
      </w:pPr>
      <m:oMathPara>
        <m:oMathParaPr>
          <m:jc m:val="center"/>
        </m:oMathParaPr>
        <m:oMath>
          <m:r>
            <m:rPr>
              <m:nor/>
            </m:rPr>
            <m:t>MSTTR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nor/>
                    </m:rPr>
                    <m:t>TTR</m:t>
                  </m:r>
                </m:e>
                <m:sub>
                  <m:r>
                    <w:rPr>
                      <w:rFonts w:ascii="Cambria Math" w:hAnsi="Cambria Math"/>
                    </w:rPr>
                    <m:t>j</m:t>
                  </m:r>
                </m:sub>
              </m:sSub>
            </m:e>
          </m:nary>
        </m:oMath>
      </m:oMathPara>
    </w:p>
    <w:p w14:paraId="4A171AE3" w14:textId="77777777" w:rsidR="009343DE" w:rsidRDefault="00000000">
      <w:pPr>
        <w:pStyle w:val="Heading2"/>
      </w:pPr>
      <w:bookmarkStart w:id="55" w:name="has-contradictions"/>
      <w:bookmarkEnd w:id="54"/>
      <w:r>
        <w:t>Has Contradictions</w:t>
      </w:r>
    </w:p>
    <w:p w14:paraId="736F49DB" w14:textId="77777777" w:rsidR="009343DE" w:rsidRDefault="00000000">
      <w:pPr>
        <w:pStyle w:val="FirstParagraph"/>
      </w:pPr>
      <m:oMathPara>
        <m:oMathParaPr>
          <m:jc m:val="center"/>
        </m:oMathParaPr>
        <m:oMath>
          <m:r>
            <m:rPr>
              <m:nor/>
            </m:rPr>
            <m:t>Has Contradictions</m:t>
          </m:r>
          <m:r>
            <m:rPr>
              <m:scr m:val="double-struck"/>
              <m:sty m:val="p"/>
            </m:rPr>
            <w:rPr>
              <w:rFonts w:ascii="Cambria Math" w:hAnsi="Cambria Math"/>
            </w:rPr>
            <m:t>=1</m:t>
          </m:r>
          <m:d>
            <m:dPr>
              <m:begChr m:val="["/>
              <m:endChr m:val="]"/>
              <m:ctrlPr>
                <w:rPr>
                  <w:rFonts w:ascii="Cambria Math" w:hAnsi="Cambria Math"/>
                </w:rPr>
              </m:ctrlPr>
            </m:dPr>
            <m:e>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m:rPr>
                  <m:nor/>
                </m:rPr>
                <m:t>entails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d>
        </m:oMath>
      </m:oMathPara>
    </w:p>
    <w:p w14:paraId="0F715D22" w14:textId="77777777" w:rsidR="009343DE" w:rsidRDefault="00000000">
      <w:pPr>
        <w:pStyle w:val="FirstParagraph"/>
      </w:pPr>
      <m:oMathPara>
        <m:oMathParaPr>
          <m:jc m:val="center"/>
        </m:oMathParaPr>
        <m:oMath>
          <m:r>
            <m:rPr>
              <m:nor/>
            </m:rPr>
            <m:t>Contradiction Score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r>
            <w:rPr>
              <w:rFonts w:ascii="Cambria Math" w:hAnsi="Cambria Math"/>
            </w:rPr>
            <m:t>P</m:t>
          </m:r>
          <m:r>
            <m:rPr>
              <m:sty m:val="p"/>
            </m:rPr>
            <w:rPr>
              <w:rFonts w:ascii="Cambria Math" w:hAnsi="Cambria Math"/>
            </w:rPr>
            <m:t>(</m:t>
          </m:r>
          <m:r>
            <m:rPr>
              <m:nor/>
            </m:rPr>
            <m:t>contradiction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p w14:paraId="0B0E9D86" w14:textId="77777777" w:rsidR="009343DE" w:rsidRDefault="00000000">
      <w:pPr>
        <w:pStyle w:val="Heading2"/>
      </w:pPr>
      <w:bookmarkStart w:id="56" w:name="word-count-diff"/>
      <w:bookmarkEnd w:id="55"/>
      <w:r>
        <w:t>Word Count Diff (%)</w:t>
      </w:r>
    </w:p>
    <w:p w14:paraId="4ABDCBAF" w14:textId="77777777" w:rsidR="009343DE" w:rsidRDefault="00000000">
      <w:pPr>
        <w:pStyle w:val="FirstParagraph"/>
      </w:pPr>
      <m:oMathPara>
        <m:oMathParaPr>
          <m:jc m:val="center"/>
        </m:oMathParaPr>
        <m:oMath>
          <m:r>
            <m:rPr>
              <m:nor/>
            </m:rPr>
            <m:t>Word Count Diff (%)</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response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reference</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reference</m:t>
                  </m:r>
                </m:sub>
              </m:sSub>
              <m:r>
                <m:rPr>
                  <m:sty m:val="p"/>
                </m:rPr>
                <w:rPr>
                  <w:rFonts w:ascii="Cambria Math" w:hAnsi="Cambria Math"/>
                </w:rPr>
                <m:t>|</m:t>
              </m:r>
            </m:den>
          </m:f>
          <m:r>
            <m:rPr>
              <m:sty m:val="p"/>
            </m:rPr>
            <w:rPr>
              <w:rFonts w:ascii="Cambria Math" w:hAnsi="Cambria Math"/>
            </w:rPr>
            <m:t>×</m:t>
          </m:r>
          <m:r>
            <w:rPr>
              <w:rFonts w:ascii="Cambria Math" w:hAnsi="Cambria Math"/>
            </w:rPr>
            <m:t>100</m:t>
          </m:r>
        </m:oMath>
      </m:oMathPara>
      <w:bookmarkEnd w:id="52"/>
      <w:bookmarkEnd w:id="56"/>
    </w:p>
    <w:sectPr w:rsidR="009343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8203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96408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42B8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89804549">
    <w:abstractNumId w:val="0"/>
  </w:num>
  <w:num w:numId="2" w16cid:durableId="1466579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7881459">
    <w:abstractNumId w:val="1"/>
  </w:num>
  <w:num w:numId="4" w16cid:durableId="322969432">
    <w:abstractNumId w:val="1"/>
  </w:num>
  <w:num w:numId="5" w16cid:durableId="1797332446">
    <w:abstractNumId w:val="1"/>
  </w:num>
  <w:num w:numId="6" w16cid:durableId="1123158278">
    <w:abstractNumId w:val="1"/>
  </w:num>
  <w:num w:numId="7" w16cid:durableId="875658529">
    <w:abstractNumId w:val="1"/>
  </w:num>
  <w:num w:numId="8" w16cid:durableId="1243879994">
    <w:abstractNumId w:val="1"/>
  </w:num>
  <w:num w:numId="9" w16cid:durableId="928585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3DE"/>
    <w:rsid w:val="005E45FE"/>
    <w:rsid w:val="007E48E7"/>
    <w:rsid w:val="009343DE"/>
    <w:rsid w:val="009C71C6"/>
    <w:rsid w:val="00A16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04B9"/>
  <w15:docId w15:val="{836909FE-70D3-C645-BCD6-CDEB9197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1525</Words>
  <Characters>11185</Characters>
  <Application>Microsoft Office Word</Application>
  <DocSecurity>0</DocSecurity>
  <Lines>338</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Sean Dyer</cp:lastModifiedBy>
  <cp:revision>2</cp:revision>
  <dcterms:created xsi:type="dcterms:W3CDTF">2025-12-15T18:45:00Z</dcterms:created>
  <dcterms:modified xsi:type="dcterms:W3CDTF">2025-12-15T18:59:00Z</dcterms:modified>
</cp:coreProperties>
</file>