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5C38"/>
        </w:rPr>
        <w:t>Vivo Fashion Group BI</w:t>
      </w:r>
    </w:p>
    <w:p>
      <w:r>
        <w:rPr>
          <w:b/>
          <w:sz w:val="32"/>
        </w:rPr>
        <w:t>Tier &amp; Retirement Rules — How They Are Currently Applied</w:t>
      </w:r>
    </w:p>
    <w:p>
      <w:r>
        <w:rPr>
          <w:b w:val="0"/>
          <w:i/>
        </w:rPr>
        <w:t>Prepared: 15 July 2026 · Reflects the live logic in the BI dashboard (Range Management &amp; Product Analysis)</w:t>
      </w:r>
    </w:p>
    <w:p>
      <w:pPr>
        <w:pStyle w:val="Heading1"/>
      </w:pPr>
      <w:r>
        <w:rPr>
          <w:color w:val="1A5C38"/>
        </w:rPr>
        <w:t>1. Overview</w:t>
      </w:r>
    </w:p>
    <w:p>
      <w:r>
        <w:rPr>
          <w:b w:val="0"/>
          <w:i w:val="0"/>
        </w:rPr>
        <w:t>The dashboard uses ONE shared lifecycle model for every style. The same rules drive the Tier column in Range Management and both the Tier and Life Cycle columns in Product Analysis, so the two pages can never disagree. The model has three independent layers:</w:t>
      </w:r>
    </w:p>
    <w:p>
      <w:pPr>
        <w:pStyle w:val="ListBullet"/>
      </w:pPr>
      <w:r>
        <w:t>Hard retirement — decided ONLY by the product status field in Odoo. This is the single source of truth; nothing in the dashboard auto-retires a style.</w:t>
      </w:r>
    </w:p>
    <w:p>
      <w:pPr>
        <w:pStyle w:val="ListBullet"/>
      </w:pPr>
      <w:r>
        <w:t>Tier classification (Tier 1–4) — a performance ladder for all still-active styles, based on sales consistency, age and reorder cycles. Sell-out rate (SOR) is deliberately NOT used in tier classification.</w:t>
      </w:r>
    </w:p>
    <w:p>
      <w:pPr>
        <w:pStyle w:val="ListBullet"/>
      </w:pPr>
      <w:r>
        <w:t>Advisory "Flagged for retirement" overlay — the 2026 Range Strategy (SOP) age-stage gates. A flagged style keeps its real tier; the flag only tells the team what is due for retirement and why. It never retires anything.</w:t>
      </w:r>
    </w:p>
    <w:p>
      <w:r>
        <w:rPr>
          <w:b w:val="0"/>
          <w:i w:val="0"/>
        </w:rPr>
        <w:t>Every in-scope style lands in exactly one bucket, so the page totals always reconcile: Active (Tier 1–4) + Retired = Total, and the four tier counts sum to Active.</w:t>
      </w:r>
    </w:p>
    <w:p>
      <w:pPr>
        <w:pStyle w:val="Heading1"/>
      </w:pPr>
      <w:r>
        <w:rPr>
          <w:color w:val="1A5C38"/>
        </w:rPr>
        <w:t>2. Hard Retirement — Odoo status only</w:t>
      </w:r>
    </w:p>
    <w:p>
      <w:r>
        <w:rPr>
          <w:b w:val="0"/>
          <w:i w:val="0"/>
        </w:rPr>
        <w:t>A style is treated as Retired based purely on the Odoo product status attribute (values "Active" / "Retired"), which the merchandising team maintains in Odoo. The hourly sync carries it into the dashboard automatically — no code change or manual list is involved.</w:t>
      </w:r>
    </w:p>
    <w:p>
      <w:pPr>
        <w:pStyle w:val="Heading2"/>
      </w:pPr>
      <w:r>
        <w:rPr>
          <w:color w:val="1A5C38"/>
        </w:rPr>
        <w:t>2.1 Style-level rule</w:t>
      </w:r>
    </w:p>
    <w:p>
      <w:pPr>
        <w:pStyle w:val="ListBullet"/>
      </w:pPr>
      <w:r>
        <w:t>A style is Retired if at least one of its SKUs is marked "Retired" in Odoo AND none of its SKUs is marked "Active".</w:t>
      </w:r>
    </w:p>
    <w:p>
      <w:pPr>
        <w:pStyle w:val="ListBullet"/>
      </w:pPr>
      <w:r>
        <w:t>If a style has a mix of Active and Retired SKUs, Active wins — the style stays active.</w:t>
      </w:r>
    </w:p>
    <w:p>
      <w:pPr>
        <w:pStyle w:val="ListBullet"/>
      </w:pPr>
      <w:r>
        <w:t>A blank/missing status never retires a style.</w:t>
      </w:r>
    </w:p>
    <w:p>
      <w:pPr>
        <w:pStyle w:val="Heading2"/>
      </w:pPr>
      <w:r>
        <w:rPr>
          <w:color w:val="1A5C38"/>
        </w:rPr>
        <w:t>2.2 What was removed</w:t>
      </w:r>
    </w:p>
    <w:p>
      <w:pPr>
        <w:pStyle w:val="ListBullet"/>
      </w:pPr>
      <w:r>
        <w:t>The old code-level manual retirement list — removed (July 2026).</w:t>
      </w:r>
    </w:p>
    <w:p>
      <w:pPr>
        <w:pStyle w:val="ListBullet"/>
      </w:pPr>
      <w:r>
        <w:t>The old "all Zoya styles are retired" rule — removed. Zoya styles are retired only if Odoo says so; 35+ Zoya styles are intentionally Active.</w:t>
      </w:r>
    </w:p>
    <w:p>
      <w:pPr>
        <w:pStyle w:val="ListBullet"/>
      </w:pPr>
      <w:r>
        <w:t>Automatic age-out or performance-based retirement — never applied. Missing a performance gate only flags a style (Section 4).</w:t>
      </w:r>
    </w:p>
    <w:p>
      <w:r>
        <w:rPr>
          <w:b w:val="0"/>
          <w:i w:val="0"/>
        </w:rPr>
        <w:t>The same retired-style definition is shared by every screen that splits active vs retired (Range Management, Product Analysis, SOR reports, inventory style counts, Warehouse Returns "retired" mode), so a style can never show as retired on one page and active on another.</w:t>
      </w:r>
    </w:p>
    <w:p>
      <w:pPr>
        <w:pStyle w:val="Heading1"/>
      </w:pPr>
      <w:r>
        <w:rPr>
          <w:color w:val="1A5C38"/>
        </w:rPr>
        <w:t>3. Tier Classification (Tier 1–4)</w:t>
      </w:r>
    </w:p>
    <w:p>
      <w:r>
        <w:rPr>
          <w:b w:val="0"/>
          <w:i w:val="0"/>
        </w:rPr>
        <w:t>Applied to every style that is not hard-retired. Rules are evaluated top-down; the first rule that matches decides the tier.</w:t>
      </w:r>
    </w:p>
    <w:tbl>
      <w:tblPr>
        <w:tblStyle w:val="LightGrid-Accent6"/>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Meaning</w:t>
            </w:r>
          </w:p>
        </w:tc>
        <w:tc>
          <w:tcPr>
            <w:tcW w:type="dxa" w:w="2880"/>
          </w:tcPr>
          <w:p>
            <w:r>
              <w:t>Rule (evaluated in this order)</w:t>
            </w:r>
          </w:p>
        </w:tc>
      </w:tr>
      <w:tr>
        <w:tc>
          <w:tcPr>
            <w:tcW w:type="dxa" w:w="2880"/>
          </w:tcPr>
          <w:p>
            <w:r>
              <w:t>Retired</w:t>
            </w:r>
          </w:p>
        </w:tc>
        <w:tc>
          <w:tcPr>
            <w:tcW w:type="dxa" w:w="2880"/>
          </w:tcPr>
          <w:p>
            <w:r>
              <w:t>Hard-retired</w:t>
            </w:r>
          </w:p>
        </w:tc>
        <w:tc>
          <w:tcPr>
            <w:tcW w:type="dxa" w:w="2880"/>
          </w:tcPr>
          <w:p>
            <w:r>
              <w:t>Odoo status marks the style Retired (Section 2). Checked first.</w:t>
            </w:r>
          </w:p>
        </w:tc>
      </w:tr>
      <w:tr>
        <w:tc>
          <w:tcPr>
            <w:tcW w:type="dxa" w:w="2880"/>
          </w:tcPr>
          <w:p>
            <w:r>
              <w:t>Tier 1</w:t>
            </w:r>
          </w:p>
        </w:tc>
        <w:tc>
          <w:tcPr>
            <w:tcW w:type="dxa" w:w="2880"/>
          </w:tcPr>
          <w:p>
            <w:r>
              <w:t>NOOS / consistent best performer</w:t>
            </w:r>
          </w:p>
        </w:tc>
        <w:tc>
          <w:tcPr>
            <w:tcW w:type="dxa" w:w="2880"/>
          </w:tcPr>
          <w:p>
            <w:r>
              <w:t>Sold in at least 11 of the trailing 12 calendar months. This is the "never out of stock" consistency proxy (e.g. Vivo Basic Leggings).</w:t>
            </w:r>
          </w:p>
        </w:tc>
      </w:tr>
      <w:tr>
        <w:tc>
          <w:tcPr>
            <w:tcW w:type="dxa" w:w="2880"/>
          </w:tcPr>
          <w:p>
            <w:r>
              <w:t>Tier 2</w:t>
            </w:r>
          </w:p>
        </w:tc>
        <w:tc>
          <w:tcPr>
            <w:tcW w:type="dxa" w:w="2880"/>
          </w:tcPr>
          <w:p>
            <w:r>
              <w:t>Established repeat performer</w:t>
            </w:r>
          </w:p>
        </w:tc>
        <w:tc>
          <w:tcPr>
            <w:tcW w:type="dxa" w:w="2880"/>
          </w:tcPr>
          <w:p>
            <w:r>
              <w:t>At least 39 weeks old (~9 months) AND more than 3 reorder cycles.</w:t>
            </w:r>
          </w:p>
        </w:tc>
      </w:tr>
      <w:tr>
        <w:tc>
          <w:tcPr>
            <w:tcW w:type="dxa" w:w="2880"/>
          </w:tcPr>
          <w:p>
            <w:r>
              <w:t>Tier 3</w:t>
            </w:r>
          </w:p>
        </w:tc>
        <w:tc>
          <w:tcPr>
            <w:tcW w:type="dxa" w:w="2880"/>
          </w:tcPr>
          <w:p>
            <w:r>
              <w:t>Proven at least once</w:t>
            </w:r>
          </w:p>
        </w:tc>
        <w:tc>
          <w:tcPr>
            <w:tcW w:type="dxa" w:w="2880"/>
          </w:tcPr>
          <w:p>
            <w:r>
              <w:t>Has completed at least 1 reorder cycle.</w:t>
            </w:r>
          </w:p>
        </w:tc>
      </w:tr>
      <w:tr>
        <w:tc>
          <w:tcPr>
            <w:tcW w:type="dxa" w:w="2880"/>
          </w:tcPr>
          <w:p>
            <w:r>
              <w:t>Tier 4</w:t>
            </w:r>
          </w:p>
        </w:tc>
        <w:tc>
          <w:tcPr>
            <w:tcW w:type="dxa" w:w="2880"/>
          </w:tcPr>
          <w:p>
            <w:r>
              <w:t>New / test</w:t>
            </w:r>
          </w:p>
        </w:tc>
        <w:tc>
          <w:tcPr>
            <w:tcW w:type="dxa" w:w="2880"/>
          </w:tcPr>
          <w:p>
            <w:r>
              <w:t>Everything else (typically styles younger than ~12 weeks).</w:t>
            </w:r>
          </w:p>
        </w:tc>
      </w:tr>
    </w:tbl>
    <w:p>
      <w:pPr>
        <w:pStyle w:val="Heading2"/>
      </w:pPr>
      <w:r>
        <w:rPr>
          <w:color w:val="1A5C38"/>
        </w:rPr>
        <w:t>3.1 How the inputs are measured</w:t>
      </w:r>
    </w:p>
    <w:p>
      <w:pPr>
        <w:pStyle w:val="ListBullet"/>
      </w:pPr>
      <w:r>
        <w:t>Age (weeks) — weeks since the style's first recorded sale.</w:t>
      </w:r>
    </w:p>
    <w:p>
      <w:pPr>
        <w:pStyle w:val="ListBullet"/>
      </w:pPr>
      <w:r>
        <w:t>Reorder cycles — approximated as age in weeks ÷ 12 (one assumed cycle per 12 weeks). This proxy was explicitly chosen because there is no real reorder feed from buying.</w:t>
      </w:r>
    </w:p>
    <w:p>
      <w:pPr>
        <w:pStyle w:val="ListBullet"/>
      </w:pPr>
      <w:r>
        <w:t>Months active (of last 12) — count of distinct calendar months with at least one sale in the trailing 365 days; drives the Tier-1 gate.</w:t>
      </w:r>
    </w:p>
    <w:p>
      <w:pPr>
        <w:pStyle w:val="Heading2"/>
      </w:pPr>
      <w:r>
        <w:rPr>
          <w:color w:val="1A5C38"/>
        </w:rPr>
        <w:t>3.2 What is deliberately NOT in the tier rules</w:t>
      </w:r>
    </w:p>
    <w:p>
      <w:pPr>
        <w:pStyle w:val="ListBullet"/>
      </w:pPr>
      <w:r>
        <w:t>Sell-out rate (SOR) / sell-through — removed from tier classification entirely. SOR punishes deep-stocked bestsellers: a core style holding heavy stock can never look good on units ÷ (units + stock) regardless of how much it sells.</w:t>
      </w:r>
    </w:p>
    <w:p>
      <w:pPr>
        <w:pStyle w:val="ListBullet"/>
      </w:pPr>
      <w:r>
        <w:t>Weeks of cover, margin, price — not part of the tier decision. (Range Management still shows SOR/WoC columns and an On Track / At Risk / Overdue status for operational context, but those never change the tier.)</w:t>
      </w:r>
    </w:p>
    <w:p>
      <w:pPr>
        <w:pStyle w:val="Heading2"/>
      </w:pPr>
      <w:r>
        <w:rPr>
          <w:color w:val="1A5C38"/>
        </w:rPr>
        <w:t>3.3 Manual tier overrides</w:t>
      </w:r>
    </w:p>
    <w:p>
      <w:r>
        <w:rPr>
          <w:b w:val="0"/>
          <w:i w:val="0"/>
        </w:rPr>
        <w:t>Range Management allows a manual tier override per style (Tier 1–4 only — an override can never retire or un-retire a style). The row keeps a record of the automatic tier, and a manual override also clears any retirement flag (Section 4). Product Analysis maps the final (override-adjusted) tier to its Life Cycle wording: Tier 1 → Core, Tier 2 → Core Performer, Tier 3 → Recent Performer, Tier 4 → New / Test, Retired → Retired.</w:t>
      </w:r>
    </w:p>
    <w:p>
      <w:pPr>
        <w:pStyle w:val="Heading1"/>
      </w:pPr>
      <w:r>
        <w:rPr>
          <w:color w:val="1A5C38"/>
        </w:rPr>
        <w:t>4. "Flagged for Retirement" — the advisory SOP overlay</w:t>
      </w:r>
    </w:p>
    <w:p>
      <w:r>
        <w:rPr>
          <w:b w:val="0"/>
          <w:i w:val="0"/>
        </w:rPr>
        <w:t>This layer implements the 2026 Range Strategy age-stage gates. A still-trading style that fails the gate for its age stage is FLAGGED with a plain-English reason (shown as a Range Management column, a FLAGGED badge with tooltip, and in the retirement pipeline). The style keeps its real tier and keeps trading — only the merch team, acting in Odoo, can actually retire it.</w:t>
      </w:r>
    </w:p>
    <w:p>
      <w:pPr>
        <w:pStyle w:val="Heading2"/>
      </w:pPr>
      <w:r>
        <w:rPr>
          <w:color w:val="1A5C38"/>
        </w:rPr>
        <w:t>4.1 The gates (age sets the stage, performance decides)</w:t>
      </w:r>
    </w:p>
    <w:tbl>
      <w:tblPr>
        <w:tblStyle w:val="LightGrid-Accent6"/>
        <w:tblW w:type="auto" w:w="0"/>
        <w:tblLook w:firstColumn="1" w:firstRow="1" w:lastColumn="0" w:lastRow="0" w:noHBand="0" w:noVBand="1" w:val="04A0"/>
      </w:tblPr>
      <w:tblGrid>
        <w:gridCol w:w="2880"/>
        <w:gridCol w:w="2880"/>
        <w:gridCol w:w="2880"/>
      </w:tblGrid>
      <w:tr>
        <w:tc>
          <w:tcPr>
            <w:tcW w:type="dxa" w:w="2880"/>
          </w:tcPr>
          <w:p>
            <w:r>
              <w:t>Age stage</w:t>
            </w:r>
          </w:p>
        </w:tc>
        <w:tc>
          <w:tcPr>
            <w:tcW w:type="dxa" w:w="2880"/>
          </w:tcPr>
          <w:p>
            <w:r>
              <w:t>Gate to pass</w:t>
            </w:r>
          </w:p>
        </w:tc>
        <w:tc>
          <w:tcPr>
            <w:tcW w:type="dxa" w:w="2880"/>
          </w:tcPr>
          <w:p>
            <w:r>
              <w:t>Flagged when</w:t>
            </w:r>
          </w:p>
        </w:tc>
      </w:tr>
      <w:tr>
        <w:tc>
          <w:tcPr>
            <w:tcW w:type="dxa" w:w="2880"/>
          </w:tcPr>
          <w:p>
            <w:r>
              <w:t>0–12 weeks (read window)</w:t>
            </w:r>
          </w:p>
        </w:tc>
        <w:tc>
          <w:tcPr>
            <w:tcW w:type="dxa" w:w="2880"/>
          </w:tcPr>
          <w:p>
            <w:r>
              <w:t>No gate — too new to judge.</w:t>
            </w:r>
          </w:p>
        </w:tc>
        <w:tc>
          <w:tcPr>
            <w:tcW w:type="dxa" w:w="2880"/>
          </w:tcPr>
          <w:p>
            <w:r>
              <w:t>Never flagged.</w:t>
            </w:r>
          </w:p>
        </w:tc>
      </w:tr>
      <w:tr>
        <w:tc>
          <w:tcPr>
            <w:tcW w:type="dxa" w:w="2880"/>
          </w:tcPr>
          <w:p>
            <w:r>
              <w:t>12 weeks – 9 months (36 weeks)</w:t>
            </w:r>
          </w:p>
        </w:tc>
        <w:tc>
          <w:tcPr>
            <w:tcW w:type="dxa" w:w="2880"/>
          </w:tcPr>
          <w:p>
            <w:r>
              <w:t>"Week-8 read": a sale within the last 7 days AND weeks of cover ≤ 8. If the style has no stock, the cover test is skipped; unknown last-sale data fails the gate.</w:t>
            </w:r>
          </w:p>
        </w:tc>
        <w:tc>
          <w:tcPr>
            <w:tcW w:type="dxa" w:w="2880"/>
          </w:tcPr>
          <w:p>
            <w:r>
              <w:t>It misses the Week-8 read (reason lists what was missed: last sale recency and/or cover).</w:t>
            </w:r>
          </w:p>
        </w:tc>
      </w:tr>
      <w:tr>
        <w:tc>
          <w:tcPr>
            <w:tcW w:type="dxa" w:w="2880"/>
          </w:tcPr>
          <w:p>
            <w:r>
              <w:t>9 – 24 months (36–96 weeks)</w:t>
            </w:r>
          </w:p>
        </w:tc>
        <w:tc>
          <w:tcPr>
            <w:tcW w:type="dxa" w:w="2880"/>
          </w:tcPr>
          <w:p>
            <w:r>
              <w:t>At least 3 reorder cycles.</w:t>
            </w:r>
          </w:p>
        </w:tc>
        <w:tc>
          <w:tcPr>
            <w:tcW w:type="dxa" w:w="2880"/>
          </w:tcPr>
          <w:p>
            <w:r>
              <w:t>Fewer than 3 reorders.</w:t>
            </w:r>
          </w:p>
        </w:tc>
      </w:tr>
      <w:tr>
        <w:tc>
          <w:tcPr>
            <w:tcW w:type="dxa" w:w="2880"/>
          </w:tcPr>
          <w:p>
            <w:r>
              <w:t>24+ months (96+ weeks)</w:t>
            </w:r>
          </w:p>
        </w:tc>
        <w:tc>
          <w:tcPr>
            <w:tcW w:type="dxa" w:w="2880"/>
          </w:tcPr>
          <w:p>
            <w:r>
              <w:t>"Hero-core" bar: at least 5 reorders AND a sale within the last 30 days AND at least 300 units sold in the last 6 months.</w:t>
            </w:r>
          </w:p>
        </w:tc>
        <w:tc>
          <w:tcPr>
            <w:tcW w:type="dxa" w:w="2880"/>
          </w:tcPr>
          <w:p>
            <w:r>
              <w:t>It misses any part of the hero-core bar (reason lists each miss).</w:t>
            </w:r>
          </w:p>
        </w:tc>
      </w:tr>
    </w:tbl>
    <w:p>
      <w:pPr>
        <w:pStyle w:val="Heading2"/>
      </w:pPr>
      <w:r>
        <w:rPr>
          <w:color w:val="1A5C38"/>
        </w:rPr>
        <w:t>4.2 Notes on the overlay</w:t>
      </w:r>
    </w:p>
    <w:p>
      <w:pPr>
        <w:pStyle w:val="ListBullet"/>
      </w:pPr>
      <w:r>
        <w:t>SOR was removed from the flag gates too (July 2026, same reasoning as Section 3.2): gates run on recency, reorders and volume only.</w:t>
      </w:r>
    </w:p>
    <w:p>
      <w:pPr>
        <w:pStyle w:val="ListBullet"/>
      </w:pPr>
      <w:r>
        <w:t>The stage boundaries follow the original SOP verbatim: read window ends at week 12 inclusive; ~9 months = 36 weeks; 24 months = 96 weeks. (The tier model's 39-week Tier-2 cutoff is a separate, unrelated threshold.)</w:t>
      </w:r>
    </w:p>
    <w:p>
      <w:pPr>
        <w:pStyle w:val="ListBullet"/>
      </w:pPr>
      <w:r>
        <w:t>A manual tier override clears the flag for that style.</w:t>
      </w:r>
    </w:p>
    <w:p>
      <w:pPr>
        <w:pStyle w:val="ListBullet"/>
      </w:pPr>
      <w:r>
        <w:t>Flagged styles remain part of the Active totals; the banner shows a separate flagged count.</w:t>
      </w:r>
    </w:p>
    <w:p>
      <w:pPr>
        <w:pStyle w:val="Heading1"/>
      </w:pPr>
      <w:r>
        <w:rPr>
          <w:color w:val="1A5C38"/>
        </w:rPr>
        <w:t>5. Where the rules are applied</w:t>
      </w:r>
    </w:p>
    <w:p>
      <w:pPr>
        <w:pStyle w:val="ListBullet"/>
      </w:pPr>
      <w:r>
        <w:t>Range Management (/range-mgmt) — Tier column, Retired list, FLAGGED badge + reason column, tier summary banner, manual overrides.</w:t>
      </w:r>
    </w:p>
    <w:p>
      <w:pPr>
        <w:pStyle w:val="ListBullet"/>
      </w:pPr>
      <w:r>
        <w:t>Product Analysis — Tier column and Life Cycle wording, both from the same model, guaranteed to agree.</w:t>
      </w:r>
    </w:p>
    <w:p>
      <w:pPr>
        <w:pStyle w:val="ListBullet"/>
      </w:pPr>
      <w:r>
        <w:t>SOR / all-styles reports, Inventory style counts — same shared retired-style definition.</w:t>
      </w:r>
    </w:p>
    <w:p>
      <w:pPr>
        <w:pStyle w:val="ListBullet"/>
      </w:pPr>
      <w:r>
        <w:t>Warehouse Returns — "Retired" mode force-includes Odoo-Retired styles (even if still selling); "Aged" mode excludes them.</w:t>
      </w:r>
    </w:p>
    <w:p>
      <w:r>
        <w:rPr>
          <w:b w:val="0"/>
          <w:i w:val="0"/>
        </w:rPr>
        <w:t>Consistency invariant: any new screen that splits active vs retired must use the same shared definition — retirement is never re-derived from sales recency, brand, or the inventory "active" flag.</w:t>
      </w:r>
    </w:p>
    <w:p>
      <w:pPr>
        <w:pStyle w:val="Heading1"/>
      </w:pPr>
      <w:r>
        <w:rPr>
          <w:color w:val="1A5C38"/>
        </w:rPr>
        <w:t>6. Quick reference</w:t>
      </w:r>
    </w:p>
    <w:p>
      <w:pPr>
        <w:pStyle w:val="ListBullet"/>
      </w:pPr>
      <w:r>
        <w:t>Retire a style → set its status to Retired in Odoo (all SKUs). It disappears from Active on every page within the hour.</w:t>
      </w:r>
    </w:p>
    <w:p>
      <w:pPr>
        <w:pStyle w:val="ListBullet"/>
      </w:pPr>
      <w:r>
        <w:t>Un-retire → set any SKU of the style back to Active in Odoo.</w:t>
      </w:r>
    </w:p>
    <w:p>
      <w:pPr>
        <w:pStyle w:val="ListBullet"/>
      </w:pPr>
      <w:r>
        <w:t>Tier 1 = sold in 11+ of last 12 months · Tier 2 = 39+ weeks old &amp; &gt;3 reorder cycles · Tier 3 = 1+ reorder cycle · Tier 4 = new/test.</w:t>
      </w:r>
    </w:p>
    <w:p>
      <w:pPr>
        <w:pStyle w:val="ListBullet"/>
      </w:pPr>
      <w:r>
        <w:t>FLAGGED = advisory only. The reason text states exactly which SOP gate was missed and by how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