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client_name:</w:t>
        <w:br w:type="textWrapping"/>
      </w:r>
      <w:r w:rsidDel="00000000" w:rsidR="00000000" w:rsidRPr="00000000">
        <w:rPr>
          <w:rtl w:val="0"/>
        </w:rPr>
        <w:t xml:space="preserve">NUS Executive Education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project_name:</w:t>
        <w:br w:type="textWrapping"/>
      </w:r>
      <w:r w:rsidDel="00000000" w:rsidR="00000000" w:rsidRPr="00000000">
        <w:rPr>
          <w:rtl w:val="0"/>
        </w:rPr>
        <w:t xml:space="preserve">Cambridge Executive Leadership Programme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market:</w:t>
        <w:br w:type="textWrapping"/>
      </w:r>
      <w:r w:rsidDel="00000000" w:rsidR="00000000" w:rsidRPr="00000000">
        <w:rPr>
          <w:rtl w:val="0"/>
        </w:rPr>
        <w:t xml:space="preserve">Singapore, India, Indonesia, Thailand, Philippines, Japan, Australia, Vietnam, Taiwan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industry:</w:t>
        <w:br w:type="textWrapping"/>
      </w:r>
      <w:r w:rsidDel="00000000" w:rsidR="00000000" w:rsidRPr="00000000">
        <w:rPr>
          <w:rtl w:val="0"/>
        </w:rPr>
        <w:t xml:space="preserve">Higher Education – Executive Programmes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Generate qualified leads to enhance programme applications.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mode:</w:t>
        <w:br w:type="textWrapping"/>
      </w:r>
      <w:r w:rsidDel="00000000" w:rsidR="00000000" w:rsidRPr="00000000">
        <w:rPr>
          <w:rtl w:val="0"/>
        </w:rPr>
        <w:t xml:space="preserve">BUDGET_DRIVEN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budget:</w:t>
        <w:br w:type="textWrapping"/>
      </w:r>
      <w:r w:rsidDel="00000000" w:rsidR="00000000" w:rsidRPr="00000000">
        <w:rPr>
          <w:rtl w:val="0"/>
        </w:rPr>
        <w:t xml:space="preserve">SGD 85,000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target_kpi_type: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Qualified Leads (Brochure Download → Applications)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audience_description: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executives aged 35–60, including C-suite, Directors, Business Unit Heads, and senior professionals in strategy, leadership, digital transformation, AI, sustainability, and governance. Motivated by global strategy exposure, leadership advancement, and executive credibility.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mandatory_channels:</w:t>
        <w:br w:type="textWrapping"/>
      </w:r>
      <w:r w:rsidDel="00000000" w:rsidR="00000000" w:rsidRPr="00000000">
        <w:rPr>
          <w:rtl w:val="0"/>
        </w:rPr>
        <w:t xml:space="preserve">LinkedIn, Google Search, Google Performance Max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