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V6 segment accuracy findings</w:t>
      </w:r>
    </w:p>
    <w:p>
      <w:r>
        <w:rPr>
          <w:b/>
        </w:rPr>
        <w:t>V6 needs a correction before we rely on its Exact duplicate label for complex sequence rules. We confirmed eight wrong Exact labels between saved AA segments and 16 failures in local complex segment tests.</w:t>
      </w:r>
    </w:p>
    <w:p>
      <w:r>
        <w:rPr>
          <w:b w:val="0"/>
          <w:sz w:val="18"/>
        </w:rPr>
        <w:t>Checked on 30 October 2026 at 85% threshold. Version: CJA-AA_Demo v1 UI update 29Oct, extracted as V6. The application code was not changed. Findings were replayed using the same code.</w:t>
      </w:r>
    </w:p>
    <w:p>
      <w:pPr>
        <w:pStyle w:val="Heading1"/>
      </w:pPr>
      <w:r>
        <w:t>Saved CJA complex segments where it worked</w:t>
      </w:r>
    </w:p>
    <w:p>
      <w:r>
        <w:rPr>
          <w:b w:val="0"/>
        </w:rPr>
        <w:t>We checked the 19 segments shown in the screenshots: 8 in Segmentation Analysis and 11 in CJA - MCP Analysis - SD. There are 83 pairs within their own Data Views. V6 flagged the following two pairs; the other 81 were not flagged.</w:t>
      </w:r>
    </w:p>
    <w:tbl>
      <w:tblPr>
        <w:tblW w:type="auto" w:w="0"/>
        <w:tblLayout w:type="fixed"/>
        <w:tblLook w:firstColumn="1" w:firstRow="1" w:lastColumn="0" w:lastRow="0" w:noHBand="0" w:noVBand="1" w:val="04A0"/>
      </w:tblPr>
      <w:tblGrid>
        <w:gridCol w:w="5472"/>
        <w:gridCol w:w="1296"/>
        <w:gridCol w:w="3456"/>
      </w:tblGrid>
      <w:tr>
        <w:trPr>
          <w:tblHeader/>
          <w:cantSplit/>
        </w:trPr>
        <w:tc>
          <w:tcPr>
            <w:tcW w:type="dxa" w:w="5472"/>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Pair</w:t>
            </w:r>
          </w:p>
        </w:tc>
        <w:tc>
          <w:tcPr>
            <w:tcW w:type="dxa" w:w="1296"/>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V6 result</w:t>
            </w:r>
          </w:p>
        </w:tc>
        <w:tc>
          <w:tcPr>
            <w:tcW w:type="dxa" w:w="3456"/>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Review</w:t>
            </w:r>
          </w:p>
        </w:tc>
      </w:tr>
      <w:tr>
        <w:trPr>
          <w:cantSplit/>
        </w:trPr>
        <w:tc>
          <w:tcPr>
            <w:tcW w:type="dxa" w:w="5472"/>
            <w:tcBorders>
              <w:top w:val="single" w:sz="4" w:color="D8DEE5"/>
              <w:left w:val="single" w:sz="4" w:color="D8DEE5"/>
              <w:bottom w:val="single" w:sz="4" w:color="D8DEE5"/>
              <w:right w:val="single" w:sz="4" w:color="D8DEE5"/>
            </w:tcBorders>
          </w:tcPr>
          <w:p>
            <w:pPr>
              <w:spacing w:after="60" w:before="60" w:line="240" w:lineRule="auto"/>
            </w:pPr>
            <w:r>
              <w:rPr>
                <w:b w:val="0"/>
                <w:sz w:val="18"/>
              </w:rPr>
              <w:t>SD | Post-Checkout-Intent Events (Only After Sequence)</w:t>
              <w:br/>
              <w:t>and the same name ending (Copy)</w:t>
            </w:r>
          </w:p>
        </w:tc>
        <w:tc>
          <w:tcPr>
            <w:tcW w:type="dxa" w:w="1296"/>
            <w:tcBorders>
              <w:top w:val="single" w:sz="4" w:color="D8DEE5"/>
              <w:left w:val="single" w:sz="4" w:color="D8DEE5"/>
              <w:bottom w:val="single" w:sz="4" w:color="D8DEE5"/>
              <w:right w:val="single" w:sz="4" w:color="D8DEE5"/>
            </w:tcBorders>
          </w:tcPr>
          <w:p>
            <w:pPr>
              <w:spacing w:after="60" w:before="60" w:line="240" w:lineRule="auto"/>
            </w:pPr>
            <w:r>
              <w:rPr>
                <w:b w:val="0"/>
                <w:sz w:val="18"/>
              </w:rPr>
              <w:t>Exact 100%</w:t>
            </w:r>
          </w:p>
        </w:tc>
        <w:tc>
          <w:tcPr>
            <w:tcW w:type="dxa" w:w="3456"/>
            <w:tcBorders>
              <w:top w:val="single" w:sz="4" w:color="D8DEE5"/>
              <w:left w:val="single" w:sz="4" w:color="D8DEE5"/>
              <w:bottom w:val="single" w:sz="4" w:color="D8DEE5"/>
              <w:right w:val="single" w:sz="4" w:color="D8DEE5"/>
            </w:tcBorders>
          </w:tcPr>
          <w:p>
            <w:pPr>
              <w:spacing w:after="60" w:before="60" w:line="240" w:lineRule="auto"/>
            </w:pPr>
            <w:r>
              <w:rPr>
                <w:b w:val="0"/>
                <w:sz w:val="18"/>
              </w:rPr>
              <w:t>Correct. Complete stored definitions are identical.</w:t>
            </w:r>
          </w:p>
        </w:tc>
      </w:tr>
      <w:tr>
        <w:trPr>
          <w:cantSplit/>
        </w:trPr>
        <w:tc>
          <w:tcPr>
            <w:tcW w:type="dxa" w:w="5472"/>
            <w:tcBorders>
              <w:top w:val="single" w:sz="4" w:color="D8DEE5"/>
              <w:left w:val="single" w:sz="4" w:color="D8DEE5"/>
              <w:bottom w:val="single" w:sz="4" w:color="D8DEE5"/>
              <w:right w:val="single" w:sz="4" w:color="D8DEE5"/>
            </w:tcBorders>
          </w:tcPr>
          <w:p>
            <w:pPr>
              <w:spacing w:after="60" w:before="60" w:line="240" w:lineRule="auto"/>
            </w:pPr>
            <w:r>
              <w:rPr>
                <w:b w:val="0"/>
                <w:sz w:val="18"/>
              </w:rPr>
              <w:t>SD | Category Explorers to Cart+Checkout (OR/AND Sequence Groups)</w:t>
              <w:br/>
              <w:t>and the same name ending -Test</w:t>
            </w:r>
          </w:p>
        </w:tc>
        <w:tc>
          <w:tcPr>
            <w:tcW w:type="dxa" w:w="1296"/>
            <w:tcBorders>
              <w:top w:val="single" w:sz="4" w:color="D8DEE5"/>
              <w:left w:val="single" w:sz="4" w:color="D8DEE5"/>
              <w:bottom w:val="single" w:sz="4" w:color="D8DEE5"/>
              <w:right w:val="single" w:sz="4" w:color="D8DEE5"/>
            </w:tcBorders>
          </w:tcPr>
          <w:p>
            <w:pPr>
              <w:spacing w:after="60" w:before="60" w:line="240" w:lineRule="auto"/>
            </w:pPr>
            <w:r>
              <w:rPr>
                <w:b w:val="0"/>
                <w:sz w:val="18"/>
              </w:rPr>
              <w:t>Near 85.7%</w:t>
            </w:r>
          </w:p>
        </w:tc>
        <w:tc>
          <w:tcPr>
            <w:tcW w:type="dxa" w:w="3456"/>
            <w:tcBorders>
              <w:top w:val="single" w:sz="4" w:color="D8DEE5"/>
              <w:left w:val="single" w:sz="4" w:color="D8DEE5"/>
              <w:bottom w:val="single" w:sz="4" w:color="D8DEE5"/>
              <w:right w:val="single" w:sz="4" w:color="D8DEE5"/>
            </w:tcBorders>
          </w:tcPr>
          <w:p>
            <w:pPr>
              <w:spacing w:after="60" w:before="60" w:line="240" w:lineRule="auto"/>
            </w:pPr>
            <w:r>
              <w:rPr>
                <w:b w:val="0"/>
                <w:sz w:val="18"/>
              </w:rPr>
              <w:t>Correct distinction. Original allows categories 1, 2 or 3; Test allows only 1 or 2.</w:t>
            </w:r>
          </w:p>
        </w:tc>
      </w:tr>
    </w:tbl>
    <w:p>
      <w:r>
        <w:rPr>
          <w:b w:val="0"/>
          <w:sz w:val="18"/>
        </w:rPr>
        <w:t>The Test segment description still mentions category 3, but its saved rule omits it. We used the rule, not its description, for the review.</w:t>
      </w:r>
    </w:p>
    <w:p>
      <w:pPr>
        <w:pStyle w:val="Heading1"/>
      </w:pPr>
      <w:r>
        <w:t>Complex segment stress tests</w:t>
      </w:r>
    </w:p>
    <w:p>
      <w:r>
        <w:rPr>
          <w:b w:val="0"/>
        </w:rPr>
        <w:t>We made local copies of the saved definitions and changed one aspect at a time. These were offline tests only. No test variant was created in Adobe.</w:t>
      </w:r>
    </w:p>
    <w:tbl>
      <w:tblPr>
        <w:tblW w:type="auto" w:w="0"/>
        <w:tblLayout w:type="fixed"/>
        <w:tblLook w:firstColumn="1" w:firstRow="1" w:lastColumn="0" w:lastRow="0" w:noHBand="0" w:noVBand="1" w:val="04A0"/>
      </w:tblPr>
      <w:tblGrid>
        <w:gridCol w:w="6768"/>
        <w:gridCol w:w="1152"/>
        <w:gridCol w:w="1152"/>
        <w:gridCol w:w="1152"/>
      </w:tblGrid>
      <w:tr>
        <w:trPr>
          <w:tblHeader/>
          <w:cantSplit/>
        </w:trPr>
        <w:tc>
          <w:tcPr>
            <w:tcW w:type="dxa" w:w="6768"/>
            <w:tcBorders>
              <w:top w:val="single" w:sz="4" w:color="D8DEE5"/>
              <w:left w:val="single" w:sz="4" w:color="D8DEE5"/>
              <w:bottom w:val="single" w:sz="4" w:color="D8DEE5"/>
              <w:right w:val="single" w:sz="4" w:color="D8DEE5"/>
            </w:tcBorders>
            <w:shd w:fill="EAF0F6"/>
          </w:tcPr>
          <w:p>
            <w:pPr>
              <w:spacing w:after="60" w:before="60" w:line="240" w:lineRule="auto"/>
            </w:pPr>
            <w:r>
              <w:rPr>
                <w:b/>
                <w:sz w:val="19"/>
              </w:rPr>
              <w:t>Change tested</w:t>
            </w:r>
          </w:p>
        </w:tc>
        <w:tc>
          <w:tcPr>
            <w:tcW w:type="dxa" w:w="1152"/>
            <w:tcBorders>
              <w:top w:val="single" w:sz="4" w:color="D8DEE5"/>
              <w:left w:val="single" w:sz="4" w:color="D8DEE5"/>
              <w:bottom w:val="single" w:sz="4" w:color="D8DEE5"/>
              <w:right w:val="single" w:sz="4" w:color="D8DEE5"/>
            </w:tcBorders>
            <w:shd w:fill="EAF0F6"/>
          </w:tcPr>
          <w:p>
            <w:pPr>
              <w:spacing w:after="60" w:before="60" w:line="240" w:lineRule="auto"/>
            </w:pPr>
            <w:r>
              <w:rPr>
                <w:b/>
                <w:sz w:val="19"/>
              </w:rPr>
              <w:t>Runs</w:t>
            </w:r>
          </w:p>
        </w:tc>
        <w:tc>
          <w:tcPr>
            <w:tcW w:type="dxa" w:w="1152"/>
            <w:tcBorders>
              <w:top w:val="single" w:sz="4" w:color="D8DEE5"/>
              <w:left w:val="single" w:sz="4" w:color="D8DEE5"/>
              <w:bottom w:val="single" w:sz="4" w:color="D8DEE5"/>
              <w:right w:val="single" w:sz="4" w:color="D8DEE5"/>
            </w:tcBorders>
            <w:shd w:fill="EAF0F6"/>
          </w:tcPr>
          <w:p>
            <w:pPr>
              <w:spacing w:after="60" w:before="60" w:line="240" w:lineRule="auto"/>
            </w:pPr>
            <w:r>
              <w:rPr>
                <w:b/>
                <w:sz w:val="19"/>
              </w:rPr>
              <w:t>Passed</w:t>
            </w:r>
          </w:p>
        </w:tc>
        <w:tc>
          <w:tcPr>
            <w:tcW w:type="dxa" w:w="1152"/>
            <w:tcBorders>
              <w:top w:val="single" w:sz="4" w:color="D8DEE5"/>
              <w:left w:val="single" w:sz="4" w:color="D8DEE5"/>
              <w:bottom w:val="single" w:sz="4" w:color="D8DEE5"/>
              <w:right w:val="single" w:sz="4" w:color="D8DEE5"/>
            </w:tcBorders>
            <w:shd w:fill="EAF0F6"/>
          </w:tcPr>
          <w:p>
            <w:pPr>
              <w:spacing w:after="60" w:before="60" w:line="240" w:lineRule="auto"/>
            </w:pPr>
            <w:r>
              <w:rPr>
                <w:b/>
                <w:sz w:val="19"/>
              </w:rPr>
              <w:t>Failed</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Name or JSON object key order only</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38</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38</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0</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Ordinary AND or OR order</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19</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19</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0</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Unordered sequence group order</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4</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4</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0</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One restriction count changed</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11</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11</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0</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Ordered checkpoints swapped</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11</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0</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11</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Time limits moved to different gaps</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5</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0</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5</w:t>
            </w:r>
          </w:p>
        </w:tc>
      </w:tr>
      <w:tr>
        <w:trPr>
          <w:cantSplit/>
        </w:trPr>
        <w:tc>
          <w:tcPr>
            <w:tcW w:type="dxa" w:w="6768"/>
            <w:tcBorders>
              <w:top w:val="single" w:sz="4" w:color="D8DEE5"/>
              <w:left w:val="single" w:sz="4" w:color="D8DEE5"/>
              <w:bottom w:val="single" w:sz="4" w:color="D8DEE5"/>
              <w:right w:val="single" w:sz="4" w:color="D8DEE5"/>
            </w:tcBorders>
          </w:tcPr>
          <w:p>
            <w:pPr>
              <w:spacing w:after="60" w:before="60" w:line="240" w:lineRule="auto"/>
            </w:pPr>
            <w:r>
              <w:rPr>
                <w:b w:val="0"/>
                <w:sz w:val="19"/>
              </w:rPr>
              <w:t>Total</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88</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72</w:t>
            </w:r>
          </w:p>
        </w:tc>
        <w:tc>
          <w:tcPr>
            <w:tcW w:type="dxa" w:w="1152"/>
            <w:tcBorders>
              <w:top w:val="single" w:sz="4" w:color="D8DEE5"/>
              <w:left w:val="single" w:sz="4" w:color="D8DEE5"/>
              <w:bottom w:val="single" w:sz="4" w:color="D8DEE5"/>
              <w:right w:val="single" w:sz="4" w:color="D8DEE5"/>
            </w:tcBorders>
          </w:tcPr>
          <w:p>
            <w:pPr>
              <w:spacing w:after="60" w:before="60" w:line="240" w:lineRule="auto"/>
            </w:pPr>
            <w:r>
              <w:rPr>
                <w:b w:val="0"/>
                <w:sz w:val="19"/>
              </w:rPr>
              <w:t>16</w:t>
            </w:r>
          </w:p>
        </w:tc>
      </w:tr>
    </w:tbl>
    <w:p>
      <w:r>
        <w:rPr>
          <w:b/>
          <w:sz w:val="18"/>
        </w:rPr>
        <w:t>All 16 failures were displayed as Exact duplicate at 100%, with no differences. This is a rule comparison failure. It is not proof that these audiences have the same people.</w:t>
      </w:r>
    </w:p>
    <w:p>
      <w:r>
        <w:br w:type="page"/>
      </w:r>
    </w:p>
    <w:p>
      <w:pPr>
        <w:pStyle w:val="Heading1"/>
      </w:pPr>
      <w:r>
        <w:t>CJA complex definitions where local tests failed</w:t>
      </w:r>
    </w:p>
    <w:p>
      <w:r>
        <w:rPr>
          <w:b w:val="0"/>
          <w:sz w:val="18"/>
        </w:rPr>
        <w:t>Each row compares the saved definition with its local changed copy. All 11 checkpoint swaps should have been treated as different definitions. Five also failed when different time limits were moved between sequence gaps.</w:t>
      </w:r>
    </w:p>
    <w:tbl>
      <w:tblPr>
        <w:tblW w:type="auto" w:w="0"/>
        <w:tblLayout w:type="fixed"/>
        <w:tblLook w:firstColumn="1" w:firstRow="1" w:lastColumn="0" w:lastRow="0" w:noHBand="0" w:noVBand="1" w:val="04A0"/>
      </w:tblPr>
      <w:tblGrid>
        <w:gridCol w:w="576"/>
        <w:gridCol w:w="5832"/>
        <w:gridCol w:w="3816"/>
      </w:tblGrid>
      <w:tr>
        <w:trPr>
          <w:tblHeader/>
          <w:cantSplit/>
        </w:trPr>
        <w:tc>
          <w:tcPr>
            <w:tcW w:type="dxa" w:w="576"/>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Ref</w:t>
            </w:r>
          </w:p>
        </w:tc>
        <w:tc>
          <w:tcPr>
            <w:tcW w:type="dxa" w:w="5832"/>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Original segment name</w:t>
            </w:r>
          </w:p>
        </w:tc>
        <w:tc>
          <w:tcPr>
            <w:tcW w:type="dxa" w:w="3816"/>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Failed change</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S01</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SA | Post-Click Activity (Only After View &gt; Click within 3 pages)</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S03</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SA | Multi-Session Re-Engagement Path (AND group + restriction)</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S05</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SA | Cart Abandoners Who Returned Within 7 Days</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br/>
              <w:t>Gap limits: FAIL</w:t>
              <w:br/>
              <w:t>1 hour(s) and 7 day(s) swapped</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S07</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SA | Click-Through Navigation Sessions (View &gt; Click &gt; View)</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S09</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Category Explorers to Cart+Checkout (OR/AND Sequence Groups)-Test</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br/>
              <w:t>Gap limits: FAIL</w:t>
              <w:br/>
              <w:t>2 day(s) and 3 day(s) swapped</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S10</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Post-Checkout-Intent Events (Only After Sequence) (Copy)</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S11</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Post-Checkout-Intent Events (Only After Sequence)</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S13</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Category Explorers to Cart+Checkout (OR/AND Sequence Groups)</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br/>
              <w:t>Gap limits: FAIL</w:t>
              <w:br/>
              <w:t>2 day(s) and 3 day(s) swapped</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S14</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Email-to-Paid Cross-Session Conversion Path</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br/>
              <w:t>Gap limits: FAIL</w:t>
              <w:br/>
              <w:t>14 day(s) and 7 day(s) swapped</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S17</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Multi-Channel Engagers Converting within 30 Days</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r>
          </w:p>
        </w:tc>
      </w:tr>
      <w:tr>
        <w:trPr>
          <w:cantSplit/>
        </w:trPr>
        <w:tc>
          <w:tcPr>
            <w:tcW w:type="dxa" w:w="576"/>
            <w:tcBorders>
              <w:top w:val="single" w:sz="4" w:color="D8DEE5"/>
              <w:left w:val="single" w:sz="4" w:color="D8DEE5"/>
              <w:bottom w:val="single" w:sz="4" w:color="D8DEE5"/>
              <w:right w:val="single" w:sz="4" w:color="D8DEE5"/>
            </w:tcBorders>
          </w:tcPr>
          <w:p>
            <w:pPr>
              <w:spacing w:after="60" w:before="60" w:line="240" w:lineRule="auto"/>
            </w:pPr>
            <w:r>
              <w:rPr>
                <w:b w:val="0"/>
                <w:sz w:val="18"/>
              </w:rPr>
              <w:t>S18</w:t>
            </w:r>
          </w:p>
        </w:tc>
        <w:tc>
          <w:tcPr>
            <w:tcW w:type="dxa" w:w="5832"/>
            <w:tcBorders>
              <w:top w:val="single" w:sz="4" w:color="D8DEE5"/>
              <w:left w:val="single" w:sz="4" w:color="D8DEE5"/>
              <w:bottom w:val="single" w:sz="4" w:color="D8DEE5"/>
              <w:right w:val="single" w:sz="4" w:color="D8DEE5"/>
            </w:tcBorders>
          </w:tcPr>
          <w:p>
            <w:pPr>
              <w:spacing w:after="60" w:before="60" w:line="240" w:lineRule="auto"/>
            </w:pPr>
            <w:r>
              <w:rPr>
                <w:b w:val="0"/>
                <w:sz w:val="18"/>
              </w:rPr>
              <w:t>SD | Direct-Path Purchasers (View &gt; Cart &gt; Order, no search detour)</w:t>
            </w:r>
          </w:p>
        </w:tc>
        <w:tc>
          <w:tcPr>
            <w:tcW w:type="dxa" w:w="3816"/>
            <w:tcBorders>
              <w:top w:val="single" w:sz="4" w:color="D8DEE5"/>
              <w:left w:val="single" w:sz="4" w:color="D8DEE5"/>
              <w:bottom w:val="single" w:sz="4" w:color="D8DEE5"/>
              <w:right w:val="single" w:sz="4" w:color="D8DEE5"/>
            </w:tcBorders>
          </w:tcPr>
          <w:p>
            <w:pPr>
              <w:spacing w:after="60" w:before="60" w:line="240" w:lineRule="auto"/>
            </w:pPr>
            <w:r>
              <w:rPr>
                <w:b w:val="0"/>
                <w:sz w:val="18"/>
              </w:rPr>
              <w:t>Checkpoint order: FAIL</w:t>
              <w:br/>
              <w:t>Gap limits: FAIL</w:t>
              <w:br/>
              <w:t>7 day(s) and 14 day(s) swapped</w:t>
            </w:r>
          </w:p>
        </w:tc>
      </w:tr>
    </w:tbl>
    <w:p>
      <w:pPr>
        <w:pStyle w:val="Heading2"/>
      </w:pPr>
      <w:r>
        <w:t>Why it failed and what needs to change</w:t>
      </w:r>
    </w:p>
    <w:p>
      <w:r>
        <w:rPr>
          <w:b w:val="0"/>
          <w:sz w:val="18"/>
        </w:rPr>
        <w:t>The token comparison drops array positions. It therefore loses checkpoint order and the link between a time limit and its gap. A 100% token score can then be labelled Exact even when the ordered rule trees differ.</w:t>
      </w:r>
    </w:p>
    <w:p>
      <w:r>
        <w:rPr>
          <w:b/>
          <w:sz w:val="18"/>
        </w:rPr>
        <w:t>Keep ordered streams, exclusions and their gap restrictions in position. Sort only genuinely unordered groups. Mark Exact only after the complete logical definitions and scope match; use similarity scores for review suggestions. Recheck the 16 cases after the correction.</w:t>
      </w:r>
    </w:p>
    <w:p>
      <w:r>
        <w:br w:type="page"/>
      </w:r>
    </w:p>
    <w:p>
      <w:pPr>
        <w:pStyle w:val="Heading1"/>
      </w:pPr>
      <w:r>
        <w:t>Eight saved AA pairs wrongly shown as Exact</w:t>
      </w:r>
    </w:p>
    <w:p>
      <w:r>
        <w:rPr>
          <w:b w:val="0"/>
          <w:sz w:val="18"/>
        </w:rPr>
        <w:t>Report suite: Demo Data 7616. These are real saved pairs from the captured inventory, not local test variants. The generated V6 HTML shows all eight as Exact 100% with zero differences. We replayed all eight and confirmed the result.</w:t>
      </w:r>
    </w:p>
    <w:p>
      <w:r>
        <w:rPr>
          <w:b/>
          <w:sz w:val="18"/>
        </w:rPr>
        <w:t>For the first seven pairs, Segment B is PAGES (stored name has a trailing space). Its rule is create account: step 2 THEN create account: step 1. Each Segment A below has step 1 THEN step 2. These are different ordered rules.</w:t>
      </w:r>
    </w:p>
    <w:p>
      <w:r>
        <w:rPr>
          <w:b w:val="0"/>
          <w:sz w:val="18"/>
        </w:rPr>
        <w:t>Segment B ID: s200002371_5b8f959305871b06a6edf305. Segment A IDs below use the same s200002371_ prefix.</w:t>
      </w:r>
    </w:p>
    <w:tbl>
      <w:tblPr>
        <w:tblW w:type="auto" w:w="0"/>
        <w:tblLayout w:type="fixed"/>
        <w:tblLook w:firstColumn="1" w:firstRow="1" w:lastColumn="0" w:lastRow="0" w:noHBand="0" w:noVBand="1" w:val="04A0"/>
      </w:tblPr>
      <w:tblGrid>
        <w:gridCol w:w="432"/>
        <w:gridCol w:w="3096"/>
        <w:gridCol w:w="3384"/>
        <w:gridCol w:w="3312"/>
      </w:tblGrid>
      <w:tr>
        <w:trPr>
          <w:tblHeader/>
          <w:cantSplit/>
        </w:trPr>
        <w:tc>
          <w:tcPr>
            <w:tcW w:type="dxa" w:w="432"/>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w:t>
            </w:r>
          </w:p>
        </w:tc>
        <w:tc>
          <w:tcPr>
            <w:tcW w:type="dxa" w:w="3096"/>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Segment A versus PAGES</w:t>
            </w:r>
          </w:p>
        </w:tc>
        <w:tc>
          <w:tcPr>
            <w:tcW w:type="dxa" w:w="3384"/>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Segment A ID suffix</w:t>
            </w:r>
          </w:p>
        </w:tc>
        <w:tc>
          <w:tcPr>
            <w:tcW w:type="dxa" w:w="3312"/>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V6 cleanup advice</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1</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Create account</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5b8f93b198ca3a1964847dfa</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Can be deleted: both unused</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2</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Step1 then step2</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5b8f95292778f8461e9ad99e</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Delete PAGES</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3</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Create Account Page</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5b8f953541c44b9be1cc44b6</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Can be deleted: both unused</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4</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path flow</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5b8f956c3916f65721ddc3eb</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Can be deleted: both unused</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5</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Step2 followed by step1</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5b8f958aaae9ea693350fb22</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Can be deleted: both unused</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6</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create account step1 to step2 - vedant</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5b8f95ac4f278f099a2b708f</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Can be deleted: both unused</w:t>
            </w:r>
          </w:p>
        </w:tc>
      </w:tr>
      <w:tr>
        <w:trPr>
          <w:cantSplit/>
        </w:trPr>
        <w:tc>
          <w:tcPr>
            <w:tcW w:type="dxa" w:w="432"/>
            <w:tcBorders>
              <w:top w:val="single" w:sz="4" w:color="D8DEE5"/>
              <w:left w:val="single" w:sz="4" w:color="D8DEE5"/>
              <w:bottom w:val="single" w:sz="4" w:color="D8DEE5"/>
              <w:right w:val="single" w:sz="4" w:color="D8DEE5"/>
            </w:tcBorders>
          </w:tcPr>
          <w:p>
            <w:pPr>
              <w:spacing w:after="60" w:before="60" w:line="240" w:lineRule="auto"/>
            </w:pPr>
            <w:r>
              <w:rPr>
                <w:b w:val="0"/>
                <w:sz w:val="18"/>
              </w:rPr>
              <w:t>7</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Israr_create account</w:t>
            </w:r>
          </w:p>
        </w:tc>
        <w:tc>
          <w:tcPr>
            <w:tcW w:type="dxa" w:w="3384"/>
            <w:tcBorders>
              <w:top w:val="single" w:sz="4" w:color="D8DEE5"/>
              <w:left w:val="single" w:sz="4" w:color="D8DEE5"/>
              <w:bottom w:val="single" w:sz="4" w:color="D8DEE5"/>
              <w:right w:val="single" w:sz="4" w:color="D8DEE5"/>
            </w:tcBorders>
          </w:tcPr>
          <w:p>
            <w:pPr>
              <w:spacing w:after="60" w:before="60" w:line="240" w:lineRule="auto"/>
            </w:pPr>
            <w:r>
              <w:rPr>
                <w:b w:val="0"/>
                <w:sz w:val="18"/>
              </w:rPr>
              <w:t>5b8f95d5b9b6c3542b1742e5</w:t>
            </w:r>
          </w:p>
        </w:tc>
        <w:tc>
          <w:tcPr>
            <w:tcW w:type="dxa" w:w="3312"/>
            <w:tcBorders>
              <w:top w:val="single" w:sz="4" w:color="D8DEE5"/>
              <w:left w:val="single" w:sz="4" w:color="D8DEE5"/>
              <w:bottom w:val="single" w:sz="4" w:color="D8DEE5"/>
              <w:right w:val="single" w:sz="4" w:color="D8DEE5"/>
            </w:tcBorders>
          </w:tcPr>
          <w:p>
            <w:pPr>
              <w:spacing w:after="60" w:before="60" w:line="240" w:lineRule="auto"/>
            </w:pPr>
            <w:r>
              <w:rPr>
                <w:b w:val="0"/>
                <w:sz w:val="18"/>
              </w:rPr>
              <w:t>Delete PAGES</w:t>
            </w:r>
          </w:p>
        </w:tc>
      </w:tr>
    </w:tbl>
    <w:p>
      <w:r>
        <w:rPr>
          <w:b w:val="0"/>
          <w:sz w:val="18"/>
        </w:rPr>
        <w:t>The segment named Step2 followed by step1 actually stores step 1 THEN step 2. The finding is based on its saved definition, not its name.</w:t>
      </w:r>
    </w:p>
    <w:p>
      <w:pPr>
        <w:pStyle w:val="Heading2"/>
      </w:pPr>
      <w:r>
        <w:t>Pair 8 changes the excluded checkpoint</w:t>
      </w:r>
    </w:p>
    <w:p>
      <w:r>
        <w:rPr>
          <w:b w:val="0"/>
          <w:sz w:val="18"/>
        </w:rPr>
        <w:t>AnF Use Case - Not 23rd and Just 26 Nov 2018</w:t>
        <w:br/>
        <w:t>ID: s200002371_5c7e3e46e3fdbf0cfa64b5ea</w:t>
        <w:br/>
        <w:t>versus</w:t>
        <w:br/>
        <w:t>AnF Use Case - Just 23rd and not 26 Nov 2018</w:t>
        <w:br/>
        <w:t>ID: s200002371_5c7e43b323424c0d6ca6e6c9</w:t>
      </w:r>
    </w:p>
    <w:p>
      <w:r>
        <w:rPr>
          <w:b w:val="0"/>
          <w:sz w:val="18"/>
        </w:rPr>
        <w:t>The exclude-next-checkpoint marker is attached to a different position in the ordered stream. This changes which checkpoint is excluded. V6 still shows Exact 100% and no differences. This pair must be treated as different definitions.</w:t>
      </w:r>
    </w:p>
    <w:p>
      <w:pPr>
        <w:pStyle w:val="Heading2"/>
      </w:pPr>
      <w:r>
        <w:t>Action for these findings</w:t>
      </w:r>
    </w:p>
    <w:p>
      <w:r>
        <w:rPr>
          <w:b/>
          <w:sz w:val="18"/>
        </w:rPr>
        <w:t>Do not delete or merge these eight pairs based on the current Exact label. Seven of the eight HTML rows also give deletion advice despite the rule difference. Fix the comparison first and then rerun the affected groups. No segment was deleted in this study.</w:t>
      </w:r>
    </w:p>
    <w:p>
      <w:r>
        <w:rPr>
          <w:b w:val="0"/>
          <w:sz w:val="18"/>
        </w:rPr>
        <w:t>Evidence: saved API definitions, generated HTML payloads and replayed comparisons from 30 October 2026. This targeted study does not establish an overall accuracy percentage. Source hashes: CJA cd79cc5f0bdf; AA 89302debf969.</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Unchanged V6 accuracy review  |  30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cs="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Liberation Sans" w:hAnsi="Liberation Sans" w:eastAsia="Liberation Sans" w:cs="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Liberation Sans" w:hAnsi="Liberation Sans" w:eastAsia="Liberation Sans" w:cs="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4" w:lineRule="auto"/>
      <w:outlineLvl w:val="2"/>
    </w:pPr>
    <w:rPr>
      <w:rFonts w:asciiTheme="majorHAnsi" w:eastAsiaTheme="majorEastAsia" w:hAnsiTheme="majorHAnsi" w:cstheme="majorBidi" w:ascii="Liberation Sans" w:hAnsi="Liberation Sans" w:eastAsia="Liberation Sans" w:cs="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Liberation Sans" w:hAnsi="Liberation Sans" w:eastAsia="Liberation Sans" w:cs="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