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Google Floodlight Migration Analysis and Launch Framework</w:t>
      </w:r>
    </w:p>
    <w:p>
      <w:pPr>
        <w:pStyle w:val="Subtitle"/>
      </w:pPr>
      <w:r>
        <w:rPr>
          <w:b w:val="0"/>
        </w:rPr>
        <w:t>Ensighten to Adobe Experience Platform Data Collection</w:t>
      </w:r>
    </w:p>
    <w:p>
      <w:r>
        <w:rPr>
          <w:b w:val="0"/>
          <w:color w:val="607286"/>
        </w:rPr>
        <w:t>Engineering investigation  |  6 October 2026</w:t>
      </w:r>
    </w:p>
    <w:p>
      <w:pPr>
        <w:pStyle w:val="Heading1"/>
      </w:pPr>
      <w:r>
        <w:t>1 Current Citi Floodlight requirement</w:t>
      </w:r>
    </w:p>
    <w:p>
      <w:r>
        <w:rPr>
          <w:b w:val="0"/>
        </w:rPr>
        <w:t>The existing Citi Ensighten implementation requires support for multiple Floodlight configuration IDs and multiple conversion activities. The migration to Adobe Data Collection / Launch must retain the correct account, activity, counting method and custom variables for each journey event.</w:t>
      </w:r>
    </w:p>
    <w:p>
      <w:r>
        <w:rPr>
          <w:b w:val="0"/>
        </w:rPr>
        <w:t>The September current-state review confirmed five configuration IDs and 25 explicit activity bindings in the sampled implementation. Mortgage contained the largest group. These are findings from delivered code and sampled public pages; they do not mean that every Citi page uses every ID or that all listed conversions fired during the review.</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880"/>
        <w:gridCol w:w="7200"/>
      </w:tblGrid>
      <w:tr>
        <w:trPr>
          <w:tblHeader w:val="true"/>
          <w:cantSplit/>
        </w:trPr>
        <w:tc>
          <w:tcPr>
            <w:tcW w:type="dxa" w:w="2880"/>
            <w:vAlign w:val="top"/>
            <w:shd w:fill="DCEAF5"/>
            <w:tcMar>
              <w:top w:w="65" w:type="dxa"/>
              <w:bottom w:w="65" w:type="dxa"/>
              <w:left w:w="90" w:type="dxa"/>
              <w:right w:w="90" w:type="dxa"/>
            </w:tcMar>
          </w:tcPr>
          <w:p>
            <w:pPr>
              <w:spacing w:after="0" w:line="247" w:lineRule="auto"/>
            </w:pPr>
            <w:r>
              <w:rPr>
                <w:b/>
                <w:color w:val="133F69"/>
                <w:sz w:val="18"/>
              </w:rPr>
              <w:t>Confirmed source finding</w:t>
            </w:r>
          </w:p>
        </w:tc>
        <w:tc>
          <w:tcPr>
            <w:tcW w:type="dxa" w:w="7200"/>
            <w:vAlign w:val="top"/>
            <w:shd w:fill="DCEAF5"/>
            <w:tcMar>
              <w:top w:w="65" w:type="dxa"/>
              <w:bottom w:w="65" w:type="dxa"/>
              <w:left w:w="90" w:type="dxa"/>
              <w:right w:w="90" w:type="dxa"/>
            </w:tcMar>
          </w:tcPr>
          <w:p>
            <w:pPr>
              <w:spacing w:after="0" w:line="247" w:lineRule="auto"/>
            </w:pPr>
            <w:r>
              <w:rPr>
                <w:b/>
                <w:color w:val="133F69"/>
                <w:sz w:val="18"/>
              </w:rPr>
              <w:t>Observed scope</w:t>
            </w:r>
          </w:p>
        </w:tc>
      </w:tr>
      <w:tr>
        <w:trPr>
          <w:cantSplit/>
        </w:trPr>
        <w:tc>
          <w:tcPr>
            <w:tcW w:type="dxa" w:w="2880"/>
            <w:vAlign w:val="top"/>
            <w:shd w:fill="FFFFFF"/>
            <w:tcMar>
              <w:top w:w="65" w:type="dxa"/>
              <w:bottom w:w="65" w:type="dxa"/>
              <w:left w:w="90" w:type="dxa"/>
              <w:right w:w="90" w:type="dxa"/>
            </w:tcMar>
          </w:tcPr>
          <w:p>
            <w:pPr>
              <w:spacing w:after="0" w:line="247" w:lineRule="auto"/>
            </w:pPr>
            <w:r>
              <w:rPr>
                <w:sz w:val="18"/>
              </w:rPr>
              <w:t>Floodlight configuration IDs</w:t>
            </w:r>
          </w:p>
        </w:tc>
        <w:tc>
          <w:tcPr>
            <w:tcW w:type="dxa" w:w="7200"/>
            <w:vAlign w:val="top"/>
            <w:shd w:fill="FFFFFF"/>
            <w:tcMar>
              <w:top w:w="65" w:type="dxa"/>
              <w:bottom w:w="65" w:type="dxa"/>
              <w:left w:w="90" w:type="dxa"/>
              <w:right w:w="90" w:type="dxa"/>
            </w:tcMar>
          </w:tcPr>
          <w:p>
            <w:pPr>
              <w:spacing w:after="0" w:line="247" w:lineRule="auto"/>
            </w:pPr>
            <w:r>
              <w:rPr>
                <w:sz w:val="18"/>
              </w:rPr>
              <w:t>DC-6260004; DC-6269322; DC-6256710; DC-6415812; DC-6268858. These are current-state Citi IDs, separate from all POC TEST IDs.</w:t>
            </w:r>
          </w:p>
        </w:tc>
      </w:tr>
      <w:tr>
        <w:trPr>
          <w:cantSplit/>
        </w:trPr>
        <w:tc>
          <w:tcPr>
            <w:tcW w:type="dxa" w:w="2880"/>
            <w:vAlign w:val="top"/>
            <w:shd w:fill="F3F7FB"/>
            <w:tcMar>
              <w:top w:w="65" w:type="dxa"/>
              <w:bottom w:w="65" w:type="dxa"/>
              <w:left w:w="90" w:type="dxa"/>
              <w:right w:w="90" w:type="dxa"/>
            </w:tcMar>
          </w:tcPr>
          <w:p>
            <w:pPr>
              <w:spacing w:after="0" w:line="247" w:lineRule="auto"/>
            </w:pPr>
            <w:r>
              <w:rPr>
                <w:sz w:val="18"/>
              </w:rPr>
              <w:t>Explicit sampled activity bindings</w:t>
            </w:r>
          </w:p>
        </w:tc>
        <w:tc>
          <w:tcPr>
            <w:tcW w:type="dxa" w:w="7200"/>
            <w:vAlign w:val="top"/>
            <w:shd w:fill="F3F7FB"/>
            <w:tcMar>
              <w:top w:w="65" w:type="dxa"/>
              <w:bottom w:w="65" w:type="dxa"/>
              <w:left w:w="90" w:type="dxa"/>
              <w:right w:w="90" w:type="dxa"/>
            </w:tcMar>
          </w:tcPr>
          <w:p>
            <w:pPr>
              <w:spacing w:after="0" w:line="247" w:lineRule="auto"/>
            </w:pPr>
            <w:r>
              <w:rPr>
                <w:sz w:val="18"/>
              </w:rPr>
              <w:t>25 total: Mortgage 19; Cards 3; Banking 1; shared implementation 2.</w:t>
            </w:r>
          </w:p>
        </w:tc>
      </w:tr>
      <w:tr>
        <w:trPr>
          <w:cantSplit/>
        </w:trPr>
        <w:tc>
          <w:tcPr>
            <w:tcW w:type="dxa" w:w="2880"/>
            <w:vAlign w:val="top"/>
            <w:shd w:fill="FFFFFF"/>
            <w:tcMar>
              <w:top w:w="65" w:type="dxa"/>
              <w:bottom w:w="65" w:type="dxa"/>
              <w:left w:w="90" w:type="dxa"/>
              <w:right w:w="90" w:type="dxa"/>
            </w:tcMar>
          </w:tcPr>
          <w:p>
            <w:pPr>
              <w:spacing w:after="0" w:line="247" w:lineRule="auto"/>
            </w:pPr>
            <w:r>
              <w:rPr>
                <w:sz w:val="18"/>
              </w:rPr>
              <w:t>Activity and counting differences</w:t>
            </w:r>
          </w:p>
        </w:tc>
        <w:tc>
          <w:tcPr>
            <w:tcW w:type="dxa" w:w="7200"/>
            <w:vAlign w:val="top"/>
            <w:shd w:fill="FFFFFF"/>
            <w:tcMar>
              <w:top w:w="65" w:type="dxa"/>
              <w:bottom w:w="65" w:type="dxa"/>
              <w:left w:w="90" w:type="dxa"/>
              <w:right w:w="90" w:type="dxa"/>
            </w:tcMar>
          </w:tcPr>
          <w:p>
            <w:pPr>
              <w:spacing w:after="0" w:line="247" w:lineRule="auto"/>
            </w:pPr>
            <w:r>
              <w:rPr>
                <w:sz w:val="18"/>
              </w:rPr>
              <w:t>Separate activity group/type and activity/cat values; unique and transactions counting methods were visible in sampled activity routes.</w:t>
            </w:r>
          </w:p>
        </w:tc>
      </w:tr>
      <w:tr>
        <w:trPr>
          <w:cantSplit/>
        </w:trPr>
        <w:tc>
          <w:tcPr>
            <w:tcW w:type="dxa" w:w="2880"/>
            <w:vAlign w:val="top"/>
            <w:shd w:fill="F3F7FB"/>
            <w:tcMar>
              <w:top w:w="65" w:type="dxa"/>
              <w:bottom w:w="65" w:type="dxa"/>
              <w:left w:w="90" w:type="dxa"/>
              <w:right w:w="90" w:type="dxa"/>
            </w:tcMar>
          </w:tcPr>
          <w:p>
            <w:pPr>
              <w:spacing w:after="0" w:line="247" w:lineRule="auto"/>
            </w:pPr>
            <w:r>
              <w:rPr>
                <w:sz w:val="18"/>
              </w:rPr>
              <w:t>Custom variables and events</w:t>
            </w:r>
          </w:p>
        </w:tc>
        <w:tc>
          <w:tcPr>
            <w:tcW w:type="dxa" w:w="7200"/>
            <w:vAlign w:val="top"/>
            <w:shd w:fill="F3F7FB"/>
            <w:tcMar>
              <w:top w:w="65" w:type="dxa"/>
              <w:bottom w:w="65" w:type="dxa"/>
              <w:left w:w="90" w:type="dxa"/>
              <w:right w:w="90" w:type="dxa"/>
            </w:tcMar>
          </w:tcPr>
          <w:p>
            <w:pPr>
              <w:spacing w:after="0" w:line="247" w:lineRule="auto"/>
            </w:pPr>
            <w:r>
              <w:rPr>
                <w:sz w:val="18"/>
              </w:rPr>
              <w:t>Custom variables included u1, u2 and fields up to u12 in Mortgage code. Application start/completion, lead submission, registration, VA loan and HELOC interactions were represented.</w:t>
            </w:r>
          </w:p>
        </w:tc>
      </w:tr>
    </w:tbl>
    <w:p>
      <w:pPr>
        <w:spacing w:after="20"/>
      </w:pPr>
      <w:r>
        <w:rPr>
          <w:b w:val="0"/>
        </w:rPr>
      </w:r>
    </w:p>
    <w:p>
      <w:pPr>
        <w:pStyle w:val="Heading2"/>
      </w:pPr>
      <w:r>
        <w:t>Migration capability required</w:t>
      </w:r>
    </w:p>
    <w:p>
      <w:r>
        <w:rPr>
          <w:b w:val="0"/>
        </w:rPr>
        <w:t>Launch must support multiple Floodlight accounts, multiple activities per account, independent routing, custom Floodlight variables, different counting methods, event-driven and SPA use cases, and a maintainable implementation.</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880"/>
        <w:gridCol w:w="7200"/>
      </w:tblGrid>
      <w:tr>
        <w:trPr>
          <w:tblHeader w:val="true"/>
          <w:cantSplit/>
        </w:trPr>
        <w:tc>
          <w:tcPr>
            <w:tcW w:type="dxa" w:w="2880"/>
            <w:vAlign w:val="top"/>
            <w:shd w:fill="DCEAF5"/>
            <w:tcMar>
              <w:top w:w="65" w:type="dxa"/>
              <w:bottom w:w="65" w:type="dxa"/>
              <w:left w:w="90" w:type="dxa"/>
              <w:right w:w="90" w:type="dxa"/>
            </w:tcMar>
          </w:tcPr>
          <w:p>
            <w:pPr>
              <w:spacing w:after="0" w:line="247" w:lineRule="auto"/>
            </w:pPr>
            <w:r>
              <w:rPr>
                <w:b/>
                <w:color w:val="133F69"/>
                <w:sz w:val="18"/>
              </w:rPr>
              <w:t>Evidence reviewed</w:t>
            </w:r>
          </w:p>
        </w:tc>
        <w:tc>
          <w:tcPr>
            <w:tcW w:type="dxa" w:w="7200"/>
            <w:vAlign w:val="top"/>
            <w:shd w:fill="DCEAF5"/>
            <w:tcMar>
              <w:top w:w="65" w:type="dxa"/>
              <w:bottom w:w="65" w:type="dxa"/>
              <w:left w:w="90" w:type="dxa"/>
              <w:right w:w="90" w:type="dxa"/>
            </w:tcMar>
          </w:tcPr>
          <w:p>
            <w:pPr>
              <w:spacing w:after="0" w:line="247" w:lineRule="auto"/>
            </w:pPr>
            <w:r>
              <w:rPr>
                <w:b/>
                <w:color w:val="133F69"/>
                <w:sz w:val="18"/>
              </w:rPr>
              <w:t>Period and limit</w:t>
            </w:r>
          </w:p>
        </w:tc>
      </w:tr>
      <w:tr>
        <w:trPr>
          <w:cantSplit/>
        </w:trPr>
        <w:tc>
          <w:tcPr>
            <w:tcW w:type="dxa" w:w="2880"/>
            <w:vAlign w:val="top"/>
            <w:shd w:fill="FFFFFF"/>
            <w:tcMar>
              <w:top w:w="65" w:type="dxa"/>
              <w:bottom w:w="65" w:type="dxa"/>
              <w:left w:w="90" w:type="dxa"/>
              <w:right w:w="90" w:type="dxa"/>
            </w:tcMar>
          </w:tcPr>
          <w:p>
            <w:pPr>
              <w:spacing w:after="0" w:line="247" w:lineRule="auto"/>
            </w:pPr>
            <w:r>
              <w:rPr>
                <w:sz w:val="18"/>
              </w:rPr>
              <w:t>Current Ensighten implementation</w:t>
            </w:r>
          </w:p>
        </w:tc>
        <w:tc>
          <w:tcPr>
            <w:tcW w:type="dxa" w:w="7200"/>
            <w:vAlign w:val="top"/>
            <w:shd w:fill="FFFFFF"/>
            <w:tcMar>
              <w:top w:w="65" w:type="dxa"/>
              <w:bottom w:w="65" w:type="dxa"/>
              <w:left w:w="90" w:type="dxa"/>
              <w:right w:w="90" w:type="dxa"/>
            </w:tcMar>
          </w:tcPr>
          <w:p>
            <w:pPr>
              <w:spacing w:after="0" w:line="247" w:lineRule="auto"/>
            </w:pPr>
            <w:r>
              <w:rPr>
                <w:sz w:val="18"/>
              </w:rPr>
              <w:t>29 September 2026 public current-state sample; authenticated journeys and full-site completeness were not established.</w:t>
            </w:r>
          </w:p>
        </w:tc>
      </w:tr>
      <w:tr>
        <w:trPr>
          <w:cantSplit/>
        </w:trPr>
        <w:tc>
          <w:tcPr>
            <w:tcW w:type="dxa" w:w="2880"/>
            <w:vAlign w:val="top"/>
            <w:shd w:fill="F3F7FB"/>
            <w:tcMar>
              <w:top w:w="65" w:type="dxa"/>
              <w:bottom w:w="65" w:type="dxa"/>
              <w:left w:w="90" w:type="dxa"/>
              <w:right w:w="90" w:type="dxa"/>
            </w:tcMar>
          </w:tcPr>
          <w:p>
            <w:pPr>
              <w:spacing w:after="0" w:line="247" w:lineRule="auto"/>
            </w:pPr>
            <w:r>
              <w:rPr>
                <w:sz w:val="18"/>
              </w:rPr>
              <w:t>Controlled Development POCs</w:t>
            </w:r>
          </w:p>
        </w:tc>
        <w:tc>
          <w:tcPr>
            <w:tcW w:type="dxa" w:w="7200"/>
            <w:vAlign w:val="top"/>
            <w:shd w:fill="F3F7FB"/>
            <w:tcMar>
              <w:top w:w="65" w:type="dxa"/>
              <w:bottom w:w="65" w:type="dxa"/>
              <w:left w:w="90" w:type="dxa"/>
              <w:right w:w="90" w:type="dxa"/>
            </w:tcMar>
          </w:tcPr>
          <w:p>
            <w:pPr>
              <w:spacing w:after="0" w:line="247" w:lineRule="auto"/>
            </w:pPr>
            <w:r>
              <w:rPr>
                <w:sz w:val="18"/>
              </w:rPr>
              <w:t>Acronym: 30 September. Custom framework and coexistence: 1 October. Both used dummy IDs.</w:t>
            </w:r>
          </w:p>
        </w:tc>
      </w:tr>
      <w:tr>
        <w:trPr>
          <w:cantSplit/>
        </w:trPr>
        <w:tc>
          <w:tcPr>
            <w:tcW w:type="dxa" w:w="2880"/>
            <w:vAlign w:val="top"/>
            <w:shd w:fill="FFFFFF"/>
            <w:tcMar>
              <w:top w:w="65" w:type="dxa"/>
              <w:bottom w:w="65" w:type="dxa"/>
              <w:left w:w="90" w:type="dxa"/>
              <w:right w:w="90" w:type="dxa"/>
            </w:tcMar>
          </w:tcPr>
          <w:p>
            <w:pPr>
              <w:spacing w:after="0" w:line="247" w:lineRule="auto"/>
            </w:pPr>
            <w:r>
              <w:rPr>
                <w:sz w:val="18"/>
              </w:rPr>
              <w:t>Source screenshots and runtime review</w:t>
            </w:r>
          </w:p>
        </w:tc>
        <w:tc>
          <w:tcPr>
            <w:tcW w:type="dxa" w:w="7200"/>
            <w:vAlign w:val="top"/>
            <w:shd w:fill="FFFFFF"/>
            <w:tcMar>
              <w:top w:w="65" w:type="dxa"/>
              <w:bottom w:w="65" w:type="dxa"/>
              <w:left w:w="90" w:type="dxa"/>
              <w:right w:w="90" w:type="dxa"/>
            </w:tcMar>
          </w:tcPr>
          <w:p>
            <w:pPr>
              <w:spacing w:after="0" w:line="247" w:lineRule="auto"/>
            </w:pPr>
            <w:r>
              <w:rPr>
                <w:sz w:val="18"/>
              </w:rPr>
              <w:t>Floodlight Analysis reviewed in full on 6 October. Isolated checks used the preserved Development build and the live Google runtime; collectors were blocked.</w:t>
            </w:r>
          </w:p>
        </w:tc>
      </w:tr>
    </w:tbl>
    <w:p>
      <w:pPr>
        <w:spacing w:after="20"/>
      </w:pPr>
      <w:r>
        <w:rPr>
          <w:b w:val="0"/>
        </w:rPr>
      </w:r>
    </w:p>
    <w:p>
      <w:r>
        <w:rPr>
          <w:b/>
        </w:rPr>
        <w:t>Technical feasibility has been demonstrated for the tested patterns. Production selection remains subject to governance and further validation.</w:t>
      </w:r>
    </w:p>
    <w:p>
      <w:pPr>
        <w:pStyle w:val="Heading1"/>
        <w:pageBreakBefore/>
      </w:pPr>
      <w:r>
        <w:t>2 Extension landscape</w:t>
      </w:r>
    </w:p>
    <w:p>
      <w:r>
        <w:rPr>
          <w:b w:val="0"/>
        </w:rPr>
        <w:t>Four implementation options were reviewed. Extension ownership, runtime format and technical capability are separate considerations. Availability below is based on the public documentation and retained extension evidence reviewed on 6 October 2026. [1–5]</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088"/>
        <w:gridCol w:w="2376"/>
        <w:gridCol w:w="3600"/>
        <w:gridCol w:w="2016"/>
      </w:tblGrid>
      <w:tr>
        <w:trPr>
          <w:tblHeader w:val="true"/>
          <w:cantSplit/>
        </w:trPr>
        <w:tc>
          <w:tcPr>
            <w:tcW w:type="dxa" w:w="2088"/>
            <w:vAlign w:val="top"/>
            <w:shd w:fill="DCEAF5"/>
            <w:tcMar>
              <w:top w:w="65" w:type="dxa"/>
              <w:bottom w:w="65" w:type="dxa"/>
              <w:left w:w="90" w:type="dxa"/>
              <w:right w:w="90" w:type="dxa"/>
            </w:tcMar>
          </w:tcPr>
          <w:p>
            <w:pPr>
              <w:spacing w:after="0" w:line="247" w:lineRule="auto"/>
            </w:pPr>
            <w:r>
              <w:rPr>
                <w:b/>
                <w:color w:val="133F69"/>
                <w:sz w:val="17"/>
              </w:rPr>
              <w:t>Option</w:t>
            </w:r>
          </w:p>
        </w:tc>
        <w:tc>
          <w:tcPr>
            <w:tcW w:type="dxa" w:w="2376"/>
            <w:vAlign w:val="top"/>
            <w:shd w:fill="DCEAF5"/>
            <w:tcMar>
              <w:top w:w="65" w:type="dxa"/>
              <w:bottom w:w="65" w:type="dxa"/>
              <w:left w:w="90" w:type="dxa"/>
              <w:right w:w="90" w:type="dxa"/>
            </w:tcMar>
          </w:tcPr>
          <w:p>
            <w:pPr>
              <w:spacing w:after="0" w:line="247" w:lineRule="auto"/>
            </w:pPr>
            <w:r>
              <w:rPr>
                <w:b/>
                <w:color w:val="133F69"/>
                <w:sz w:val="17"/>
              </w:rPr>
              <w:t>Publisher or owner</w:t>
            </w:r>
          </w:p>
        </w:tc>
        <w:tc>
          <w:tcPr>
            <w:tcW w:type="dxa" w:w="3600"/>
            <w:vAlign w:val="top"/>
            <w:shd w:fill="DCEAF5"/>
            <w:tcMar>
              <w:top w:w="65" w:type="dxa"/>
              <w:bottom w:w="65" w:type="dxa"/>
              <w:left w:w="90" w:type="dxa"/>
              <w:right w:w="90" w:type="dxa"/>
            </w:tcMar>
          </w:tcPr>
          <w:p>
            <w:pPr>
              <w:spacing w:after="0" w:line="247" w:lineRule="auto"/>
            </w:pPr>
            <w:r>
              <w:rPr>
                <w:b/>
                <w:color w:val="133F69"/>
                <w:sz w:val="17"/>
              </w:rPr>
              <w:t>Current availability and Adobe status</w:t>
            </w:r>
          </w:p>
        </w:tc>
        <w:tc>
          <w:tcPr>
            <w:tcW w:type="dxa" w:w="2016"/>
            <w:vAlign w:val="top"/>
            <w:shd w:fill="DCEAF5"/>
            <w:tcMar>
              <w:top w:w="65" w:type="dxa"/>
              <w:bottom w:w="65" w:type="dxa"/>
              <w:left w:w="90" w:type="dxa"/>
              <w:right w:w="90" w:type="dxa"/>
            </w:tcMar>
          </w:tcPr>
          <w:p>
            <w:pPr>
              <w:spacing w:after="0" w:line="247" w:lineRule="auto"/>
            </w:pPr>
            <w:r>
              <w:rPr>
                <w:b/>
                <w:color w:val="133F69"/>
                <w:sz w:val="17"/>
              </w:rPr>
              <w:t>Google tag format</w:t>
            </w:r>
          </w:p>
        </w:tc>
      </w:tr>
      <w:tr>
        <w:trPr>
          <w:cantSplit/>
        </w:trPr>
        <w:tc>
          <w:tcPr>
            <w:tcW w:type="dxa" w:w="2088"/>
            <w:vAlign w:val="top"/>
            <w:shd w:fill="FFFFFF"/>
            <w:tcMar>
              <w:top w:w="65" w:type="dxa"/>
              <w:bottom w:w="65" w:type="dxa"/>
              <w:left w:w="90" w:type="dxa"/>
              <w:right w:w="90" w:type="dxa"/>
            </w:tcMar>
          </w:tcPr>
          <w:p>
            <w:pPr>
              <w:spacing w:after="0" w:line="247" w:lineRule="auto"/>
            </w:pPr>
            <w:r>
              <w:rPr>
                <w:sz w:val="17"/>
              </w:rPr>
              <w:t>Google Global Site Tag (gtag)</w:t>
            </w:r>
          </w:p>
        </w:tc>
        <w:tc>
          <w:tcPr>
            <w:tcW w:type="dxa" w:w="2376"/>
            <w:vAlign w:val="top"/>
            <w:shd w:fill="FFFFFF"/>
            <w:tcMar>
              <w:top w:w="65" w:type="dxa"/>
              <w:bottom w:w="65" w:type="dxa"/>
              <w:left w:w="90" w:type="dxa"/>
              <w:right w:w="90" w:type="dxa"/>
            </w:tcMar>
          </w:tcPr>
          <w:p>
            <w:pPr>
              <w:spacing w:after="0" w:line="247" w:lineRule="auto"/>
            </w:pPr>
            <w:r>
              <w:rPr>
                <w:sz w:val="17"/>
              </w:rPr>
              <w:t>Acronym. Third-party Launch extension; neither Google-owned nor Adobe-owned.</w:t>
            </w:r>
          </w:p>
        </w:tc>
        <w:tc>
          <w:tcPr>
            <w:tcW w:type="dxa" w:w="3600"/>
            <w:vAlign w:val="top"/>
            <w:shd w:fill="FFFFFF"/>
            <w:tcMar>
              <w:top w:w="65" w:type="dxa"/>
              <w:bottom w:w="65" w:type="dxa"/>
              <w:left w:w="90" w:type="dxa"/>
              <w:right w:w="90" w:type="dxa"/>
            </w:tcMar>
          </w:tcPr>
          <w:p>
            <w:pPr>
              <w:spacing w:after="0" w:line="247" w:lineRule="auto"/>
            </w:pPr>
            <w:r>
              <w:rPr>
                <w:sz w:val="17"/>
              </w:rPr>
              <w:t>Installed v2.0.0 in the POC. Adobe explicitly recommends Acronym after discontinuing its own Google extensions.</w:t>
            </w:r>
          </w:p>
        </w:tc>
        <w:tc>
          <w:tcPr>
            <w:tcW w:type="dxa" w:w="2016"/>
            <w:vAlign w:val="top"/>
            <w:shd w:fill="FFFFFF"/>
            <w:tcMar>
              <w:top w:w="65" w:type="dxa"/>
              <w:bottom w:w="65" w:type="dxa"/>
              <w:left w:w="90" w:type="dxa"/>
              <w:right w:w="90" w:type="dxa"/>
            </w:tcMar>
          </w:tcPr>
          <w:p>
            <w:pPr>
              <w:spacing w:after="0" w:line="247" w:lineRule="auto"/>
            </w:pPr>
            <w:r>
              <w:rPr>
                <w:sz w:val="17"/>
              </w:rPr>
              <w:t>Modern Google tag / gtag.js.</w:t>
            </w:r>
          </w:p>
        </w:tc>
      </w:tr>
      <w:tr>
        <w:trPr>
          <w:cantSplit/>
        </w:trPr>
        <w:tc>
          <w:tcPr>
            <w:tcW w:type="dxa" w:w="2088"/>
            <w:vAlign w:val="top"/>
            <w:shd w:fill="F3F7FB"/>
            <w:tcMar>
              <w:top w:w="65" w:type="dxa"/>
              <w:bottom w:w="65" w:type="dxa"/>
              <w:left w:w="90" w:type="dxa"/>
              <w:right w:w="90" w:type="dxa"/>
            </w:tcMar>
          </w:tcPr>
          <w:p>
            <w:pPr>
              <w:spacing w:after="0" w:line="247" w:lineRule="auto"/>
            </w:pPr>
            <w:r>
              <w:rPr>
                <w:sz w:val="17"/>
              </w:rPr>
              <w:t>DoubleClick Floodlight (Beta)</w:t>
            </w:r>
          </w:p>
        </w:tc>
        <w:tc>
          <w:tcPr>
            <w:tcW w:type="dxa" w:w="2376"/>
            <w:vAlign w:val="top"/>
            <w:shd w:fill="F3F7FB"/>
            <w:tcMar>
              <w:top w:w="65" w:type="dxa"/>
              <w:bottom w:w="65" w:type="dxa"/>
              <w:left w:w="90" w:type="dxa"/>
              <w:right w:w="90" w:type="dxa"/>
            </w:tcMar>
          </w:tcPr>
          <w:p>
            <w:pPr>
              <w:spacing w:after="0" w:line="247" w:lineRule="auto"/>
            </w:pPr>
            <w:r>
              <w:rPr>
                <w:sz w:val="17"/>
              </w:rPr>
              <w:t>Third party. Adobe confirms it was not Adobe-developed. Current publisher and support commitment were not verified.</w:t>
            </w:r>
          </w:p>
        </w:tc>
        <w:tc>
          <w:tcPr>
            <w:tcW w:type="dxa" w:w="3600"/>
            <w:vAlign w:val="top"/>
            <w:shd w:fill="F3F7FB"/>
            <w:tcMar>
              <w:top w:w="65" w:type="dxa"/>
              <w:bottom w:w="65" w:type="dxa"/>
              <w:left w:w="90" w:type="dxa"/>
              <w:right w:w="90" w:type="dxa"/>
            </w:tcMar>
          </w:tcPr>
          <w:p>
            <w:pPr>
              <w:spacing w:after="0" w:line="247" w:lineRule="auto"/>
            </w:pPr>
            <w:r>
              <w:rPr>
                <w:sz w:val="17"/>
              </w:rPr>
              <w:t>Still documented as Beta and available as a tag extension. Historical maintenance concern requires review.</w:t>
            </w:r>
          </w:p>
        </w:tc>
        <w:tc>
          <w:tcPr>
            <w:tcW w:type="dxa" w:w="2016"/>
            <w:vAlign w:val="top"/>
            <w:shd w:fill="F3F7FB"/>
            <w:tcMar>
              <w:top w:w="65" w:type="dxa"/>
              <w:bottom w:w="65" w:type="dxa"/>
              <w:left w:w="90" w:type="dxa"/>
              <w:right w:w="90" w:type="dxa"/>
            </w:tcMar>
          </w:tcPr>
          <w:p>
            <w:pPr>
              <w:spacing w:after="0" w:line="247" w:lineRule="auto"/>
            </w:pPr>
            <w:r>
              <w:rPr>
                <w:sz w:val="17"/>
              </w:rPr>
              <w:t>Traditional iframe/image Floodlight; not Global Site Tag.</w:t>
            </w:r>
          </w:p>
        </w:tc>
      </w:tr>
      <w:tr>
        <w:trPr>
          <w:cantSplit/>
        </w:trPr>
        <w:tc>
          <w:tcPr>
            <w:tcW w:type="dxa" w:w="2088"/>
            <w:vAlign w:val="top"/>
            <w:shd w:fill="FFFFFF"/>
            <w:tcMar>
              <w:top w:w="65" w:type="dxa"/>
              <w:bottom w:w="65" w:type="dxa"/>
              <w:left w:w="90" w:type="dxa"/>
              <w:right w:w="90" w:type="dxa"/>
            </w:tcMar>
          </w:tcPr>
          <w:p>
            <w:pPr>
              <w:spacing w:after="0" w:line="247" w:lineRule="auto"/>
            </w:pPr>
            <w:r>
              <w:rPr>
                <w:sz w:val="17"/>
              </w:rPr>
              <w:t>Discontinued Adobe Google extensions</w:t>
            </w:r>
          </w:p>
        </w:tc>
        <w:tc>
          <w:tcPr>
            <w:tcW w:type="dxa" w:w="2376"/>
            <w:vAlign w:val="top"/>
            <w:shd w:fill="FFFFFF"/>
            <w:tcMar>
              <w:top w:w="65" w:type="dxa"/>
              <w:bottom w:w="65" w:type="dxa"/>
              <w:left w:w="90" w:type="dxa"/>
              <w:right w:w="90" w:type="dxa"/>
            </w:tcMar>
          </w:tcPr>
          <w:p>
            <w:pPr>
              <w:spacing w:after="0" w:line="247" w:lineRule="auto"/>
            </w:pPr>
            <w:r>
              <w:rPr>
                <w:sz w:val="17"/>
              </w:rPr>
              <w:t>Adobe developed the discontinued Google extension suite.</w:t>
            </w:r>
          </w:p>
        </w:tc>
        <w:tc>
          <w:tcPr>
            <w:tcW w:type="dxa" w:w="3600"/>
            <w:vAlign w:val="top"/>
            <w:shd w:fill="FFFFFF"/>
            <w:tcMar>
              <w:top w:w="65" w:type="dxa"/>
              <w:bottom w:w="65" w:type="dxa"/>
              <w:left w:w="90" w:type="dxa"/>
              <w:right w:w="90" w:type="dxa"/>
            </w:tcMar>
          </w:tcPr>
          <w:p>
            <w:pPr>
              <w:spacing w:after="0" w:line="247" w:lineRule="auto"/>
            </w:pPr>
            <w:r>
              <w:rPr>
                <w:sz w:val="17"/>
              </w:rPr>
              <w:t>Not available for new installation. Existing installations can continue to operate. Adobe recommends Acronym.</w:t>
            </w:r>
          </w:p>
        </w:tc>
        <w:tc>
          <w:tcPr>
            <w:tcW w:type="dxa" w:w="2016"/>
            <w:vAlign w:val="top"/>
            <w:shd w:fill="FFFFFF"/>
            <w:tcMar>
              <w:top w:w="65" w:type="dxa"/>
              <w:bottom w:w="65" w:type="dxa"/>
              <w:left w:w="90" w:type="dxa"/>
              <w:right w:w="90" w:type="dxa"/>
            </w:tcMar>
          </w:tcPr>
          <w:p>
            <w:pPr>
              <w:spacing w:after="0" w:line="247" w:lineRule="auto"/>
            </w:pPr>
            <w:r>
              <w:rPr>
                <w:sz w:val="17"/>
              </w:rPr>
              <w:t>Varies by discontinued extension; not a new migration option.</w:t>
            </w:r>
          </w:p>
        </w:tc>
      </w:tr>
      <w:tr>
        <w:trPr>
          <w:cantSplit/>
        </w:trPr>
        <w:tc>
          <w:tcPr>
            <w:tcW w:type="dxa" w:w="2088"/>
            <w:vAlign w:val="top"/>
            <w:shd w:fill="F3F7FB"/>
            <w:tcMar>
              <w:top w:w="65" w:type="dxa"/>
              <w:bottom w:w="65" w:type="dxa"/>
              <w:left w:w="90" w:type="dxa"/>
              <w:right w:w="90" w:type="dxa"/>
            </w:tcMar>
          </w:tcPr>
          <w:p>
            <w:pPr>
              <w:spacing w:after="0" w:line="247" w:lineRule="auto"/>
            </w:pPr>
            <w:r>
              <w:rPr>
                <w:sz w:val="17"/>
              </w:rPr>
              <w:t>Custom Google gtag.js framework</w:t>
            </w:r>
          </w:p>
        </w:tc>
        <w:tc>
          <w:tcPr>
            <w:tcW w:type="dxa" w:w="2376"/>
            <w:vAlign w:val="top"/>
            <w:shd w:fill="F3F7FB"/>
            <w:tcMar>
              <w:top w:w="65" w:type="dxa"/>
              <w:bottom w:w="65" w:type="dxa"/>
              <w:left w:w="90" w:type="dxa"/>
              <w:right w:w="90" w:type="dxa"/>
            </w:tcMar>
          </w:tcPr>
          <w:p>
            <w:pPr>
              <w:spacing w:after="0" w:line="247" w:lineRule="auto"/>
            </w:pPr>
            <w:r>
              <w:rPr>
                <w:sz w:val="17"/>
              </w:rPr>
              <w:t>Google owns the runtime. Citi/eClerx would own the reusable wrapper.</w:t>
            </w:r>
          </w:p>
        </w:tc>
        <w:tc>
          <w:tcPr>
            <w:tcW w:type="dxa" w:w="3600"/>
            <w:vAlign w:val="top"/>
            <w:shd w:fill="F3F7FB"/>
            <w:tcMar>
              <w:top w:w="65" w:type="dxa"/>
              <w:bottom w:w="65" w:type="dxa"/>
              <w:left w:w="90" w:type="dxa"/>
              <w:right w:w="90" w:type="dxa"/>
            </w:tcMar>
          </w:tcPr>
          <w:p>
            <w:pPr>
              <w:spacing w:after="0" w:line="247" w:lineRule="auto"/>
            </w:pPr>
            <w:r>
              <w:rPr>
                <w:sz w:val="17"/>
              </w:rPr>
              <w:t>No separate vendor Launch extension needed. No Adobe endorsement of this specific wrapper is claimed.</w:t>
            </w:r>
          </w:p>
        </w:tc>
        <w:tc>
          <w:tcPr>
            <w:tcW w:type="dxa" w:w="2016"/>
            <w:vAlign w:val="top"/>
            <w:shd w:fill="F3F7FB"/>
            <w:tcMar>
              <w:top w:w="65" w:type="dxa"/>
              <w:bottom w:w="65" w:type="dxa"/>
              <w:left w:w="90" w:type="dxa"/>
              <w:right w:w="90" w:type="dxa"/>
            </w:tcMar>
          </w:tcPr>
          <w:p>
            <w:pPr>
              <w:spacing w:after="0" w:line="247" w:lineRule="auto"/>
            </w:pPr>
            <w:r>
              <w:rPr>
                <w:sz w:val="17"/>
              </w:rPr>
              <w:t>Modern Google tag / gtag.js used directly.</w:t>
            </w:r>
          </w:p>
        </w:tc>
      </w:tr>
    </w:tbl>
    <w:p>
      <w:pPr>
        <w:spacing w:after="20"/>
      </w:pPr>
      <w:r>
        <w:rPr>
          <w:b w:val="0"/>
        </w:rPr>
      </w:r>
    </w:p>
    <w:p>
      <w:pPr>
        <w:pStyle w:val="Heading2"/>
      </w:pPr>
      <w:r>
        <w:t>Capability and implementation assessment</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088"/>
        <w:gridCol w:w="4032"/>
        <w:gridCol w:w="3960"/>
      </w:tblGrid>
      <w:tr>
        <w:trPr>
          <w:tblHeader w:val="true"/>
          <w:cantSplit/>
        </w:trPr>
        <w:tc>
          <w:tcPr>
            <w:tcW w:type="dxa" w:w="2088"/>
            <w:vAlign w:val="top"/>
            <w:shd w:fill="DCEAF5"/>
            <w:tcMar>
              <w:top w:w="65" w:type="dxa"/>
              <w:bottom w:w="65" w:type="dxa"/>
              <w:left w:w="90" w:type="dxa"/>
              <w:right w:w="90" w:type="dxa"/>
            </w:tcMar>
          </w:tcPr>
          <w:p>
            <w:pPr>
              <w:spacing w:after="0" w:line="247" w:lineRule="auto"/>
            </w:pPr>
            <w:r>
              <w:rPr>
                <w:b/>
                <w:color w:val="133F69"/>
                <w:sz w:val="17"/>
              </w:rPr>
              <w:t>Option</w:t>
            </w:r>
          </w:p>
        </w:tc>
        <w:tc>
          <w:tcPr>
            <w:tcW w:type="dxa" w:w="4032"/>
            <w:vAlign w:val="top"/>
            <w:shd w:fill="DCEAF5"/>
            <w:tcMar>
              <w:top w:w="65" w:type="dxa"/>
              <w:bottom w:w="65" w:type="dxa"/>
              <w:left w:w="90" w:type="dxa"/>
              <w:right w:w="90" w:type="dxa"/>
            </w:tcMar>
          </w:tcPr>
          <w:p>
            <w:pPr>
              <w:spacing w:after="0" w:line="247" w:lineRule="auto"/>
            </w:pPr>
            <w:r>
              <w:rPr>
                <w:b/>
                <w:color w:val="133F69"/>
                <w:sz w:val="17"/>
              </w:rPr>
              <w:t>Multiple IDs and activities with dynamic parameters</w:t>
            </w:r>
          </w:p>
        </w:tc>
        <w:tc>
          <w:tcPr>
            <w:tcW w:type="dxa" w:w="3960"/>
            <w:vAlign w:val="top"/>
            <w:shd w:fill="DCEAF5"/>
            <w:tcMar>
              <w:top w:w="65" w:type="dxa"/>
              <w:bottom w:w="65" w:type="dxa"/>
              <w:left w:w="90" w:type="dxa"/>
              <w:right w:w="90" w:type="dxa"/>
            </w:tcMar>
          </w:tcPr>
          <w:p>
            <w:pPr>
              <w:spacing w:after="0" w:line="247" w:lineRule="auto"/>
            </w:pPr>
            <w:r>
              <w:rPr>
                <w:b/>
                <w:color w:val="133F69"/>
                <w:sz w:val="17"/>
              </w:rPr>
              <w:t>Custom code governance and feasibility</w:t>
            </w:r>
          </w:p>
        </w:tc>
      </w:tr>
      <w:tr>
        <w:trPr>
          <w:cantSplit/>
        </w:trPr>
        <w:tc>
          <w:tcPr>
            <w:tcW w:type="dxa" w:w="2088"/>
            <w:vAlign w:val="top"/>
            <w:shd w:fill="FFFFFF"/>
            <w:tcMar>
              <w:top w:w="65" w:type="dxa"/>
              <w:bottom w:w="65" w:type="dxa"/>
              <w:left w:w="90" w:type="dxa"/>
              <w:right w:w="90" w:type="dxa"/>
            </w:tcMar>
          </w:tcPr>
          <w:p>
            <w:pPr>
              <w:spacing w:after="0" w:line="247" w:lineRule="auto"/>
            </w:pPr>
            <w:r>
              <w:rPr>
                <w:sz w:val="17"/>
              </w:rPr>
              <w:t>Acronym</w:t>
            </w:r>
          </w:p>
        </w:tc>
        <w:tc>
          <w:tcPr>
            <w:tcW w:type="dxa" w:w="4032"/>
            <w:vAlign w:val="top"/>
            <w:shd w:fill="FFFFFF"/>
            <w:tcMar>
              <w:top w:w="65" w:type="dxa"/>
              <w:bottom w:w="65" w:type="dxa"/>
              <w:left w:w="90" w:type="dxa"/>
              <w:right w:w="90" w:type="dxa"/>
            </w:tcMar>
          </w:tcPr>
          <w:p>
            <w:pPr>
              <w:spacing w:after="0" w:line="247" w:lineRule="auto"/>
            </w:pPr>
            <w:r>
              <w:rPr>
                <w:sz w:val="17"/>
              </w:rPr>
              <w:t>Multiple configured accounts; separate activity labels per action; account selection and Data Element values. Independent routing validated.</w:t>
            </w:r>
          </w:p>
        </w:tc>
        <w:tc>
          <w:tcPr>
            <w:tcW w:type="dxa" w:w="3960"/>
            <w:vAlign w:val="top"/>
            <w:shd w:fill="FFFFFF"/>
            <w:tcMar>
              <w:top w:w="65" w:type="dxa"/>
              <w:bottom w:w="65" w:type="dxa"/>
              <w:left w:w="90" w:type="dxa"/>
              <w:right w:w="90" w:type="dxa"/>
            </w:tcMar>
          </w:tcPr>
          <w:p>
            <w:pPr>
              <w:spacing w:after="0" w:line="247" w:lineRule="auto"/>
            </w:pPr>
            <w:r>
              <w:rPr>
                <w:sz w:val="17"/>
              </w:rPr>
              <w:t>No custom JavaScript in POC event actions or extension configuration. Technically passed; third-party extension approval required.</w:t>
            </w:r>
          </w:p>
        </w:tc>
      </w:tr>
      <w:tr>
        <w:trPr>
          <w:cantSplit/>
        </w:trPr>
        <w:tc>
          <w:tcPr>
            <w:tcW w:type="dxa" w:w="2088"/>
            <w:vAlign w:val="top"/>
            <w:shd w:fill="F3F7FB"/>
            <w:tcMar>
              <w:top w:w="65" w:type="dxa"/>
              <w:bottom w:w="65" w:type="dxa"/>
              <w:left w:w="90" w:type="dxa"/>
              <w:right w:w="90" w:type="dxa"/>
            </w:tcMar>
          </w:tcPr>
          <w:p>
            <w:pPr>
              <w:spacing w:after="0" w:line="247" w:lineRule="auto"/>
            </w:pPr>
            <w:r>
              <w:rPr>
                <w:sz w:val="17"/>
              </w:rPr>
              <w:t>DoubleClick Beta</w:t>
            </w:r>
          </w:p>
        </w:tc>
        <w:tc>
          <w:tcPr>
            <w:tcW w:type="dxa" w:w="4032"/>
            <w:vAlign w:val="top"/>
            <w:shd w:fill="F3F7FB"/>
            <w:tcMar>
              <w:top w:w="65" w:type="dxa"/>
              <w:bottom w:w="65" w:type="dxa"/>
              <w:left w:w="90" w:type="dxa"/>
              <w:right w:w="90" w:type="dxa"/>
            </w:tcMar>
          </w:tcPr>
          <w:p>
            <w:pPr>
              <w:spacing w:after="0" w:line="247" w:lineRule="auto"/>
            </w:pPr>
            <w:r>
              <w:rPr>
                <w:sz w:val="17"/>
              </w:rPr>
              <w:t>Separate src/type/cat can be set in actions; extra parameters are exposed. Central account management and complete migration parity were not POC-tested.</w:t>
            </w:r>
          </w:p>
        </w:tc>
        <w:tc>
          <w:tcPr>
            <w:tcW w:type="dxa" w:w="3960"/>
            <w:vAlign w:val="top"/>
            <w:shd w:fill="F3F7FB"/>
            <w:tcMar>
              <w:top w:w="65" w:type="dxa"/>
              <w:bottom w:w="65" w:type="dxa"/>
              <w:left w:w="90" w:type="dxa"/>
              <w:right w:w="90" w:type="dxa"/>
            </w:tcMar>
          </w:tcPr>
          <w:p>
            <w:pPr>
              <w:spacing w:after="0" w:line="247" w:lineRule="auto"/>
            </w:pPr>
            <w:r>
              <w:rPr>
                <w:sz w:val="17"/>
              </w:rPr>
              <w:t>Native traditional tag actions. No custom code shown for basic Counter Tag. Long-term support and full capability need confirmation.</w:t>
            </w:r>
          </w:p>
        </w:tc>
      </w:tr>
      <w:tr>
        <w:trPr>
          <w:cantSplit/>
        </w:trPr>
        <w:tc>
          <w:tcPr>
            <w:tcW w:type="dxa" w:w="2088"/>
            <w:vAlign w:val="top"/>
            <w:shd w:fill="FFFFFF"/>
            <w:tcMar>
              <w:top w:w="65" w:type="dxa"/>
              <w:bottom w:w="65" w:type="dxa"/>
              <w:left w:w="90" w:type="dxa"/>
              <w:right w:w="90" w:type="dxa"/>
            </w:tcMar>
          </w:tcPr>
          <w:p>
            <w:pPr>
              <w:spacing w:after="0" w:line="247" w:lineRule="auto"/>
            </w:pPr>
            <w:r>
              <w:rPr>
                <w:sz w:val="17"/>
              </w:rPr>
              <w:t>Adobe discontinued suite</w:t>
            </w:r>
          </w:p>
        </w:tc>
        <w:tc>
          <w:tcPr>
            <w:tcW w:type="dxa" w:w="4032"/>
            <w:vAlign w:val="top"/>
            <w:shd w:fill="FFFFFF"/>
            <w:tcMar>
              <w:top w:w="65" w:type="dxa"/>
              <w:bottom w:w="65" w:type="dxa"/>
              <w:left w:w="90" w:type="dxa"/>
              <w:right w:w="90" w:type="dxa"/>
            </w:tcMar>
          </w:tcPr>
          <w:p>
            <w:pPr>
              <w:spacing w:after="0" w:line="247" w:lineRule="auto"/>
            </w:pPr>
            <w:r>
              <w:rPr>
                <w:sz w:val="17"/>
              </w:rPr>
              <w:t>Multi-ID/activity capability was not tested for this migration. Existing features vary by extension.</w:t>
            </w:r>
          </w:p>
        </w:tc>
        <w:tc>
          <w:tcPr>
            <w:tcW w:type="dxa" w:w="3960"/>
            <w:vAlign w:val="top"/>
            <w:shd w:fill="FFFFFF"/>
            <w:tcMar>
              <w:top w:w="65" w:type="dxa"/>
              <w:bottom w:w="65" w:type="dxa"/>
              <w:left w:w="90" w:type="dxa"/>
              <w:right w:w="90" w:type="dxa"/>
            </w:tcMar>
          </w:tcPr>
          <w:p>
            <w:pPr>
              <w:spacing w:after="0" w:line="247" w:lineRule="auto"/>
            </w:pPr>
            <w:r>
              <w:rPr>
                <w:sz w:val="17"/>
              </w:rPr>
              <w:t>Existing legacy deployment may continue; discontinued installation status makes it unsuitable for a new property decision.</w:t>
            </w:r>
          </w:p>
        </w:tc>
      </w:tr>
      <w:tr>
        <w:trPr>
          <w:cantSplit/>
        </w:trPr>
        <w:tc>
          <w:tcPr>
            <w:tcW w:type="dxa" w:w="2088"/>
            <w:vAlign w:val="top"/>
            <w:shd w:fill="F3F7FB"/>
            <w:tcMar>
              <w:top w:w="65" w:type="dxa"/>
              <w:bottom w:w="65" w:type="dxa"/>
              <w:left w:w="90" w:type="dxa"/>
              <w:right w:w="90" w:type="dxa"/>
            </w:tcMar>
          </w:tcPr>
          <w:p>
            <w:pPr>
              <w:spacing w:after="0" w:line="247" w:lineRule="auto"/>
            </w:pPr>
            <w:r>
              <w:rPr>
                <w:sz w:val="17"/>
              </w:rPr>
              <w:t>Custom framework</w:t>
            </w:r>
          </w:p>
        </w:tc>
        <w:tc>
          <w:tcPr>
            <w:tcW w:type="dxa" w:w="4032"/>
            <w:vAlign w:val="top"/>
            <w:shd w:fill="F3F7FB"/>
            <w:tcMar>
              <w:top w:w="65" w:type="dxa"/>
              <w:bottom w:w="65" w:type="dxa"/>
              <w:left w:w="90" w:type="dxa"/>
              <w:right w:w="90" w:type="dxa"/>
            </w:tcMar>
          </w:tcPr>
          <w:p>
            <w:pPr>
              <w:spacing w:after="0" w:line="247" w:lineRule="auto"/>
            </w:pPr>
            <w:r>
              <w:rPr>
                <w:sz w:val="17"/>
              </w:rPr>
              <w:t>Central accounts and activities; public fire function accepts per-event parameters and Launch Data Elements. Two accounts validated.</w:t>
            </w:r>
          </w:p>
        </w:tc>
        <w:tc>
          <w:tcPr>
            <w:tcW w:type="dxa" w:w="3960"/>
            <w:vAlign w:val="top"/>
            <w:shd w:fill="F3F7FB"/>
            <w:tcMar>
              <w:top w:w="65" w:type="dxa"/>
              <w:bottom w:w="65" w:type="dxa"/>
              <w:left w:w="90" w:type="dxa"/>
              <w:right w:w="90" w:type="dxa"/>
            </w:tcMar>
          </w:tcPr>
          <w:p>
            <w:pPr>
              <w:spacing w:after="0" w:line="247" w:lineRule="auto"/>
            </w:pPr>
            <w:r>
              <w:rPr>
                <w:sz w:val="17"/>
              </w:rPr>
              <w:t>One common custom-code layer plus short rule calls. Client-side POC passed; internal ownership and testing required.</w:t>
            </w:r>
          </w:p>
        </w:tc>
      </w:tr>
    </w:tbl>
    <w:p>
      <w:pPr>
        <w:spacing w:after="20"/>
      </w:pPr>
      <w:r>
        <w:rPr>
          <w:b w:val="0"/>
        </w:rPr>
      </w:r>
    </w:p>
    <w:p>
      <w:r>
        <w:rPr>
          <w:b w:val="0"/>
        </w:rPr>
        <w:t>The comparison supports two modern technical options for the next stage: Acronym native actions and the reusable custom framework. Neither is presented as production approved.</w:t>
      </w:r>
    </w:p>
    <w:p>
      <w:pPr>
        <w:pStyle w:val="Heading1"/>
        <w:pageBreakBefore/>
      </w:pPr>
      <w:r>
        <w:t>3 DoubleClick Floodlight Beta assessment</w:t>
      </w:r>
    </w:p>
    <w:p>
      <w:r>
        <w:rPr>
          <w:b w:val="0"/>
        </w:rPr>
        <w:t>Adobe describes this extension as using the “traditional Floodlight format (not Global Site Tag)” and continues to label it Beta. The inspected action exposes Counter Tag parameters, an iframe/image selection and an embed preview. [2]</w:t>
      </w:r>
    </w:p>
    <w:p>
      <w:pPr>
        <w:keepNext/>
        <w:spacing w:after="0"/>
        <w:jc w:val="center"/>
      </w:pPr>
      <w:r>
        <w:drawing>
          <wp:inline xmlns:a="http://schemas.openxmlformats.org/drawingml/2006/main" xmlns:pic="http://schemas.openxmlformats.org/drawingml/2006/picture">
            <wp:extent cx="6126480" cy="1979761"/>
            <wp:docPr id="1" name="Picture 1"/>
            <wp:cNvGraphicFramePr>
              <a:graphicFrameLocks noChangeAspect="1"/>
            </wp:cNvGraphicFramePr>
            <a:graphic>
              <a:graphicData uri="http://schemas.openxmlformats.org/drawingml/2006/picture">
                <pic:pic>
                  <pic:nvPicPr>
                    <pic:cNvPr id="0" name="crop-02.png"/>
                    <pic:cNvPicPr/>
                  </pic:nvPicPr>
                  <pic:blipFill>
                    <a:blip r:embed="rId9"/>
                    <a:stretch>
                      <a:fillRect/>
                    </a:stretch>
                  </pic:blipFill>
                  <pic:spPr>
                    <a:xfrm>
                      <a:off x="0" y="0"/>
                      <a:ext cx="6126480" cy="1979761"/>
                    </a:xfrm>
                    <a:prstGeom prst="rect"/>
                  </pic:spPr>
                </pic:pic>
              </a:graphicData>
            </a:graphic>
          </wp:inline>
        </w:drawing>
      </w:r>
    </w:p>
    <w:p>
      <w:pPr>
        <w:pStyle w:val="Caption"/>
        <w:jc w:val="center"/>
      </w:pPr>
      <w:r>
        <w:rPr>
          <w:b w:val="0"/>
          <w:i/>
          <w:color w:val="607286"/>
          <w:sz w:val="16"/>
        </w:rPr>
        <w:t>Figure 1. DoubleClick Floodlight (Beta) Counter Tag action with src, type, cat, iframe/image selection and tag preview.</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376"/>
        <w:gridCol w:w="7704"/>
      </w:tblGrid>
      <w:tr>
        <w:trPr>
          <w:tblHeader w:val="true"/>
          <w:cantSplit/>
        </w:trPr>
        <w:tc>
          <w:tcPr>
            <w:tcW w:type="dxa" w:w="2376"/>
            <w:vAlign w:val="top"/>
            <w:shd w:fill="DCEAF5"/>
            <w:tcMar>
              <w:top w:w="65" w:type="dxa"/>
              <w:bottom w:w="65" w:type="dxa"/>
              <w:left w:w="90" w:type="dxa"/>
              <w:right w:w="90" w:type="dxa"/>
            </w:tcMar>
          </w:tcPr>
          <w:p>
            <w:pPr>
              <w:spacing w:after="0" w:line="247" w:lineRule="auto"/>
            </w:pPr>
            <w:r>
              <w:rPr>
                <w:b/>
                <w:color w:val="133F69"/>
                <w:sz w:val="18"/>
              </w:rPr>
              <w:t>Inspected field</w:t>
            </w:r>
          </w:p>
        </w:tc>
        <w:tc>
          <w:tcPr>
            <w:tcW w:type="dxa" w:w="7704"/>
            <w:vAlign w:val="top"/>
            <w:shd w:fill="DCEAF5"/>
            <w:tcMar>
              <w:top w:w="65" w:type="dxa"/>
              <w:bottom w:w="65" w:type="dxa"/>
              <w:left w:w="90" w:type="dxa"/>
              <w:right w:w="90" w:type="dxa"/>
            </w:tcMar>
          </w:tcPr>
          <w:p>
            <w:pPr>
              <w:spacing w:after="0" w:line="247" w:lineRule="auto"/>
            </w:pPr>
            <w:r>
              <w:rPr>
                <w:b/>
                <w:color w:val="133F69"/>
                <w:sz w:val="18"/>
              </w:rPr>
              <w:t>Purpose</w:t>
            </w:r>
          </w:p>
        </w:tc>
      </w:tr>
      <w:tr>
        <w:trPr>
          <w:cantSplit/>
        </w:trPr>
        <w:tc>
          <w:tcPr>
            <w:tcW w:type="dxa" w:w="2376"/>
            <w:vAlign w:val="top"/>
            <w:shd w:fill="FFFFFF"/>
            <w:tcMar>
              <w:top w:w="65" w:type="dxa"/>
              <w:bottom w:w="65" w:type="dxa"/>
              <w:left w:w="90" w:type="dxa"/>
              <w:right w:w="90" w:type="dxa"/>
            </w:tcMar>
          </w:tcPr>
          <w:p>
            <w:pPr>
              <w:spacing w:after="0" w:line="247" w:lineRule="auto"/>
            </w:pPr>
            <w:r>
              <w:rPr>
                <w:sz w:val="18"/>
              </w:rPr>
              <w:t>src</w:t>
            </w:r>
          </w:p>
        </w:tc>
        <w:tc>
          <w:tcPr>
            <w:tcW w:type="dxa" w:w="7704"/>
            <w:vAlign w:val="top"/>
            <w:shd w:fill="FFFFFF"/>
            <w:tcMar>
              <w:top w:w="65" w:type="dxa"/>
              <w:bottom w:w="65" w:type="dxa"/>
              <w:left w:w="90" w:type="dxa"/>
              <w:right w:w="90" w:type="dxa"/>
            </w:tcMar>
          </w:tcPr>
          <w:p>
            <w:pPr>
              <w:spacing w:after="0" w:line="247" w:lineRule="auto"/>
            </w:pPr>
            <w:r>
              <w:rPr>
                <w:sz w:val="18"/>
              </w:rPr>
              <w:t>Floodlight configuration identifier in the traditional request.</w:t>
            </w:r>
          </w:p>
        </w:tc>
      </w:tr>
      <w:tr>
        <w:trPr>
          <w:cantSplit/>
        </w:trPr>
        <w:tc>
          <w:tcPr>
            <w:tcW w:type="dxa" w:w="2376"/>
            <w:vAlign w:val="top"/>
            <w:shd w:fill="F3F7FB"/>
            <w:tcMar>
              <w:top w:w="65" w:type="dxa"/>
              <w:bottom w:w="65" w:type="dxa"/>
              <w:left w:w="90" w:type="dxa"/>
              <w:right w:w="90" w:type="dxa"/>
            </w:tcMar>
          </w:tcPr>
          <w:p>
            <w:pPr>
              <w:spacing w:after="0" w:line="247" w:lineRule="auto"/>
            </w:pPr>
            <w:r>
              <w:rPr>
                <w:sz w:val="18"/>
              </w:rPr>
              <w:t>type</w:t>
            </w:r>
          </w:p>
        </w:tc>
        <w:tc>
          <w:tcPr>
            <w:tcW w:type="dxa" w:w="7704"/>
            <w:vAlign w:val="top"/>
            <w:shd w:fill="F3F7FB"/>
            <w:tcMar>
              <w:top w:w="65" w:type="dxa"/>
              <w:bottom w:w="65" w:type="dxa"/>
              <w:left w:w="90" w:type="dxa"/>
              <w:right w:w="90" w:type="dxa"/>
            </w:tcMar>
          </w:tcPr>
          <w:p>
            <w:pPr>
              <w:spacing w:after="0" w:line="247" w:lineRule="auto"/>
            </w:pPr>
            <w:r>
              <w:rPr>
                <w:sz w:val="18"/>
              </w:rPr>
              <w:t>Activity group tag string.</w:t>
            </w:r>
          </w:p>
        </w:tc>
      </w:tr>
      <w:tr>
        <w:trPr>
          <w:cantSplit/>
        </w:trPr>
        <w:tc>
          <w:tcPr>
            <w:tcW w:type="dxa" w:w="2376"/>
            <w:vAlign w:val="top"/>
            <w:shd w:fill="FFFFFF"/>
            <w:tcMar>
              <w:top w:w="65" w:type="dxa"/>
              <w:bottom w:w="65" w:type="dxa"/>
              <w:left w:w="90" w:type="dxa"/>
              <w:right w:w="90" w:type="dxa"/>
            </w:tcMar>
          </w:tcPr>
          <w:p>
            <w:pPr>
              <w:spacing w:after="0" w:line="247" w:lineRule="auto"/>
            </w:pPr>
            <w:r>
              <w:rPr>
                <w:sz w:val="18"/>
              </w:rPr>
              <w:t>cat</w:t>
            </w:r>
          </w:p>
        </w:tc>
        <w:tc>
          <w:tcPr>
            <w:tcW w:type="dxa" w:w="7704"/>
            <w:vAlign w:val="top"/>
            <w:shd w:fill="FFFFFF"/>
            <w:tcMar>
              <w:top w:w="65" w:type="dxa"/>
              <w:bottom w:w="65" w:type="dxa"/>
              <w:left w:w="90" w:type="dxa"/>
              <w:right w:w="90" w:type="dxa"/>
            </w:tcMar>
          </w:tcPr>
          <w:p>
            <w:pPr>
              <w:spacing w:after="0" w:line="247" w:lineRule="auto"/>
            </w:pPr>
            <w:r>
              <w:rPr>
                <w:sz w:val="18"/>
              </w:rPr>
              <w:t>Activity tag string.</w:t>
            </w:r>
          </w:p>
        </w:tc>
      </w:tr>
      <w:tr>
        <w:trPr>
          <w:cantSplit/>
        </w:trPr>
        <w:tc>
          <w:tcPr>
            <w:tcW w:type="dxa" w:w="2376"/>
            <w:vAlign w:val="top"/>
            <w:shd w:fill="F3F7FB"/>
            <w:tcMar>
              <w:top w:w="65" w:type="dxa"/>
              <w:bottom w:w="65" w:type="dxa"/>
              <w:left w:w="90" w:type="dxa"/>
              <w:right w:w="90" w:type="dxa"/>
            </w:tcMar>
          </w:tcPr>
          <w:p>
            <w:pPr>
              <w:spacing w:after="0" w:line="247" w:lineRule="auto"/>
            </w:pPr>
            <w:r>
              <w:rPr>
                <w:sz w:val="18"/>
              </w:rPr>
              <w:t>Embed Tag Type</w:t>
            </w:r>
          </w:p>
        </w:tc>
        <w:tc>
          <w:tcPr>
            <w:tcW w:type="dxa" w:w="7704"/>
            <w:vAlign w:val="top"/>
            <w:shd w:fill="F3F7FB"/>
            <w:tcMar>
              <w:top w:w="65" w:type="dxa"/>
              <w:bottom w:w="65" w:type="dxa"/>
              <w:left w:w="90" w:type="dxa"/>
              <w:right w:w="90" w:type="dxa"/>
            </w:tcMar>
          </w:tcPr>
          <w:p>
            <w:pPr>
              <w:spacing w:after="0" w:line="247" w:lineRule="auto"/>
            </w:pPr>
            <w:r>
              <w:rPr>
                <w:sz w:val="18"/>
              </w:rPr>
              <w:t>Traditional iframe or image format; the preview shows the resulting embed.</w:t>
            </w:r>
          </w:p>
        </w:tc>
      </w:tr>
    </w:tbl>
    <w:p>
      <w:pPr>
        <w:spacing w:after="20"/>
      </w:pPr>
      <w:r>
        <w:rPr>
          <w:b w:val="0"/>
        </w:rPr>
      </w:r>
    </w:p>
    <w:p>
      <w:r>
        <w:rPr>
          <w:b w:val="0"/>
        </w:rPr>
        <w:t>An Adobe employee confirmed in the Experience League community that this extension was not developed by Adobe. In May 2021, a commenter identifying himself as the original developer stated that he would not provide updates and recommended moving to gtag.js. This is historical maintenance evidence; it does not establish the present publisher or a current support agreement. [7]</w:t>
      </w:r>
    </w:p>
    <w:p>
      <w:r>
        <w:rPr>
          <w:b w:val="0"/>
        </w:rPr>
        <w:t>Google recommends the Google tag / gtag.js format for Floodlight conversions. [6] The Beta extension is technically aligned to the traditional iframe/image format, but it is not the preferred modernization path for this migration.</w:t>
      </w:r>
    </w:p>
    <w:p>
      <w:r>
        <w:rPr>
          <w:b w:val="0"/>
        </w:rPr>
        <w:t>It was therefore not selected for the primary POC. The main POCs focused on modern Google tag routing across multiple configurations and activities.</w:t>
      </w:r>
    </w:p>
    <w:p>
      <w:pPr>
        <w:pStyle w:val="Heading1"/>
        <w:pageBreakBefore/>
      </w:pPr>
      <w:r>
        <w:t>4 Why Acronym was selected for the low code POC</w:t>
      </w:r>
    </w:p>
    <w:p>
      <w:r>
        <w:rPr>
          <w:b w:val="0"/>
        </w:rPr>
        <w:t>Adobe explicitly recommends Acronym’s Google Global Site Tag extension for Google tagging needs. Its modern gtag.js implementation, multiple account configuration, native Launch actions and Data Element mapping made it suitable for the multi-ID POC. Adobe also notes its 2018 Adobe Summit award; this supports Adobe’s endorsement and does not change the extension’s ownership. [1, 3]</w:t>
      </w:r>
    </w:p>
    <w:p>
      <w:r>
        <w:rPr>
          <w:b/>
        </w:rPr>
        <w:t>One Acronym v2.0.0 installation contained POC Floodlight A — DC-1000 and POC Floodlight B — DC-1001. All IDs shown are TEST values, not Citi production Floodlight IDs. Validation used the Development library only.</w:t>
      </w:r>
    </w:p>
    <w:p>
      <w:pPr>
        <w:keepNext/>
        <w:spacing w:after="0"/>
        <w:jc w:val="center"/>
      </w:pPr>
      <w:r>
        <w:drawing>
          <wp:inline xmlns:a="http://schemas.openxmlformats.org/drawingml/2006/main" xmlns:pic="http://schemas.openxmlformats.org/drawingml/2006/picture">
            <wp:extent cx="5532120" cy="5695924"/>
            <wp:docPr id="2" name="Picture 2"/>
            <wp:cNvGraphicFramePr>
              <a:graphicFrameLocks noChangeAspect="1"/>
            </wp:cNvGraphicFramePr>
            <a:graphic>
              <a:graphicData uri="http://schemas.openxmlformats.org/drawingml/2006/picture">
                <pic:pic>
                  <pic:nvPicPr>
                    <pic:cNvPr id="0" name="crop-01.png"/>
                    <pic:cNvPicPr/>
                  </pic:nvPicPr>
                  <pic:blipFill>
                    <a:blip r:embed="rId10"/>
                    <a:stretch>
                      <a:fillRect/>
                    </a:stretch>
                  </pic:blipFill>
                  <pic:spPr>
                    <a:xfrm>
                      <a:off x="0" y="0"/>
                      <a:ext cx="5532120" cy="5695924"/>
                    </a:xfrm>
                    <a:prstGeom prst="rect"/>
                  </pic:spPr>
                </pic:pic>
              </a:graphicData>
            </a:graphic>
          </wp:inline>
        </w:drawing>
      </w:r>
    </w:p>
    <w:p>
      <w:pPr>
        <w:pStyle w:val="Caption"/>
        <w:jc w:val="center"/>
      </w:pPr>
      <w:r>
        <w:rPr>
          <w:b w:val="0"/>
          <w:i/>
          <w:color w:val="607286"/>
          <w:sz w:val="16"/>
        </w:rPr>
        <w:t>Figure 2. Acronym configured with two separate TEST Floodlight accounts, A (DC-1000) and B (DC-1001).</w:t>
      </w:r>
    </w:p>
    <w:p>
      <w:pPr>
        <w:pStyle w:val="Heading1"/>
        <w:pageBreakBefore/>
      </w:pPr>
      <w:r>
        <w:t>5 Acronym action options</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3384"/>
        <w:gridCol w:w="6696"/>
      </w:tblGrid>
      <w:tr>
        <w:trPr>
          <w:tblHeader w:val="true"/>
          <w:cantSplit/>
        </w:trPr>
        <w:tc>
          <w:tcPr>
            <w:tcW w:type="dxa" w:w="3384"/>
            <w:vAlign w:val="top"/>
            <w:shd w:fill="DCEAF5"/>
            <w:tcMar>
              <w:top w:w="65" w:type="dxa"/>
              <w:bottom w:w="65" w:type="dxa"/>
              <w:left w:w="90" w:type="dxa"/>
              <w:right w:w="90" w:type="dxa"/>
            </w:tcMar>
          </w:tcPr>
          <w:p>
            <w:pPr>
              <w:spacing w:after="0" w:line="247" w:lineRule="auto"/>
            </w:pPr>
            <w:r>
              <w:rPr>
                <w:b/>
                <w:color w:val="133F69"/>
                <w:sz w:val="18"/>
              </w:rPr>
              <w:t>Native action</w:t>
            </w:r>
          </w:p>
        </w:tc>
        <w:tc>
          <w:tcPr>
            <w:tcW w:type="dxa" w:w="6696"/>
            <w:vAlign w:val="top"/>
            <w:shd w:fill="DCEAF5"/>
            <w:tcMar>
              <w:top w:w="65" w:type="dxa"/>
              <w:bottom w:w="65" w:type="dxa"/>
              <w:left w:w="90" w:type="dxa"/>
              <w:right w:w="90" w:type="dxa"/>
            </w:tcMar>
          </w:tcPr>
          <w:p>
            <w:pPr>
              <w:spacing w:after="0" w:line="247" w:lineRule="auto"/>
            </w:pPr>
            <w:r>
              <w:rPr>
                <w:b/>
                <w:color w:val="133F69"/>
                <w:sz w:val="18"/>
              </w:rPr>
              <w:t>Use</w:t>
            </w:r>
          </w:p>
        </w:tc>
      </w:tr>
      <w:tr>
        <w:trPr>
          <w:cantSplit/>
        </w:trPr>
        <w:tc>
          <w:tcPr>
            <w:tcW w:type="dxa" w:w="3384"/>
            <w:vAlign w:val="top"/>
            <w:shd w:fill="FFFFFF"/>
            <w:tcMar>
              <w:top w:w="65" w:type="dxa"/>
              <w:bottom w:w="65" w:type="dxa"/>
              <w:left w:w="90" w:type="dxa"/>
              <w:right w:w="90" w:type="dxa"/>
            </w:tcMar>
          </w:tcPr>
          <w:p>
            <w:pPr>
              <w:spacing w:after="0" w:line="247" w:lineRule="auto"/>
            </w:pPr>
            <w:r>
              <w:rPr>
                <w:sz w:val="18"/>
              </w:rPr>
              <w:t>Preload the gtag.js library</w:t>
            </w:r>
          </w:p>
        </w:tc>
        <w:tc>
          <w:tcPr>
            <w:tcW w:type="dxa" w:w="6696"/>
            <w:vAlign w:val="top"/>
            <w:shd w:fill="FFFFFF"/>
            <w:tcMar>
              <w:top w:w="65" w:type="dxa"/>
              <w:bottom w:w="65" w:type="dxa"/>
              <w:left w:w="90" w:type="dxa"/>
              <w:right w:w="90" w:type="dxa"/>
            </w:tcMar>
          </w:tcPr>
          <w:p>
            <w:pPr>
              <w:spacing w:after="0" w:line="247" w:lineRule="auto"/>
            </w:pPr>
            <w:r>
              <w:rPr>
                <w:sz w:val="18"/>
              </w:rPr>
              <w:t>Optional earlier library loading and account configuration.</w:t>
            </w:r>
          </w:p>
        </w:tc>
      </w:tr>
      <w:tr>
        <w:trPr>
          <w:cantSplit/>
        </w:trPr>
        <w:tc>
          <w:tcPr>
            <w:tcW w:type="dxa" w:w="3384"/>
            <w:vAlign w:val="top"/>
            <w:shd w:fill="F3F7FB"/>
            <w:tcMar>
              <w:top w:w="65" w:type="dxa"/>
              <w:bottom w:w="65" w:type="dxa"/>
              <w:left w:w="90" w:type="dxa"/>
              <w:right w:w="90" w:type="dxa"/>
            </w:tcMar>
          </w:tcPr>
          <w:p>
            <w:pPr>
              <w:spacing w:after="0" w:line="247" w:lineRule="auto"/>
            </w:pPr>
            <w:r>
              <w:rPr>
                <w:sz w:val="18"/>
              </w:rPr>
              <w:t>Send a page view</w:t>
            </w:r>
          </w:p>
        </w:tc>
        <w:tc>
          <w:tcPr>
            <w:tcW w:type="dxa" w:w="6696"/>
            <w:vAlign w:val="top"/>
            <w:shd w:fill="F3F7FB"/>
            <w:tcMar>
              <w:top w:w="65" w:type="dxa"/>
              <w:bottom w:w="65" w:type="dxa"/>
              <w:left w:w="90" w:type="dxa"/>
              <w:right w:w="90" w:type="dxa"/>
            </w:tcMar>
          </w:tcPr>
          <w:p>
            <w:pPr>
              <w:spacing w:after="0" w:line="247" w:lineRule="auto"/>
            </w:pPr>
            <w:r>
              <w:rPr>
                <w:sz w:val="18"/>
              </w:rPr>
              <w:t>Send a configured page-view command where required.</w:t>
            </w:r>
          </w:p>
        </w:tc>
      </w:tr>
      <w:tr>
        <w:trPr>
          <w:cantSplit/>
        </w:trPr>
        <w:tc>
          <w:tcPr>
            <w:tcW w:type="dxa" w:w="3384"/>
            <w:vAlign w:val="top"/>
            <w:shd w:fill="FFFFFF"/>
            <w:tcMar>
              <w:top w:w="65" w:type="dxa"/>
              <w:bottom w:w="65" w:type="dxa"/>
              <w:left w:w="90" w:type="dxa"/>
              <w:right w:w="90" w:type="dxa"/>
            </w:tcMar>
          </w:tcPr>
          <w:p>
            <w:pPr>
              <w:spacing w:after="0" w:line="247" w:lineRule="auto"/>
            </w:pPr>
            <w:r>
              <w:rPr>
                <w:sz w:val="18"/>
              </w:rPr>
              <w:t>Send an event</w:t>
            </w:r>
          </w:p>
        </w:tc>
        <w:tc>
          <w:tcPr>
            <w:tcW w:type="dxa" w:w="6696"/>
            <w:vAlign w:val="top"/>
            <w:shd w:fill="FFFFFF"/>
            <w:tcMar>
              <w:top w:w="65" w:type="dxa"/>
              <w:bottom w:w="65" w:type="dxa"/>
              <w:left w:w="90" w:type="dxa"/>
              <w:right w:w="90" w:type="dxa"/>
            </w:tcMar>
          </w:tcPr>
          <w:p>
            <w:pPr>
              <w:spacing w:after="0" w:line="247" w:lineRule="auto"/>
            </w:pPr>
            <w:r>
              <w:rPr>
                <w:sz w:val="18"/>
              </w:rPr>
              <w:t>Send an interaction or conversion and select the target accounts.</w:t>
            </w:r>
          </w:p>
        </w:tc>
      </w:tr>
      <w:tr>
        <w:trPr>
          <w:cantSplit/>
        </w:trPr>
        <w:tc>
          <w:tcPr>
            <w:tcW w:type="dxa" w:w="3384"/>
            <w:vAlign w:val="top"/>
            <w:shd w:fill="F3F7FB"/>
            <w:tcMar>
              <w:top w:w="65" w:type="dxa"/>
              <w:bottom w:w="65" w:type="dxa"/>
              <w:left w:w="90" w:type="dxa"/>
              <w:right w:w="90" w:type="dxa"/>
            </w:tcMar>
          </w:tcPr>
          <w:p>
            <w:pPr>
              <w:spacing w:after="0" w:line="247" w:lineRule="auto"/>
            </w:pPr>
            <w:r>
              <w:rPr>
                <w:sz w:val="18"/>
              </w:rPr>
              <w:t>Set persistent values</w:t>
            </w:r>
          </w:p>
        </w:tc>
        <w:tc>
          <w:tcPr>
            <w:tcW w:type="dxa" w:w="6696"/>
            <w:vAlign w:val="top"/>
            <w:shd w:fill="F3F7FB"/>
            <w:tcMar>
              <w:top w:w="65" w:type="dxa"/>
              <w:bottom w:w="65" w:type="dxa"/>
              <w:left w:w="90" w:type="dxa"/>
              <w:right w:w="90" w:type="dxa"/>
            </w:tcMar>
          </w:tcPr>
          <w:p>
            <w:pPr>
              <w:spacing w:after="0" w:line="247" w:lineRule="auto"/>
            </w:pPr>
            <w:r>
              <w:rPr>
                <w:sz w:val="18"/>
              </w:rPr>
              <w:t>Set values to be reused by later tagging commands.</w:t>
            </w:r>
          </w:p>
        </w:tc>
      </w:tr>
    </w:tbl>
    <w:p>
      <w:pPr>
        <w:spacing w:after="20"/>
      </w:pPr>
      <w:r>
        <w:rPr>
          <w:b w:val="0"/>
        </w:rPr>
      </w:r>
    </w:p>
    <w:p>
      <w:pPr>
        <w:keepNext/>
        <w:spacing w:after="0"/>
        <w:jc w:val="center"/>
      </w:pPr>
      <w:r>
        <w:drawing>
          <wp:inline xmlns:a="http://schemas.openxmlformats.org/drawingml/2006/main" xmlns:pic="http://schemas.openxmlformats.org/drawingml/2006/picture">
            <wp:extent cx="4892040" cy="2660188"/>
            <wp:docPr id="3" name="Picture 3"/>
            <wp:cNvGraphicFramePr>
              <a:graphicFrameLocks noChangeAspect="1"/>
            </wp:cNvGraphicFramePr>
            <a:graphic>
              <a:graphicData uri="http://schemas.openxmlformats.org/drawingml/2006/picture">
                <pic:pic>
                  <pic:nvPicPr>
                    <pic:cNvPr id="0" name="crop-04.png"/>
                    <pic:cNvPicPr/>
                  </pic:nvPicPr>
                  <pic:blipFill>
                    <a:blip r:embed="rId11"/>
                    <a:stretch>
                      <a:fillRect/>
                    </a:stretch>
                  </pic:blipFill>
                  <pic:spPr>
                    <a:xfrm>
                      <a:off x="0" y="0"/>
                      <a:ext cx="4892040" cy="2660188"/>
                    </a:xfrm>
                    <a:prstGeom prst="rect"/>
                  </pic:spPr>
                </pic:pic>
              </a:graphicData>
            </a:graphic>
          </wp:inline>
        </w:drawing>
      </w:r>
    </w:p>
    <w:p>
      <w:pPr>
        <w:pStyle w:val="Caption"/>
        <w:jc w:val="center"/>
      </w:pPr>
      <w:r>
        <w:rPr>
          <w:b w:val="0"/>
          <w:i/>
          <w:color w:val="607286"/>
          <w:sz w:val="16"/>
        </w:rPr>
        <w:t>Figure 3. Acronym native rule actions available in Adobe Data Collection.</w:t>
      </w:r>
    </w:p>
    <w:p>
      <w:r>
        <w:rPr>
          <w:b w:val="0"/>
        </w:rPr>
        <w:t>By default, the first gtag action loads the library. A separate Preload action is not mandatory; it can initialise the setup earlier when required. The library is initialised when required and the actions reuse the tagging setup. [4]</w:t>
      </w:r>
    </w:p>
    <w:p>
      <w:pPr>
        <w:keepNext/>
        <w:spacing w:after="0"/>
        <w:jc w:val="center"/>
      </w:pPr>
      <w:r>
        <w:drawing>
          <wp:inline xmlns:a="http://schemas.openxmlformats.org/drawingml/2006/main" xmlns:pic="http://schemas.openxmlformats.org/drawingml/2006/picture">
            <wp:extent cx="5852160" cy="2526604"/>
            <wp:docPr id="4" name="Picture 4"/>
            <wp:cNvGraphicFramePr>
              <a:graphicFrameLocks noChangeAspect="1"/>
            </wp:cNvGraphicFramePr>
            <a:graphic>
              <a:graphicData uri="http://schemas.openxmlformats.org/drawingml/2006/picture">
                <pic:pic>
                  <pic:nvPicPr>
                    <pic:cNvPr id="0" name="crop-05.png"/>
                    <pic:cNvPicPr/>
                  </pic:nvPicPr>
                  <pic:blipFill>
                    <a:blip r:embed="rId12"/>
                    <a:stretch>
                      <a:fillRect/>
                    </a:stretch>
                  </pic:blipFill>
                  <pic:spPr>
                    <a:xfrm>
                      <a:off x="0" y="0"/>
                      <a:ext cx="5852160" cy="2526604"/>
                    </a:xfrm>
                    <a:prstGeom prst="rect"/>
                  </pic:spPr>
                </pic:pic>
              </a:graphicData>
            </a:graphic>
          </wp:inline>
        </w:drawing>
      </w:r>
    </w:p>
    <w:p>
      <w:pPr>
        <w:pStyle w:val="Caption"/>
        <w:jc w:val="center"/>
      </w:pPr>
      <w:r>
        <w:rPr>
          <w:b w:val="0"/>
          <w:i/>
          <w:color w:val="607286"/>
          <w:sz w:val="16"/>
        </w:rPr>
        <w:t>Figure 4. Optional Preload action description explains first-action loading and reuse.</w:t>
      </w:r>
    </w:p>
    <w:p>
      <w:r>
        <w:rPr>
          <w:b w:val="0"/>
        </w:rPr>
        <w:t>The extension is designed to avoid loading its own library again once initialised. The inspected v2.0.0 loader uses an extension-specific loaded marker; reuse of a script introduced by another implementation depends on load order. Section 16 records this coexistence limitation.</w:t>
      </w:r>
    </w:p>
    <w:p>
      <w:pPr>
        <w:pStyle w:val="Heading1"/>
        <w:pageBreakBefore/>
      </w:pPr>
      <w:r>
        <w:t>6 Acronym multi ID POC design</w:t>
      </w:r>
    </w:p>
    <w:p>
      <w:r>
        <w:rPr>
          <w:b w:val="0"/>
        </w:rPr>
        <w:t>Two independent TEST configurations were created in the Citi Analysis Development property. Each Send Event action selected its own account and retained a different conversion label and counting method.</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3024"/>
        <w:gridCol w:w="3528"/>
        <w:gridCol w:w="3528"/>
      </w:tblGrid>
      <w:tr>
        <w:trPr>
          <w:tblHeader w:val="true"/>
          <w:cantSplit/>
        </w:trPr>
        <w:tc>
          <w:tcPr>
            <w:tcW w:type="dxa" w:w="3024"/>
            <w:vAlign w:val="top"/>
            <w:shd w:fill="DCEAF5"/>
            <w:tcMar>
              <w:top w:w="65" w:type="dxa"/>
              <w:bottom w:w="65" w:type="dxa"/>
              <w:left w:w="90" w:type="dxa"/>
              <w:right w:w="90" w:type="dxa"/>
            </w:tcMar>
          </w:tcPr>
          <w:p>
            <w:pPr>
              <w:spacing w:after="0" w:line="247" w:lineRule="auto"/>
            </w:pPr>
            <w:r>
              <w:rPr>
                <w:b/>
                <w:color w:val="133F69"/>
                <w:sz w:val="18"/>
              </w:rPr>
              <w:t>Setting</w:t>
            </w:r>
          </w:p>
        </w:tc>
        <w:tc>
          <w:tcPr>
            <w:tcW w:type="dxa" w:w="3528"/>
            <w:vAlign w:val="top"/>
            <w:shd w:fill="DCEAF5"/>
            <w:tcMar>
              <w:top w:w="65" w:type="dxa"/>
              <w:bottom w:w="65" w:type="dxa"/>
              <w:left w:w="90" w:type="dxa"/>
              <w:right w:w="90" w:type="dxa"/>
            </w:tcMar>
          </w:tcPr>
          <w:p>
            <w:pPr>
              <w:spacing w:after="0" w:line="247" w:lineRule="auto"/>
            </w:pPr>
            <w:r>
              <w:rPr>
                <w:b/>
                <w:color w:val="133F69"/>
                <w:sz w:val="18"/>
              </w:rPr>
              <w:t>TEST Account A</w:t>
            </w:r>
          </w:p>
        </w:tc>
        <w:tc>
          <w:tcPr>
            <w:tcW w:type="dxa" w:w="3528"/>
            <w:vAlign w:val="top"/>
            <w:shd w:fill="DCEAF5"/>
            <w:tcMar>
              <w:top w:w="65" w:type="dxa"/>
              <w:bottom w:w="65" w:type="dxa"/>
              <w:left w:w="90" w:type="dxa"/>
              <w:right w:w="90" w:type="dxa"/>
            </w:tcMar>
          </w:tcPr>
          <w:p>
            <w:pPr>
              <w:spacing w:after="0" w:line="247" w:lineRule="auto"/>
            </w:pPr>
            <w:r>
              <w:rPr>
                <w:b/>
                <w:color w:val="133F69"/>
                <w:sz w:val="18"/>
              </w:rPr>
              <w:t>TEST Account B</w:t>
            </w:r>
          </w:p>
        </w:tc>
      </w:tr>
      <w:tr>
        <w:trPr>
          <w:cantSplit/>
        </w:trPr>
        <w:tc>
          <w:tcPr>
            <w:tcW w:type="dxa" w:w="3024"/>
            <w:vAlign w:val="top"/>
            <w:shd w:fill="FFFFFF"/>
            <w:tcMar>
              <w:top w:w="65" w:type="dxa"/>
              <w:bottom w:w="65" w:type="dxa"/>
              <w:left w:w="90" w:type="dxa"/>
              <w:right w:w="90" w:type="dxa"/>
            </w:tcMar>
          </w:tcPr>
          <w:p>
            <w:pPr>
              <w:spacing w:after="0" w:line="247" w:lineRule="auto"/>
            </w:pPr>
            <w:r>
              <w:rPr>
                <w:sz w:val="18"/>
              </w:rPr>
              <w:t>Floodlight configuration ID</w:t>
            </w:r>
          </w:p>
        </w:tc>
        <w:tc>
          <w:tcPr>
            <w:tcW w:type="dxa" w:w="3528"/>
            <w:vAlign w:val="top"/>
            <w:shd w:fill="FFFFFF"/>
            <w:tcMar>
              <w:top w:w="65" w:type="dxa"/>
              <w:bottom w:w="65" w:type="dxa"/>
              <w:left w:w="90" w:type="dxa"/>
              <w:right w:w="90" w:type="dxa"/>
            </w:tcMar>
          </w:tcPr>
          <w:p>
            <w:pPr>
              <w:spacing w:after="0" w:line="247" w:lineRule="auto"/>
            </w:pPr>
            <w:r>
              <w:rPr>
                <w:sz w:val="18"/>
              </w:rPr>
              <w:t>DC-1000</w:t>
            </w:r>
          </w:p>
        </w:tc>
        <w:tc>
          <w:tcPr>
            <w:tcW w:type="dxa" w:w="3528"/>
            <w:vAlign w:val="top"/>
            <w:shd w:fill="FFFFFF"/>
            <w:tcMar>
              <w:top w:w="65" w:type="dxa"/>
              <w:bottom w:w="65" w:type="dxa"/>
              <w:left w:w="90" w:type="dxa"/>
              <w:right w:w="90" w:type="dxa"/>
            </w:tcMar>
          </w:tcPr>
          <w:p>
            <w:pPr>
              <w:spacing w:after="0" w:line="247" w:lineRule="auto"/>
            </w:pPr>
            <w:r>
              <w:rPr>
                <w:sz w:val="18"/>
              </w:rPr>
              <w:t>DC-1001</w:t>
            </w:r>
          </w:p>
        </w:tc>
      </w:tr>
      <w:tr>
        <w:trPr>
          <w:cantSplit/>
        </w:trPr>
        <w:tc>
          <w:tcPr>
            <w:tcW w:type="dxa" w:w="3024"/>
            <w:vAlign w:val="top"/>
            <w:shd w:fill="F3F7FB"/>
            <w:tcMar>
              <w:top w:w="65" w:type="dxa"/>
              <w:bottom w:w="65" w:type="dxa"/>
              <w:left w:w="90" w:type="dxa"/>
              <w:right w:w="90" w:type="dxa"/>
            </w:tcMar>
          </w:tcPr>
          <w:p>
            <w:pPr>
              <w:spacing w:after="0" w:line="247" w:lineRule="auto"/>
            </w:pPr>
            <w:r>
              <w:rPr>
                <w:sz w:val="18"/>
              </w:rPr>
              <w:t>Launch event name</w:t>
            </w:r>
          </w:p>
        </w:tc>
        <w:tc>
          <w:tcPr>
            <w:tcW w:type="dxa" w:w="3528"/>
            <w:vAlign w:val="top"/>
            <w:shd w:fill="F3F7FB"/>
            <w:tcMar>
              <w:top w:w="65" w:type="dxa"/>
              <w:bottom w:w="65" w:type="dxa"/>
              <w:left w:w="90" w:type="dxa"/>
              <w:right w:w="90" w:type="dxa"/>
            </w:tcMar>
          </w:tcPr>
          <w:p>
            <w:pPr>
              <w:spacing w:after="0" w:line="247" w:lineRule="auto"/>
            </w:pPr>
            <w:r>
              <w:rPr>
                <w:sz w:val="18"/>
              </w:rPr>
              <w:t>conversion</w:t>
            </w:r>
          </w:p>
        </w:tc>
        <w:tc>
          <w:tcPr>
            <w:tcW w:type="dxa" w:w="3528"/>
            <w:vAlign w:val="top"/>
            <w:shd w:fill="F3F7FB"/>
            <w:tcMar>
              <w:top w:w="65" w:type="dxa"/>
              <w:bottom w:w="65" w:type="dxa"/>
              <w:left w:w="90" w:type="dxa"/>
              <w:right w:w="90" w:type="dxa"/>
            </w:tcMar>
          </w:tcPr>
          <w:p>
            <w:pPr>
              <w:spacing w:after="0" w:line="247" w:lineRule="auto"/>
            </w:pPr>
            <w:r>
              <w:rPr>
                <w:sz w:val="18"/>
              </w:rPr>
              <w:t>purchase</w:t>
            </w:r>
          </w:p>
        </w:tc>
      </w:tr>
      <w:tr>
        <w:trPr>
          <w:cantSplit/>
        </w:trPr>
        <w:tc>
          <w:tcPr>
            <w:tcW w:type="dxa" w:w="3024"/>
            <w:vAlign w:val="top"/>
            <w:shd w:fill="FFFFFF"/>
            <w:tcMar>
              <w:top w:w="65" w:type="dxa"/>
              <w:bottom w:w="65" w:type="dxa"/>
              <w:left w:w="90" w:type="dxa"/>
              <w:right w:w="90" w:type="dxa"/>
            </w:tcMar>
          </w:tcPr>
          <w:p>
            <w:pPr>
              <w:spacing w:after="0" w:line="247" w:lineRule="auto"/>
            </w:pPr>
            <w:r>
              <w:rPr>
                <w:sz w:val="18"/>
              </w:rPr>
              <w:t>Conversion label</w:t>
            </w:r>
          </w:p>
        </w:tc>
        <w:tc>
          <w:tcPr>
            <w:tcW w:type="dxa" w:w="3528"/>
            <w:vAlign w:val="top"/>
            <w:shd w:fill="FFFFFF"/>
            <w:tcMar>
              <w:top w:w="65" w:type="dxa"/>
              <w:bottom w:w="65" w:type="dxa"/>
              <w:left w:w="90" w:type="dxa"/>
              <w:right w:w="90" w:type="dxa"/>
            </w:tcMar>
          </w:tcPr>
          <w:p>
            <w:pPr>
              <w:spacing w:after="0" w:line="247" w:lineRule="auto"/>
            </w:pPr>
            <w:r>
              <w:rPr>
                <w:sz w:val="18"/>
              </w:rPr>
              <w:t>poca0/start0+standard</w:t>
            </w:r>
          </w:p>
        </w:tc>
        <w:tc>
          <w:tcPr>
            <w:tcW w:type="dxa" w:w="3528"/>
            <w:vAlign w:val="top"/>
            <w:shd w:fill="FFFFFF"/>
            <w:tcMar>
              <w:top w:w="65" w:type="dxa"/>
              <w:bottom w:w="65" w:type="dxa"/>
              <w:left w:w="90" w:type="dxa"/>
              <w:right w:w="90" w:type="dxa"/>
            </w:tcMar>
          </w:tcPr>
          <w:p>
            <w:pPr>
              <w:spacing w:after="0" w:line="247" w:lineRule="auto"/>
            </w:pPr>
            <w:r>
              <w:rPr>
                <w:sz w:val="18"/>
              </w:rPr>
              <w:t>pocb0/compl0+transactions</w:t>
            </w:r>
          </w:p>
        </w:tc>
      </w:tr>
      <w:tr>
        <w:trPr>
          <w:cantSplit/>
        </w:trPr>
        <w:tc>
          <w:tcPr>
            <w:tcW w:type="dxa" w:w="3024"/>
            <w:vAlign w:val="top"/>
            <w:shd w:fill="F3F7FB"/>
            <w:tcMar>
              <w:top w:w="65" w:type="dxa"/>
              <w:bottom w:w="65" w:type="dxa"/>
              <w:left w:w="90" w:type="dxa"/>
              <w:right w:w="90" w:type="dxa"/>
            </w:tcMar>
          </w:tcPr>
          <w:p>
            <w:pPr>
              <w:spacing w:after="0" w:line="247" w:lineRule="auto"/>
            </w:pPr>
            <w:r>
              <w:rPr>
                <w:sz w:val="18"/>
              </w:rPr>
              <w:t>u1</w:t>
            </w:r>
          </w:p>
        </w:tc>
        <w:tc>
          <w:tcPr>
            <w:tcW w:type="dxa" w:w="3528"/>
            <w:vAlign w:val="top"/>
            <w:shd w:fill="F3F7FB"/>
            <w:tcMar>
              <w:top w:w="65" w:type="dxa"/>
              <w:bottom w:w="65" w:type="dxa"/>
              <w:left w:w="90" w:type="dxa"/>
              <w:right w:w="90" w:type="dxa"/>
            </w:tcMar>
          </w:tcPr>
          <w:p>
            <w:pPr>
              <w:spacing w:after="0" w:line="247" w:lineRule="auto"/>
            </w:pPr>
            <w:r>
              <w:rPr>
                <w:sz w:val="18"/>
              </w:rPr>
              <w:t>POC_TAG_A</w:t>
            </w:r>
          </w:p>
        </w:tc>
        <w:tc>
          <w:tcPr>
            <w:tcW w:type="dxa" w:w="3528"/>
            <w:vAlign w:val="top"/>
            <w:shd w:fill="F3F7FB"/>
            <w:tcMar>
              <w:top w:w="65" w:type="dxa"/>
              <w:bottom w:w="65" w:type="dxa"/>
              <w:left w:w="90" w:type="dxa"/>
              <w:right w:w="90" w:type="dxa"/>
            </w:tcMar>
          </w:tcPr>
          <w:p>
            <w:pPr>
              <w:spacing w:after="0" w:line="247" w:lineRule="auto"/>
            </w:pPr>
            <w:r>
              <w:rPr>
                <w:sz w:val="18"/>
              </w:rPr>
              <w:t>POC_TAG_B</w:t>
            </w:r>
          </w:p>
        </w:tc>
      </w:tr>
      <w:tr>
        <w:trPr>
          <w:cantSplit/>
        </w:trPr>
        <w:tc>
          <w:tcPr>
            <w:tcW w:type="dxa" w:w="3024"/>
            <w:vAlign w:val="top"/>
            <w:shd w:fill="FFFFFF"/>
            <w:tcMar>
              <w:top w:w="65" w:type="dxa"/>
              <w:bottom w:w="65" w:type="dxa"/>
              <w:left w:w="90" w:type="dxa"/>
              <w:right w:w="90" w:type="dxa"/>
            </w:tcMar>
          </w:tcPr>
          <w:p>
            <w:pPr>
              <w:spacing w:after="0" w:line="247" w:lineRule="auto"/>
            </w:pPr>
            <w:r>
              <w:rPr>
                <w:sz w:val="18"/>
              </w:rPr>
              <w:t>u2</w:t>
            </w:r>
          </w:p>
        </w:tc>
        <w:tc>
          <w:tcPr>
            <w:tcW w:type="dxa" w:w="3528"/>
            <w:vAlign w:val="top"/>
            <w:shd w:fill="FFFFFF"/>
            <w:tcMar>
              <w:top w:w="65" w:type="dxa"/>
              <w:bottom w:w="65" w:type="dxa"/>
              <w:left w:w="90" w:type="dxa"/>
              <w:right w:w="90" w:type="dxa"/>
            </w:tcMar>
          </w:tcPr>
          <w:p>
            <w:pPr>
              <w:spacing w:after="0" w:line="247" w:lineRule="auto"/>
            </w:pPr>
            <w:r>
              <w:rPr>
                <w:sz w:val="18"/>
              </w:rPr>
              <w:t>PAGE_LOAD_A</w:t>
            </w:r>
          </w:p>
        </w:tc>
        <w:tc>
          <w:tcPr>
            <w:tcW w:type="dxa" w:w="3528"/>
            <w:vAlign w:val="top"/>
            <w:shd w:fill="FFFFFF"/>
            <w:tcMar>
              <w:top w:w="65" w:type="dxa"/>
              <w:bottom w:w="65" w:type="dxa"/>
              <w:left w:w="90" w:type="dxa"/>
              <w:right w:w="90" w:type="dxa"/>
            </w:tcMar>
          </w:tcPr>
          <w:p>
            <w:pPr>
              <w:spacing w:after="0" w:line="247" w:lineRule="auto"/>
            </w:pPr>
            <w:r>
              <w:rPr>
                <w:sz w:val="18"/>
              </w:rPr>
              <w:t>PAGE_LOAD_B</w:t>
            </w:r>
          </w:p>
        </w:tc>
      </w:tr>
      <w:tr>
        <w:trPr>
          <w:cantSplit/>
        </w:trPr>
        <w:tc>
          <w:tcPr>
            <w:tcW w:type="dxa" w:w="3024"/>
            <w:vAlign w:val="top"/>
            <w:shd w:fill="F3F7FB"/>
            <w:tcMar>
              <w:top w:w="65" w:type="dxa"/>
              <w:bottom w:w="65" w:type="dxa"/>
              <w:left w:w="90" w:type="dxa"/>
              <w:right w:w="90" w:type="dxa"/>
            </w:tcMar>
          </w:tcPr>
          <w:p>
            <w:pPr>
              <w:spacing w:after="0" w:line="247" w:lineRule="auto"/>
            </w:pPr>
            <w:r>
              <w:rPr>
                <w:sz w:val="18"/>
              </w:rPr>
              <w:t>u3 from Constant Data Element</w:t>
            </w:r>
          </w:p>
        </w:tc>
        <w:tc>
          <w:tcPr>
            <w:tcW w:type="dxa" w:w="3528"/>
            <w:vAlign w:val="top"/>
            <w:shd w:fill="F3F7FB"/>
            <w:tcMar>
              <w:top w:w="65" w:type="dxa"/>
              <w:bottom w:w="65" w:type="dxa"/>
              <w:left w:w="90" w:type="dxa"/>
              <w:right w:w="90" w:type="dxa"/>
            </w:tcMar>
          </w:tcPr>
          <w:p>
            <w:pPr>
              <w:spacing w:after="0" w:line="247" w:lineRule="auto"/>
            </w:pPr>
            <w:r>
              <w:rPr>
                <w:sz w:val="18"/>
              </w:rPr>
              <w:t>CITI_ANALYSIS</w:t>
            </w:r>
          </w:p>
        </w:tc>
        <w:tc>
          <w:tcPr>
            <w:tcW w:type="dxa" w:w="3528"/>
            <w:vAlign w:val="top"/>
            <w:shd w:fill="F3F7FB"/>
            <w:tcMar>
              <w:top w:w="65" w:type="dxa"/>
              <w:bottom w:w="65" w:type="dxa"/>
              <w:left w:w="90" w:type="dxa"/>
              <w:right w:w="90" w:type="dxa"/>
            </w:tcMar>
          </w:tcPr>
          <w:p>
            <w:pPr>
              <w:spacing w:after="0" w:line="247" w:lineRule="auto"/>
            </w:pPr>
            <w:r>
              <w:rPr>
                <w:sz w:val="18"/>
              </w:rPr>
              <w:t>CITI_ANALYSIS</w:t>
            </w:r>
          </w:p>
        </w:tc>
      </w:tr>
      <w:tr>
        <w:trPr>
          <w:cantSplit/>
        </w:trPr>
        <w:tc>
          <w:tcPr>
            <w:tcW w:type="dxa" w:w="3024"/>
            <w:vAlign w:val="top"/>
            <w:shd w:fill="FFFFFF"/>
            <w:tcMar>
              <w:top w:w="65" w:type="dxa"/>
              <w:bottom w:w="65" w:type="dxa"/>
              <w:left w:w="90" w:type="dxa"/>
              <w:right w:w="90" w:type="dxa"/>
            </w:tcMar>
          </w:tcPr>
          <w:p>
            <w:pPr>
              <w:spacing w:after="0" w:line="247" w:lineRule="auto"/>
            </w:pPr>
            <w:r>
              <w:rPr>
                <w:sz w:val="18"/>
              </w:rPr>
              <w:t>u4</w:t>
            </w:r>
          </w:p>
        </w:tc>
        <w:tc>
          <w:tcPr>
            <w:tcW w:type="dxa" w:w="3528"/>
            <w:vAlign w:val="top"/>
            <w:shd w:fill="FFFFFF"/>
            <w:tcMar>
              <w:top w:w="65" w:type="dxa"/>
              <w:bottom w:w="65" w:type="dxa"/>
              <w:left w:w="90" w:type="dxa"/>
              <w:right w:w="90" w:type="dxa"/>
            </w:tcMar>
          </w:tcPr>
          <w:p>
            <w:pPr>
              <w:spacing w:after="0" w:line="247" w:lineRule="auto"/>
            </w:pPr>
            <w:r>
              <w:rPr>
                <w:sz w:val="18"/>
              </w:rPr>
              <w:t>START_EVENT</w:t>
            </w:r>
          </w:p>
        </w:tc>
        <w:tc>
          <w:tcPr>
            <w:tcW w:type="dxa" w:w="3528"/>
            <w:vAlign w:val="top"/>
            <w:shd w:fill="FFFFFF"/>
            <w:tcMar>
              <w:top w:w="65" w:type="dxa"/>
              <w:bottom w:w="65" w:type="dxa"/>
              <w:left w:w="90" w:type="dxa"/>
              <w:right w:w="90" w:type="dxa"/>
            </w:tcMar>
          </w:tcPr>
          <w:p>
            <w:pPr>
              <w:spacing w:after="0" w:line="247" w:lineRule="auto"/>
            </w:pPr>
            <w:r>
              <w:rPr>
                <w:sz w:val="18"/>
              </w:rPr>
              <w:t>COMPLETE_EVENT</w:t>
            </w:r>
          </w:p>
        </w:tc>
      </w:tr>
      <w:tr>
        <w:trPr>
          <w:cantSplit/>
        </w:trPr>
        <w:tc>
          <w:tcPr>
            <w:tcW w:type="dxa" w:w="3024"/>
            <w:vAlign w:val="top"/>
            <w:shd w:fill="F3F7FB"/>
            <w:tcMar>
              <w:top w:w="65" w:type="dxa"/>
              <w:bottom w:w="65" w:type="dxa"/>
              <w:left w:w="90" w:type="dxa"/>
              <w:right w:w="90" w:type="dxa"/>
            </w:tcMar>
          </w:tcPr>
          <w:p>
            <w:pPr>
              <w:spacing w:after="0" w:line="247" w:lineRule="auto"/>
            </w:pPr>
            <w:r>
              <w:rPr>
                <w:sz w:val="18"/>
              </w:rPr>
              <w:t>value</w:t>
            </w:r>
          </w:p>
        </w:tc>
        <w:tc>
          <w:tcPr>
            <w:tcW w:type="dxa" w:w="3528"/>
            <w:vAlign w:val="top"/>
            <w:shd w:fill="F3F7FB"/>
            <w:tcMar>
              <w:top w:w="65" w:type="dxa"/>
              <w:bottom w:w="65" w:type="dxa"/>
              <w:left w:w="90" w:type="dxa"/>
              <w:right w:w="90" w:type="dxa"/>
            </w:tcMar>
          </w:tcPr>
          <w:p>
            <w:pPr>
              <w:spacing w:after="0" w:line="247" w:lineRule="auto"/>
            </w:pPr>
            <w:r>
              <w:rPr>
                <w:sz w:val="18"/>
              </w:rPr>
              <w:t>11</w:t>
            </w:r>
          </w:p>
        </w:tc>
        <w:tc>
          <w:tcPr>
            <w:tcW w:type="dxa" w:w="3528"/>
            <w:vAlign w:val="top"/>
            <w:shd w:fill="F3F7FB"/>
            <w:tcMar>
              <w:top w:w="65" w:type="dxa"/>
              <w:bottom w:w="65" w:type="dxa"/>
              <w:left w:w="90" w:type="dxa"/>
              <w:right w:w="90" w:type="dxa"/>
            </w:tcMar>
          </w:tcPr>
          <w:p>
            <w:pPr>
              <w:spacing w:after="0" w:line="247" w:lineRule="auto"/>
            </w:pPr>
            <w:r>
              <w:rPr>
                <w:sz w:val="18"/>
              </w:rPr>
              <w:t>22</w:t>
            </w:r>
          </w:p>
        </w:tc>
      </w:tr>
      <w:tr>
        <w:trPr>
          <w:cantSplit/>
        </w:trPr>
        <w:tc>
          <w:tcPr>
            <w:tcW w:type="dxa" w:w="3024"/>
            <w:vAlign w:val="top"/>
            <w:shd w:fill="FFFFFF"/>
            <w:tcMar>
              <w:top w:w="65" w:type="dxa"/>
              <w:bottom w:w="65" w:type="dxa"/>
              <w:left w:w="90" w:type="dxa"/>
              <w:right w:w="90" w:type="dxa"/>
            </w:tcMar>
          </w:tcPr>
          <w:p>
            <w:pPr>
              <w:spacing w:after="0" w:line="247" w:lineRule="auto"/>
            </w:pPr>
            <w:r>
              <w:rPr>
                <w:sz w:val="18"/>
              </w:rPr>
              <w:t>transaction_id</w:t>
            </w:r>
          </w:p>
        </w:tc>
        <w:tc>
          <w:tcPr>
            <w:tcW w:type="dxa" w:w="3528"/>
            <w:vAlign w:val="top"/>
            <w:shd w:fill="FFFFFF"/>
            <w:tcMar>
              <w:top w:w="65" w:type="dxa"/>
              <w:bottom w:w="65" w:type="dxa"/>
              <w:left w:w="90" w:type="dxa"/>
              <w:right w:w="90" w:type="dxa"/>
            </w:tcMar>
          </w:tcPr>
          <w:p>
            <w:pPr>
              <w:spacing w:after="0" w:line="247" w:lineRule="auto"/>
            </w:pPr>
            <w:r>
              <w:rPr>
                <w:sz w:val="18"/>
              </w:rPr>
              <w:t>Not set</w:t>
            </w:r>
          </w:p>
        </w:tc>
        <w:tc>
          <w:tcPr>
            <w:tcW w:type="dxa" w:w="3528"/>
            <w:vAlign w:val="top"/>
            <w:shd w:fill="FFFFFF"/>
            <w:tcMar>
              <w:top w:w="65" w:type="dxa"/>
              <w:bottom w:w="65" w:type="dxa"/>
              <w:left w:w="90" w:type="dxa"/>
              <w:right w:w="90" w:type="dxa"/>
            </w:tcMar>
          </w:tcPr>
          <w:p>
            <w:pPr>
              <w:spacing w:after="0" w:line="247" w:lineRule="auto"/>
            </w:pPr>
            <w:r>
              <w:rPr>
                <w:sz w:val="18"/>
              </w:rPr>
              <w:t>POC_TRANSACTION_1001</w:t>
            </w:r>
          </w:p>
        </w:tc>
      </w:tr>
    </w:tbl>
    <w:p>
      <w:pPr>
        <w:spacing w:after="20"/>
      </w:pPr>
      <w:r>
        <w:rPr>
          <w:b w:val="0"/>
        </w:rPr>
      </w:r>
    </w:p>
    <w:p>
      <w:r>
        <w:rPr>
          <w:b w:val="0"/>
        </w:rPr>
        <w:t>The Constant Data Element was POC - Floodlight - Common Marker. Both rules used native Acronym Send Event actions with no custom JavaScript.</w:t>
      </w:r>
    </w:p>
    <w:p>
      <w:pPr>
        <w:keepNext/>
        <w:spacing w:after="0"/>
        <w:jc w:val="center"/>
      </w:pPr>
      <w:r>
        <w:drawing>
          <wp:inline xmlns:a="http://schemas.openxmlformats.org/drawingml/2006/main" xmlns:pic="http://schemas.openxmlformats.org/drawingml/2006/picture">
            <wp:extent cx="5623560" cy="4447929"/>
            <wp:docPr id="5" name="Picture 5"/>
            <wp:cNvGraphicFramePr>
              <a:graphicFrameLocks noChangeAspect="1"/>
            </wp:cNvGraphicFramePr>
            <a:graphic>
              <a:graphicData uri="http://schemas.openxmlformats.org/drawingml/2006/picture">
                <pic:pic>
                  <pic:nvPicPr>
                    <pic:cNvPr id="0" name="crop-06.png"/>
                    <pic:cNvPicPr/>
                  </pic:nvPicPr>
                  <pic:blipFill>
                    <a:blip r:embed="rId13"/>
                    <a:stretch>
                      <a:fillRect/>
                    </a:stretch>
                  </pic:blipFill>
                  <pic:spPr>
                    <a:xfrm>
                      <a:off x="0" y="0"/>
                      <a:ext cx="5623560" cy="4447929"/>
                    </a:xfrm>
                    <a:prstGeom prst="rect"/>
                  </pic:spPr>
                </pic:pic>
              </a:graphicData>
            </a:graphic>
          </wp:inline>
        </w:drawing>
      </w:r>
    </w:p>
    <w:p>
      <w:pPr>
        <w:pStyle w:val="Caption"/>
        <w:jc w:val="center"/>
      </w:pPr>
      <w:r>
        <w:rPr>
          <w:b w:val="0"/>
          <w:i/>
          <w:color w:val="607286"/>
          <w:sz w:val="16"/>
        </w:rPr>
        <w:t>Figure 5. TEST Account A event configuration with conversion, value 11 and independent u1–u4 fields.</w:t>
      </w:r>
    </w:p>
    <w:p>
      <w:pPr>
        <w:pStyle w:val="Heading2"/>
        <w:pageBreakBefore/>
      </w:pPr>
      <w:r>
        <w:t>Independent account selection in each action</w:t>
      </w:r>
    </w:p>
    <w:p>
      <w:r>
        <w:rPr>
          <w:b w:val="0"/>
        </w:rPr>
        <w:t>For Rule A, Account A was enabled and Account B was disabled. For Rule B, the selection was reversed. The conversion label is the account-specific activity route suffix; it is distinct from the generic Event Label field used by Google Analytics.</w:t>
      </w:r>
    </w:p>
    <w:p>
      <w:pPr>
        <w:keepNext/>
        <w:spacing w:after="0"/>
        <w:jc w:val="center"/>
      </w:pPr>
      <w:r>
        <w:drawing>
          <wp:inline xmlns:a="http://schemas.openxmlformats.org/drawingml/2006/main" xmlns:pic="http://schemas.openxmlformats.org/drawingml/2006/picture">
            <wp:extent cx="5989320" cy="2138469"/>
            <wp:docPr id="6" name="Picture 6"/>
            <wp:cNvGraphicFramePr>
              <a:graphicFrameLocks noChangeAspect="1"/>
            </wp:cNvGraphicFramePr>
            <a:graphic>
              <a:graphicData uri="http://schemas.openxmlformats.org/drawingml/2006/picture">
                <pic:pic>
                  <pic:nvPicPr>
                    <pic:cNvPr id="0" name="crop-07.png"/>
                    <pic:cNvPicPr/>
                  </pic:nvPicPr>
                  <pic:blipFill>
                    <a:blip r:embed="rId14"/>
                    <a:stretch>
                      <a:fillRect/>
                    </a:stretch>
                  </pic:blipFill>
                  <pic:spPr>
                    <a:xfrm>
                      <a:off x="0" y="0"/>
                      <a:ext cx="5989320" cy="2138469"/>
                    </a:xfrm>
                    <a:prstGeom prst="rect"/>
                  </pic:spPr>
                </pic:pic>
              </a:graphicData>
            </a:graphic>
          </wp:inline>
        </w:drawing>
      </w:r>
    </w:p>
    <w:p>
      <w:pPr>
        <w:pStyle w:val="Caption"/>
        <w:jc w:val="center"/>
      </w:pPr>
      <w:r>
        <w:rPr>
          <w:b w:val="0"/>
          <w:i/>
          <w:color w:val="607286"/>
          <w:sz w:val="16"/>
        </w:rPr>
        <w:t>Figure 6. Rule A enables TEST Account A only and retains poca0/start0+standard.</w:t>
      </w:r>
    </w:p>
    <w:p>
      <w:pPr>
        <w:keepNext/>
        <w:spacing w:after="0"/>
        <w:jc w:val="center"/>
      </w:pPr>
      <w:r>
        <w:drawing>
          <wp:inline xmlns:a="http://schemas.openxmlformats.org/drawingml/2006/main" xmlns:pic="http://schemas.openxmlformats.org/drawingml/2006/picture">
            <wp:extent cx="5440680" cy="4671155"/>
            <wp:docPr id="7" name="Picture 7"/>
            <wp:cNvGraphicFramePr>
              <a:graphicFrameLocks noChangeAspect="1"/>
            </wp:cNvGraphicFramePr>
            <a:graphic>
              <a:graphicData uri="http://schemas.openxmlformats.org/drawingml/2006/picture">
                <pic:pic>
                  <pic:nvPicPr>
                    <pic:cNvPr id="0" name="crop-10.png"/>
                    <pic:cNvPicPr/>
                  </pic:nvPicPr>
                  <pic:blipFill>
                    <a:blip r:embed="rId15"/>
                    <a:stretch>
                      <a:fillRect/>
                    </a:stretch>
                  </pic:blipFill>
                  <pic:spPr>
                    <a:xfrm>
                      <a:off x="0" y="0"/>
                      <a:ext cx="5440680" cy="4671155"/>
                    </a:xfrm>
                    <a:prstGeom prst="rect"/>
                  </pic:spPr>
                </pic:pic>
              </a:graphicData>
            </a:graphic>
          </wp:inline>
        </w:drawing>
      </w:r>
    </w:p>
    <w:p>
      <w:pPr>
        <w:pStyle w:val="Caption"/>
        <w:jc w:val="center"/>
      </w:pPr>
      <w:r>
        <w:rPr>
          <w:b w:val="0"/>
          <w:i/>
          <w:color w:val="607286"/>
          <w:sz w:val="16"/>
        </w:rPr>
        <w:t>Figure 7. Rule B enables TEST Account B only with its own u variables, transaction ID and pocb0/compl0+transactions label.</w:t>
      </w:r>
    </w:p>
    <w:p>
      <w:r>
        <w:rPr>
          <w:b w:val="0"/>
        </w:rPr>
        <w:t>This action-level account selection allows different Launch rules on the same page to send different events to different Floodlight configurations.</w:t>
      </w:r>
    </w:p>
    <w:p>
      <w:pPr>
        <w:pStyle w:val="Heading1"/>
        <w:pageBreakBefore/>
      </w:pPr>
      <w:r>
        <w:t>7 Acronym POC validation</w:t>
      </w:r>
    </w:p>
    <w:p>
      <w:r>
        <w:rPr>
          <w:b w:val="0"/>
        </w:rPr>
        <w:t>The controlled isolated Development validation executed both Acronym rules on the same page load. DC-1000 and DC-1001 remained separate, and their labels, counting methods and custom values were retained. The source Developer Tools screenshots below provide additional browser request evidence; they show a Citi page session and are distinct from the isolated test fixture.</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160"/>
        <w:gridCol w:w="3024"/>
        <w:gridCol w:w="3960"/>
        <w:gridCol w:w="936"/>
      </w:tblGrid>
      <w:tr>
        <w:trPr>
          <w:tblHeader w:val="true"/>
          <w:cantSplit/>
        </w:trPr>
        <w:tc>
          <w:tcPr>
            <w:tcW w:type="dxa" w:w="2160"/>
            <w:vAlign w:val="top"/>
            <w:shd w:fill="DCEAF5"/>
            <w:tcMar>
              <w:top w:w="65" w:type="dxa"/>
              <w:bottom w:w="65" w:type="dxa"/>
              <w:left w:w="90" w:type="dxa"/>
              <w:right w:w="90" w:type="dxa"/>
            </w:tcMar>
          </w:tcPr>
          <w:p>
            <w:pPr>
              <w:spacing w:after="0" w:line="247" w:lineRule="auto"/>
            </w:pPr>
            <w:r>
              <w:rPr>
                <w:b/>
                <w:color w:val="133F69"/>
                <w:sz w:val="17"/>
              </w:rPr>
              <w:t>Test</w:t>
            </w:r>
          </w:p>
        </w:tc>
        <w:tc>
          <w:tcPr>
            <w:tcW w:type="dxa" w:w="3024"/>
            <w:vAlign w:val="top"/>
            <w:shd w:fill="DCEAF5"/>
            <w:tcMar>
              <w:top w:w="65" w:type="dxa"/>
              <w:bottom w:w="65" w:type="dxa"/>
              <w:left w:w="90" w:type="dxa"/>
              <w:right w:w="90" w:type="dxa"/>
            </w:tcMar>
          </w:tcPr>
          <w:p>
            <w:pPr>
              <w:spacing w:after="0" w:line="247" w:lineRule="auto"/>
            </w:pPr>
            <w:r>
              <w:rPr>
                <w:b/>
                <w:color w:val="133F69"/>
                <w:sz w:val="17"/>
              </w:rPr>
              <w:t>Expected</w:t>
            </w:r>
          </w:p>
        </w:tc>
        <w:tc>
          <w:tcPr>
            <w:tcW w:type="dxa" w:w="3960"/>
            <w:vAlign w:val="top"/>
            <w:shd w:fill="DCEAF5"/>
            <w:tcMar>
              <w:top w:w="65" w:type="dxa"/>
              <w:bottom w:w="65" w:type="dxa"/>
              <w:left w:w="90" w:type="dxa"/>
              <w:right w:w="90" w:type="dxa"/>
            </w:tcMar>
          </w:tcPr>
          <w:p>
            <w:pPr>
              <w:spacing w:after="0" w:line="247" w:lineRule="auto"/>
            </w:pPr>
            <w:r>
              <w:rPr>
                <w:b/>
                <w:color w:val="133F69"/>
                <w:sz w:val="17"/>
              </w:rPr>
              <w:t>Observed</w:t>
            </w:r>
          </w:p>
        </w:tc>
        <w:tc>
          <w:tcPr>
            <w:tcW w:type="dxa" w:w="936"/>
            <w:vAlign w:val="top"/>
            <w:shd w:fill="DCEAF5"/>
            <w:tcMar>
              <w:top w:w="65" w:type="dxa"/>
              <w:bottom w:w="65" w:type="dxa"/>
              <w:left w:w="90" w:type="dxa"/>
              <w:right w:w="90" w:type="dxa"/>
            </w:tcMar>
          </w:tcPr>
          <w:p>
            <w:pPr>
              <w:spacing w:after="0" w:line="247" w:lineRule="auto"/>
            </w:pPr>
            <w:r>
              <w:rPr>
                <w:b/>
                <w:color w:val="133F69"/>
                <w:sz w:val="17"/>
              </w:rPr>
              <w:t>Result</w:t>
            </w:r>
          </w:p>
        </w:tc>
      </w:tr>
      <w:tr>
        <w:trPr>
          <w:cantSplit/>
        </w:trPr>
        <w:tc>
          <w:tcPr>
            <w:tcW w:type="dxa" w:w="2160"/>
            <w:vAlign w:val="top"/>
            <w:shd w:fill="FFFFFF"/>
            <w:tcMar>
              <w:top w:w="65" w:type="dxa"/>
              <w:bottom w:w="65" w:type="dxa"/>
              <w:left w:w="90" w:type="dxa"/>
              <w:right w:w="90" w:type="dxa"/>
            </w:tcMar>
          </w:tcPr>
          <w:p>
            <w:pPr>
              <w:spacing w:after="0" w:line="247" w:lineRule="auto"/>
            </w:pPr>
            <w:r>
              <w:rPr>
                <w:sz w:val="17"/>
              </w:rPr>
              <w:t>Account separation</w:t>
            </w:r>
          </w:p>
        </w:tc>
        <w:tc>
          <w:tcPr>
            <w:tcW w:type="dxa" w:w="3024"/>
            <w:vAlign w:val="top"/>
            <w:shd w:fill="FFFFFF"/>
            <w:tcMar>
              <w:top w:w="65" w:type="dxa"/>
              <w:bottom w:w="65" w:type="dxa"/>
              <w:left w:w="90" w:type="dxa"/>
              <w:right w:w="90" w:type="dxa"/>
            </w:tcMar>
          </w:tcPr>
          <w:p>
            <w:pPr>
              <w:spacing w:after="0" w:line="247" w:lineRule="auto"/>
            </w:pPr>
            <w:r>
              <w:rPr>
                <w:sz w:val="17"/>
              </w:rPr>
              <w:t>Rule A → DC-1000; Rule B → DC-1001</w:t>
            </w:r>
          </w:p>
        </w:tc>
        <w:tc>
          <w:tcPr>
            <w:tcW w:type="dxa" w:w="3960"/>
            <w:vAlign w:val="top"/>
            <w:shd w:fill="FFFFFF"/>
            <w:tcMar>
              <w:top w:w="65" w:type="dxa"/>
              <w:bottom w:w="65" w:type="dxa"/>
              <w:left w:w="90" w:type="dxa"/>
              <w:right w:w="90" w:type="dxa"/>
            </w:tcMar>
          </w:tcPr>
          <w:p>
            <w:pPr>
              <w:spacing w:after="0" w:line="247" w:lineRule="auto"/>
            </w:pPr>
            <w:r>
              <w:rPr>
                <w:sz w:val="17"/>
              </w:rPr>
              <w:t>One routed event per rule; no cross-routing</w:t>
            </w:r>
          </w:p>
        </w:tc>
        <w:tc>
          <w:tcPr>
            <w:tcW w:type="dxa" w:w="936"/>
            <w:vAlign w:val="top"/>
            <w:shd w:fill="FFFFFF"/>
            <w:tcMar>
              <w:top w:w="65" w:type="dxa"/>
              <w:bottom w:w="65" w:type="dxa"/>
              <w:left w:w="90" w:type="dxa"/>
              <w:right w:w="90" w:type="dxa"/>
            </w:tcMar>
          </w:tcPr>
          <w:p>
            <w:pPr>
              <w:spacing w:after="0" w:line="247" w:lineRule="auto"/>
            </w:pPr>
            <w:r>
              <w:rPr>
                <w:sz w:val="17"/>
              </w:rPr>
              <w:t>Pass</w:t>
            </w:r>
          </w:p>
        </w:tc>
      </w:tr>
      <w:tr>
        <w:trPr>
          <w:cantSplit/>
        </w:trPr>
        <w:tc>
          <w:tcPr>
            <w:tcW w:type="dxa" w:w="2160"/>
            <w:vAlign w:val="top"/>
            <w:shd w:fill="F3F7FB"/>
            <w:tcMar>
              <w:top w:w="65" w:type="dxa"/>
              <w:bottom w:w="65" w:type="dxa"/>
              <w:left w:w="90" w:type="dxa"/>
              <w:right w:w="90" w:type="dxa"/>
            </w:tcMar>
          </w:tcPr>
          <w:p>
            <w:pPr>
              <w:spacing w:after="0" w:line="247" w:lineRule="auto"/>
            </w:pPr>
            <w:r>
              <w:rPr>
                <w:sz w:val="17"/>
              </w:rPr>
              <w:t>Activity and counting method</w:t>
            </w:r>
          </w:p>
        </w:tc>
        <w:tc>
          <w:tcPr>
            <w:tcW w:type="dxa" w:w="3024"/>
            <w:vAlign w:val="top"/>
            <w:shd w:fill="F3F7FB"/>
            <w:tcMar>
              <w:top w:w="65" w:type="dxa"/>
              <w:bottom w:w="65" w:type="dxa"/>
              <w:left w:w="90" w:type="dxa"/>
              <w:right w:w="90" w:type="dxa"/>
            </w:tcMar>
          </w:tcPr>
          <w:p>
            <w:pPr>
              <w:spacing w:after="0" w:line="247" w:lineRule="auto"/>
            </w:pPr>
            <w:r>
              <w:rPr>
                <w:sz w:val="17"/>
              </w:rPr>
              <w:t>Different standard and transactions routes</w:t>
            </w:r>
          </w:p>
        </w:tc>
        <w:tc>
          <w:tcPr>
            <w:tcW w:type="dxa" w:w="3960"/>
            <w:vAlign w:val="top"/>
            <w:shd w:fill="F3F7FB"/>
            <w:tcMar>
              <w:top w:w="65" w:type="dxa"/>
              <w:bottom w:w="65" w:type="dxa"/>
              <w:left w:w="90" w:type="dxa"/>
              <w:right w:w="90" w:type="dxa"/>
            </w:tcMar>
          </w:tcPr>
          <w:p>
            <w:pPr>
              <w:spacing w:after="0" w:line="247" w:lineRule="auto"/>
            </w:pPr>
            <w:r>
              <w:rPr>
                <w:sz w:val="17"/>
              </w:rPr>
              <w:t>Both exact destinations retained</w:t>
            </w:r>
          </w:p>
        </w:tc>
        <w:tc>
          <w:tcPr>
            <w:tcW w:type="dxa" w:w="936"/>
            <w:vAlign w:val="top"/>
            <w:shd w:fill="F3F7FB"/>
            <w:tcMar>
              <w:top w:w="65" w:type="dxa"/>
              <w:bottom w:w="65" w:type="dxa"/>
              <w:left w:w="90" w:type="dxa"/>
              <w:right w:w="90" w:type="dxa"/>
            </w:tcMar>
          </w:tcPr>
          <w:p>
            <w:pPr>
              <w:spacing w:after="0" w:line="247" w:lineRule="auto"/>
            </w:pPr>
            <w:r>
              <w:rPr>
                <w:sz w:val="17"/>
              </w:rPr>
              <w:t>Pass</w:t>
            </w:r>
          </w:p>
        </w:tc>
      </w:tr>
      <w:tr>
        <w:trPr>
          <w:cantSplit/>
        </w:trPr>
        <w:tc>
          <w:tcPr>
            <w:tcW w:type="dxa" w:w="2160"/>
            <w:vAlign w:val="top"/>
            <w:shd w:fill="FFFFFF"/>
            <w:tcMar>
              <w:top w:w="65" w:type="dxa"/>
              <w:bottom w:w="65" w:type="dxa"/>
              <w:left w:w="90" w:type="dxa"/>
              <w:right w:w="90" w:type="dxa"/>
            </w:tcMar>
          </w:tcPr>
          <w:p>
            <w:pPr>
              <w:spacing w:after="0" w:line="247" w:lineRule="auto"/>
            </w:pPr>
            <w:r>
              <w:rPr>
                <w:sz w:val="17"/>
              </w:rPr>
              <w:t>Custom values and Data Element</w:t>
            </w:r>
          </w:p>
        </w:tc>
        <w:tc>
          <w:tcPr>
            <w:tcW w:type="dxa" w:w="3024"/>
            <w:vAlign w:val="top"/>
            <w:shd w:fill="FFFFFF"/>
            <w:tcMar>
              <w:top w:w="65" w:type="dxa"/>
              <w:bottom w:w="65" w:type="dxa"/>
              <w:left w:w="90" w:type="dxa"/>
              <w:right w:w="90" w:type="dxa"/>
            </w:tcMar>
          </w:tcPr>
          <w:p>
            <w:pPr>
              <w:spacing w:after="0" w:line="247" w:lineRule="auto"/>
            </w:pPr>
            <w:r>
              <w:rPr>
                <w:sz w:val="17"/>
              </w:rPr>
              <w:t>Independent u1–u4; u3 substituted</w:t>
            </w:r>
          </w:p>
        </w:tc>
        <w:tc>
          <w:tcPr>
            <w:tcW w:type="dxa" w:w="3960"/>
            <w:vAlign w:val="top"/>
            <w:shd w:fill="FFFFFF"/>
            <w:tcMar>
              <w:top w:w="65" w:type="dxa"/>
              <w:bottom w:w="65" w:type="dxa"/>
              <w:left w:w="90" w:type="dxa"/>
              <w:right w:w="90" w:type="dxa"/>
            </w:tcMar>
          </w:tcPr>
          <w:p>
            <w:pPr>
              <w:spacing w:after="0" w:line="247" w:lineRule="auto"/>
            </w:pPr>
            <w:r>
              <w:rPr>
                <w:sz w:val="17"/>
              </w:rPr>
              <w:t>CITI_ANALYSIS resolved; other values retained</w:t>
            </w:r>
          </w:p>
        </w:tc>
        <w:tc>
          <w:tcPr>
            <w:tcW w:type="dxa" w:w="936"/>
            <w:vAlign w:val="top"/>
            <w:shd w:fill="FFFFFF"/>
            <w:tcMar>
              <w:top w:w="65" w:type="dxa"/>
              <w:bottom w:w="65" w:type="dxa"/>
              <w:left w:w="90" w:type="dxa"/>
              <w:right w:w="90" w:type="dxa"/>
            </w:tcMar>
          </w:tcPr>
          <w:p>
            <w:pPr>
              <w:spacing w:after="0" w:line="247" w:lineRule="auto"/>
            </w:pPr>
            <w:r>
              <w:rPr>
                <w:sz w:val="17"/>
              </w:rPr>
              <w:t>Pass</w:t>
            </w:r>
          </w:p>
        </w:tc>
      </w:tr>
      <w:tr>
        <w:trPr>
          <w:cantSplit/>
        </w:trPr>
        <w:tc>
          <w:tcPr>
            <w:tcW w:type="dxa" w:w="2160"/>
            <w:vAlign w:val="top"/>
            <w:shd w:fill="F3F7FB"/>
            <w:tcMar>
              <w:top w:w="65" w:type="dxa"/>
              <w:bottom w:w="65" w:type="dxa"/>
              <w:left w:w="90" w:type="dxa"/>
              <w:right w:w="90" w:type="dxa"/>
            </w:tcMar>
          </w:tcPr>
          <w:p>
            <w:pPr>
              <w:spacing w:after="0" w:line="247" w:lineRule="auto"/>
            </w:pPr>
            <w:r>
              <w:rPr>
                <w:sz w:val="17"/>
              </w:rPr>
              <w:t>Native configuration</w:t>
            </w:r>
          </w:p>
        </w:tc>
        <w:tc>
          <w:tcPr>
            <w:tcW w:type="dxa" w:w="3024"/>
            <w:vAlign w:val="top"/>
            <w:shd w:fill="F3F7FB"/>
            <w:tcMar>
              <w:top w:w="65" w:type="dxa"/>
              <w:bottom w:w="65" w:type="dxa"/>
              <w:left w:w="90" w:type="dxa"/>
              <w:right w:w="90" w:type="dxa"/>
            </w:tcMar>
          </w:tcPr>
          <w:p>
            <w:pPr>
              <w:spacing w:after="0" w:line="247" w:lineRule="auto"/>
            </w:pPr>
            <w:r>
              <w:rPr>
                <w:sz w:val="17"/>
              </w:rPr>
              <w:t>No custom JavaScript needed</w:t>
            </w:r>
          </w:p>
        </w:tc>
        <w:tc>
          <w:tcPr>
            <w:tcW w:type="dxa" w:w="3960"/>
            <w:vAlign w:val="top"/>
            <w:shd w:fill="F3F7FB"/>
            <w:tcMar>
              <w:top w:w="65" w:type="dxa"/>
              <w:bottom w:w="65" w:type="dxa"/>
              <w:left w:w="90" w:type="dxa"/>
              <w:right w:w="90" w:type="dxa"/>
            </w:tcMar>
          </w:tcPr>
          <w:p>
            <w:pPr>
              <w:spacing w:after="0" w:line="247" w:lineRule="auto"/>
            </w:pPr>
            <w:r>
              <w:rPr>
                <w:sz w:val="17"/>
              </w:rPr>
              <w:t>A/B used native Send Event actions</w:t>
            </w:r>
          </w:p>
        </w:tc>
        <w:tc>
          <w:tcPr>
            <w:tcW w:type="dxa" w:w="936"/>
            <w:vAlign w:val="top"/>
            <w:shd w:fill="F3F7FB"/>
            <w:tcMar>
              <w:top w:w="65" w:type="dxa"/>
              <w:bottom w:w="65" w:type="dxa"/>
              <w:left w:w="90" w:type="dxa"/>
              <w:right w:w="90" w:type="dxa"/>
            </w:tcMar>
          </w:tcPr>
          <w:p>
            <w:pPr>
              <w:spacing w:after="0" w:line="247" w:lineRule="auto"/>
            </w:pPr>
            <w:r>
              <w:rPr>
                <w:sz w:val="17"/>
              </w:rPr>
              <w:t>Pass</w:t>
            </w:r>
          </w:p>
        </w:tc>
      </w:tr>
    </w:tbl>
    <w:p>
      <w:pPr>
        <w:spacing w:after="20"/>
      </w:pPr>
      <w:r>
        <w:rPr>
          <w:b w:val="0"/>
        </w:rPr>
      </w:r>
    </w:p>
    <w:p>
      <w:pPr>
        <w:keepNext/>
        <w:spacing w:after="0"/>
        <w:jc w:val="center"/>
      </w:pPr>
      <w:r>
        <w:drawing>
          <wp:inline xmlns:a="http://schemas.openxmlformats.org/drawingml/2006/main" xmlns:pic="http://schemas.openxmlformats.org/drawingml/2006/picture">
            <wp:extent cx="5760720" cy="4970834"/>
            <wp:docPr id="8" name="Picture 8"/>
            <wp:cNvGraphicFramePr>
              <a:graphicFrameLocks noChangeAspect="1"/>
            </wp:cNvGraphicFramePr>
            <a:graphic>
              <a:graphicData uri="http://schemas.openxmlformats.org/drawingml/2006/picture">
                <pic:pic>
                  <pic:nvPicPr>
                    <pic:cNvPr id="0" name="crop-09.png"/>
                    <pic:cNvPicPr/>
                  </pic:nvPicPr>
                  <pic:blipFill>
                    <a:blip r:embed="rId16"/>
                    <a:stretch>
                      <a:fillRect/>
                    </a:stretch>
                  </pic:blipFill>
                  <pic:spPr>
                    <a:xfrm>
                      <a:off x="0" y="0"/>
                      <a:ext cx="5760720" cy="4970834"/>
                    </a:xfrm>
                    <a:prstGeom prst="rect"/>
                  </pic:spPr>
                </pic:pic>
              </a:graphicData>
            </a:graphic>
          </wp:inline>
        </w:drawing>
      </w:r>
    </w:p>
    <w:p>
      <w:pPr>
        <w:pStyle w:val="Caption"/>
        <w:jc w:val="center"/>
      </w:pPr>
      <w:r>
        <w:rPr>
          <w:b w:val="0"/>
          <w:i/>
          <w:color w:val="607286"/>
          <w:sz w:val="16"/>
        </w:rPr>
        <w:t>Figure 8. Source Network evidence for TEST DC-1000 with type=poca0, cat=start0 and Account A custom variables.</w:t>
      </w:r>
    </w:p>
    <w:p>
      <w:pPr>
        <w:pStyle w:val="Heading2"/>
        <w:pageBreakBefore/>
      </w:pPr>
      <w:r>
        <w:t>Account B request and POC boundary</w:t>
      </w:r>
    </w:p>
    <w:p>
      <w:pPr>
        <w:keepNext/>
        <w:spacing w:after="0"/>
        <w:jc w:val="center"/>
      </w:pPr>
      <w:r>
        <w:drawing>
          <wp:inline xmlns:a="http://schemas.openxmlformats.org/drawingml/2006/main" xmlns:pic="http://schemas.openxmlformats.org/drawingml/2006/picture">
            <wp:extent cx="5577840" cy="5235399"/>
            <wp:docPr id="9" name="Picture 9"/>
            <wp:cNvGraphicFramePr>
              <a:graphicFrameLocks noChangeAspect="1"/>
            </wp:cNvGraphicFramePr>
            <a:graphic>
              <a:graphicData uri="http://schemas.openxmlformats.org/drawingml/2006/picture">
                <pic:pic>
                  <pic:nvPicPr>
                    <pic:cNvPr id="0" name="crop-12.png"/>
                    <pic:cNvPicPr/>
                  </pic:nvPicPr>
                  <pic:blipFill>
                    <a:blip r:embed="rId17"/>
                    <a:stretch>
                      <a:fillRect/>
                    </a:stretch>
                  </pic:blipFill>
                  <pic:spPr>
                    <a:xfrm>
                      <a:off x="0" y="0"/>
                      <a:ext cx="5577840" cy="5235399"/>
                    </a:xfrm>
                    <a:prstGeom prst="rect"/>
                  </pic:spPr>
                </pic:pic>
              </a:graphicData>
            </a:graphic>
          </wp:inline>
        </w:drawing>
      </w:r>
    </w:p>
    <w:p>
      <w:pPr>
        <w:pStyle w:val="Caption"/>
        <w:jc w:val="center"/>
      </w:pPr>
      <w:r>
        <w:rPr>
          <w:b w:val="0"/>
          <w:i/>
          <w:color w:val="607286"/>
          <w:sz w:val="16"/>
        </w:rPr>
        <w:t>Figure 9. Source Network evidence for TEST DC-1001 with type=pocb0, cat=compl0, cost=22 and the test transaction ID.</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448"/>
        <w:gridCol w:w="3816"/>
        <w:gridCol w:w="3816"/>
      </w:tblGrid>
      <w:tr>
        <w:trPr>
          <w:tblHeader w:val="true"/>
          <w:cantSplit/>
        </w:trPr>
        <w:tc>
          <w:tcPr>
            <w:tcW w:type="dxa" w:w="2448"/>
            <w:vAlign w:val="top"/>
            <w:shd w:fill="DCEAF5"/>
            <w:tcMar>
              <w:top w:w="65" w:type="dxa"/>
              <w:bottom w:w="65" w:type="dxa"/>
              <w:left w:w="90" w:type="dxa"/>
              <w:right w:w="90" w:type="dxa"/>
            </w:tcMar>
          </w:tcPr>
          <w:p>
            <w:pPr>
              <w:spacing w:after="0" w:line="247" w:lineRule="auto"/>
            </w:pPr>
            <w:r>
              <w:rPr>
                <w:b/>
                <w:color w:val="133F69"/>
                <w:sz w:val="18"/>
              </w:rPr>
              <w:t>Request field</w:t>
            </w:r>
          </w:p>
        </w:tc>
        <w:tc>
          <w:tcPr>
            <w:tcW w:type="dxa" w:w="3816"/>
            <w:vAlign w:val="top"/>
            <w:shd w:fill="DCEAF5"/>
            <w:tcMar>
              <w:top w:w="65" w:type="dxa"/>
              <w:bottom w:w="65" w:type="dxa"/>
              <w:left w:w="90" w:type="dxa"/>
              <w:right w:w="90" w:type="dxa"/>
            </w:tcMar>
          </w:tcPr>
          <w:p>
            <w:pPr>
              <w:spacing w:after="0" w:line="247" w:lineRule="auto"/>
            </w:pPr>
            <w:r>
              <w:rPr>
                <w:b/>
                <w:color w:val="133F69"/>
                <w:sz w:val="18"/>
              </w:rPr>
              <w:t>TEST Account A</w:t>
            </w:r>
          </w:p>
        </w:tc>
        <w:tc>
          <w:tcPr>
            <w:tcW w:type="dxa" w:w="3816"/>
            <w:vAlign w:val="top"/>
            <w:shd w:fill="DCEAF5"/>
            <w:tcMar>
              <w:top w:w="65" w:type="dxa"/>
              <w:bottom w:w="65" w:type="dxa"/>
              <w:left w:w="90" w:type="dxa"/>
              <w:right w:w="90" w:type="dxa"/>
            </w:tcMar>
          </w:tcPr>
          <w:p>
            <w:pPr>
              <w:spacing w:after="0" w:line="247" w:lineRule="auto"/>
            </w:pPr>
            <w:r>
              <w:rPr>
                <w:b/>
                <w:color w:val="133F69"/>
                <w:sz w:val="18"/>
              </w:rPr>
              <w:t>TEST Account B</w:t>
            </w:r>
          </w:p>
        </w:tc>
      </w:tr>
      <w:tr>
        <w:trPr>
          <w:cantSplit/>
        </w:trPr>
        <w:tc>
          <w:tcPr>
            <w:tcW w:type="dxa" w:w="2448"/>
            <w:vAlign w:val="top"/>
            <w:shd w:fill="FFFFFF"/>
            <w:tcMar>
              <w:top w:w="65" w:type="dxa"/>
              <w:bottom w:w="65" w:type="dxa"/>
              <w:left w:w="90" w:type="dxa"/>
              <w:right w:w="90" w:type="dxa"/>
            </w:tcMar>
          </w:tcPr>
          <w:p>
            <w:pPr>
              <w:spacing w:after="0" w:line="247" w:lineRule="auto"/>
            </w:pPr>
            <w:r>
              <w:rPr>
                <w:sz w:val="18"/>
              </w:rPr>
              <w:t>src / type / cat</w:t>
            </w:r>
          </w:p>
        </w:tc>
        <w:tc>
          <w:tcPr>
            <w:tcW w:type="dxa" w:w="3816"/>
            <w:vAlign w:val="top"/>
            <w:shd w:fill="FFFFFF"/>
            <w:tcMar>
              <w:top w:w="65" w:type="dxa"/>
              <w:bottom w:w="65" w:type="dxa"/>
              <w:left w:w="90" w:type="dxa"/>
              <w:right w:w="90" w:type="dxa"/>
            </w:tcMar>
          </w:tcPr>
          <w:p>
            <w:pPr>
              <w:spacing w:after="0" w:line="247" w:lineRule="auto"/>
            </w:pPr>
            <w:r>
              <w:rPr>
                <w:sz w:val="18"/>
              </w:rPr>
              <w:t>1000 / poca0 / start0</w:t>
            </w:r>
          </w:p>
        </w:tc>
        <w:tc>
          <w:tcPr>
            <w:tcW w:type="dxa" w:w="3816"/>
            <w:vAlign w:val="top"/>
            <w:shd w:fill="FFFFFF"/>
            <w:tcMar>
              <w:top w:w="65" w:type="dxa"/>
              <w:bottom w:w="65" w:type="dxa"/>
              <w:left w:w="90" w:type="dxa"/>
              <w:right w:w="90" w:type="dxa"/>
            </w:tcMar>
          </w:tcPr>
          <w:p>
            <w:pPr>
              <w:spacing w:after="0" w:line="247" w:lineRule="auto"/>
            </w:pPr>
            <w:r>
              <w:rPr>
                <w:sz w:val="18"/>
              </w:rPr>
              <w:t>1001 / pocb0 / compl0</w:t>
            </w:r>
          </w:p>
        </w:tc>
      </w:tr>
      <w:tr>
        <w:trPr>
          <w:cantSplit/>
        </w:trPr>
        <w:tc>
          <w:tcPr>
            <w:tcW w:type="dxa" w:w="2448"/>
            <w:vAlign w:val="top"/>
            <w:shd w:fill="F3F7FB"/>
            <w:tcMar>
              <w:top w:w="65" w:type="dxa"/>
              <w:bottom w:w="65" w:type="dxa"/>
              <w:left w:w="90" w:type="dxa"/>
              <w:right w:w="90" w:type="dxa"/>
            </w:tcMar>
          </w:tcPr>
          <w:p>
            <w:pPr>
              <w:spacing w:after="0" w:line="247" w:lineRule="auto"/>
            </w:pPr>
            <w:r>
              <w:rPr>
                <w:sz w:val="18"/>
              </w:rPr>
              <w:t>cost / qty</w:t>
            </w:r>
          </w:p>
        </w:tc>
        <w:tc>
          <w:tcPr>
            <w:tcW w:type="dxa" w:w="3816"/>
            <w:vAlign w:val="top"/>
            <w:shd w:fill="F3F7FB"/>
            <w:tcMar>
              <w:top w:w="65" w:type="dxa"/>
              <w:bottom w:w="65" w:type="dxa"/>
              <w:left w:w="90" w:type="dxa"/>
              <w:right w:w="90" w:type="dxa"/>
            </w:tcMar>
          </w:tcPr>
          <w:p>
            <w:pPr>
              <w:spacing w:after="0" w:line="247" w:lineRule="auto"/>
            </w:pPr>
            <w:r>
              <w:rPr>
                <w:sz w:val="18"/>
              </w:rPr>
              <w:t>Not present on sampled standard request</w:t>
            </w:r>
          </w:p>
        </w:tc>
        <w:tc>
          <w:tcPr>
            <w:tcW w:type="dxa" w:w="3816"/>
            <w:vAlign w:val="top"/>
            <w:shd w:fill="F3F7FB"/>
            <w:tcMar>
              <w:top w:w="65" w:type="dxa"/>
              <w:bottom w:w="65" w:type="dxa"/>
              <w:left w:w="90" w:type="dxa"/>
              <w:right w:w="90" w:type="dxa"/>
            </w:tcMar>
          </w:tcPr>
          <w:p>
            <w:pPr>
              <w:spacing w:after="0" w:line="247" w:lineRule="auto"/>
            </w:pPr>
            <w:r>
              <w:rPr>
                <w:sz w:val="18"/>
              </w:rPr>
              <w:t>22 / 1</w:t>
            </w:r>
          </w:p>
        </w:tc>
      </w:tr>
      <w:tr>
        <w:trPr>
          <w:cantSplit/>
        </w:trPr>
        <w:tc>
          <w:tcPr>
            <w:tcW w:type="dxa" w:w="2448"/>
            <w:vAlign w:val="top"/>
            <w:shd w:fill="FFFFFF"/>
            <w:tcMar>
              <w:top w:w="65" w:type="dxa"/>
              <w:bottom w:w="65" w:type="dxa"/>
              <w:left w:w="90" w:type="dxa"/>
              <w:right w:w="90" w:type="dxa"/>
            </w:tcMar>
          </w:tcPr>
          <w:p>
            <w:pPr>
              <w:spacing w:after="0" w:line="247" w:lineRule="auto"/>
            </w:pPr>
            <w:r>
              <w:rPr>
                <w:sz w:val="18"/>
              </w:rPr>
              <w:t>ord</w:t>
            </w:r>
          </w:p>
        </w:tc>
        <w:tc>
          <w:tcPr>
            <w:tcW w:type="dxa" w:w="3816"/>
            <w:vAlign w:val="top"/>
            <w:shd w:fill="FFFFFF"/>
            <w:tcMar>
              <w:top w:w="65" w:type="dxa"/>
              <w:bottom w:w="65" w:type="dxa"/>
              <w:left w:w="90" w:type="dxa"/>
              <w:right w:w="90" w:type="dxa"/>
            </w:tcMar>
          </w:tcPr>
          <w:p>
            <w:pPr>
              <w:spacing w:after="0" w:line="247" w:lineRule="auto"/>
            </w:pPr>
            <w:r>
              <w:rPr>
                <w:sz w:val="18"/>
              </w:rPr>
              <w:t>Google-generated cache-busting value</w:t>
            </w:r>
          </w:p>
        </w:tc>
        <w:tc>
          <w:tcPr>
            <w:tcW w:type="dxa" w:w="3816"/>
            <w:vAlign w:val="top"/>
            <w:shd w:fill="FFFFFF"/>
            <w:tcMar>
              <w:top w:w="65" w:type="dxa"/>
              <w:bottom w:w="65" w:type="dxa"/>
              <w:left w:w="90" w:type="dxa"/>
              <w:right w:w="90" w:type="dxa"/>
            </w:tcMar>
          </w:tcPr>
          <w:p>
            <w:pPr>
              <w:spacing w:after="0" w:line="247" w:lineRule="auto"/>
            </w:pPr>
            <w:r>
              <w:rPr>
                <w:sz w:val="18"/>
              </w:rPr>
              <w:t>POC_TRANSACTION_1001</w:t>
            </w:r>
          </w:p>
        </w:tc>
      </w:tr>
      <w:tr>
        <w:trPr>
          <w:cantSplit/>
        </w:trPr>
        <w:tc>
          <w:tcPr>
            <w:tcW w:type="dxa" w:w="2448"/>
            <w:vAlign w:val="top"/>
            <w:shd w:fill="F3F7FB"/>
            <w:tcMar>
              <w:top w:w="65" w:type="dxa"/>
              <w:bottom w:w="65" w:type="dxa"/>
              <w:left w:w="90" w:type="dxa"/>
              <w:right w:w="90" w:type="dxa"/>
            </w:tcMar>
          </w:tcPr>
          <w:p>
            <w:pPr>
              <w:spacing w:after="0" w:line="247" w:lineRule="auto"/>
            </w:pPr>
            <w:r>
              <w:rPr>
                <w:sz w:val="18"/>
              </w:rPr>
              <w:t>u1–u4</w:t>
            </w:r>
          </w:p>
        </w:tc>
        <w:tc>
          <w:tcPr>
            <w:tcW w:type="dxa" w:w="3816"/>
            <w:vAlign w:val="top"/>
            <w:shd w:fill="F3F7FB"/>
            <w:tcMar>
              <w:top w:w="65" w:type="dxa"/>
              <w:bottom w:w="65" w:type="dxa"/>
              <w:left w:w="90" w:type="dxa"/>
              <w:right w:w="90" w:type="dxa"/>
            </w:tcMar>
          </w:tcPr>
          <w:p>
            <w:pPr>
              <w:spacing w:after="0" w:line="247" w:lineRule="auto"/>
            </w:pPr>
            <w:r>
              <w:rPr>
                <w:sz w:val="18"/>
              </w:rPr>
              <w:t>Matched Account A values</w:t>
            </w:r>
          </w:p>
        </w:tc>
        <w:tc>
          <w:tcPr>
            <w:tcW w:type="dxa" w:w="3816"/>
            <w:vAlign w:val="top"/>
            <w:shd w:fill="F3F7FB"/>
            <w:tcMar>
              <w:top w:w="65" w:type="dxa"/>
              <w:bottom w:w="65" w:type="dxa"/>
              <w:left w:w="90" w:type="dxa"/>
              <w:right w:w="90" w:type="dxa"/>
            </w:tcMar>
          </w:tcPr>
          <w:p>
            <w:pPr>
              <w:spacing w:after="0" w:line="247" w:lineRule="auto"/>
            </w:pPr>
            <w:r>
              <w:rPr>
                <w:sz w:val="18"/>
              </w:rPr>
              <w:t>Matched Account B values</w:t>
            </w:r>
          </w:p>
        </w:tc>
      </w:tr>
    </w:tbl>
    <w:p>
      <w:pPr>
        <w:spacing w:after="20"/>
      </w:pPr>
      <w:r>
        <w:rPr>
          <w:b w:val="0"/>
        </w:rPr>
      </w:r>
    </w:p>
    <w:p>
      <w:r>
        <w:rPr>
          <w:b/>
        </w:rPr>
        <w:t>POC result: passed client-side technical routing. Dummy IDs and observed request status codes do not prove Campaign Manager account acceptance, backend activity validity, counted conversions, attribution or production readiness.</w:t>
      </w:r>
    </w:p>
    <w:p>
      <w:pPr>
        <w:pStyle w:val="Heading1"/>
        <w:pageBreakBefore/>
      </w:pPr>
      <w:r>
        <w:t>8 Acronym governance consideration</w:t>
      </w:r>
    </w:p>
    <w:p>
      <w:r>
        <w:rPr>
          <w:b w:val="0"/>
        </w:rPr>
        <w:t>The extension passed the technical POC. Acronym owns and maintains the Launch extension; Google does not own it. Final use depends on Citi/client governance for third-party Launch extensions. Adobe’s explicit recommendation is supporting evidence for evaluation, not client approval. [1]</w:t>
      </w:r>
    </w:p>
    <w:p>
      <w:r>
        <w:rPr>
          <w:b/>
        </w:rPr>
        <w:t>This makes Acronym a strong low-code technical option, subject to client/vendor governance approval.</w:t>
      </w:r>
    </w:p>
    <w:p>
      <w:pPr>
        <w:pStyle w:val="Heading1"/>
      </w:pPr>
      <w:r>
        <w:t>9 Why a custom framework was also evaluated</w:t>
      </w:r>
    </w:p>
    <w:p>
      <w:r>
        <w:rPr>
          <w:b w:val="0"/>
        </w:rPr>
        <w:t>A reusable framework was evaluated as a fallback if a third-party Launch extension is not approved. It uses Google’s gtag.js runtime and the documented config and event/send_to structure. [6] It removes the Acronym extension dependency while keeping one common implementation and small rule calls in Launch. This is a fallback architecture POC; it is not a replacement recommendation or production decision.</w:t>
      </w:r>
    </w:p>
    <w:p>
      <w:pPr>
        <w:pStyle w:val="Heading1"/>
      </w:pPr>
      <w:r>
        <w:t>10 Custom framework architecture</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520"/>
        <w:gridCol w:w="3780"/>
        <w:gridCol w:w="3780"/>
      </w:tblGrid>
      <w:tr>
        <w:trPr>
          <w:tblHeader w:val="true"/>
          <w:cantSplit/>
        </w:trPr>
        <w:tc>
          <w:tcPr>
            <w:tcW w:type="dxa" w:w="2520"/>
            <w:vAlign w:val="top"/>
            <w:shd w:fill="DCEAF5"/>
            <w:tcMar>
              <w:top w:w="65" w:type="dxa"/>
              <w:bottom w:w="65" w:type="dxa"/>
              <w:left w:w="90" w:type="dxa"/>
              <w:right w:w="90" w:type="dxa"/>
            </w:tcMar>
          </w:tcPr>
          <w:p>
            <w:pPr>
              <w:spacing w:after="0" w:line="247" w:lineRule="auto"/>
            </w:pPr>
            <w:r>
              <w:rPr>
                <w:b/>
                <w:color w:val="133F69"/>
                <w:sz w:val="18"/>
              </w:rPr>
              <w:t>Central definition</w:t>
            </w:r>
          </w:p>
        </w:tc>
        <w:tc>
          <w:tcPr>
            <w:tcW w:type="dxa" w:w="3780"/>
            <w:vAlign w:val="top"/>
            <w:shd w:fill="DCEAF5"/>
            <w:tcMar>
              <w:top w:w="65" w:type="dxa"/>
              <w:bottom w:w="65" w:type="dxa"/>
              <w:left w:w="90" w:type="dxa"/>
              <w:right w:w="90" w:type="dxa"/>
            </w:tcMar>
          </w:tcPr>
          <w:p>
            <w:pPr>
              <w:spacing w:after="0" w:line="247" w:lineRule="auto"/>
            </w:pPr>
            <w:r>
              <w:rPr>
                <w:b/>
                <w:color w:val="133F69"/>
                <w:sz w:val="18"/>
              </w:rPr>
              <w:t>TEST Account C</w:t>
            </w:r>
          </w:p>
        </w:tc>
        <w:tc>
          <w:tcPr>
            <w:tcW w:type="dxa" w:w="3780"/>
            <w:vAlign w:val="top"/>
            <w:shd w:fill="DCEAF5"/>
            <w:tcMar>
              <w:top w:w="65" w:type="dxa"/>
              <w:bottom w:w="65" w:type="dxa"/>
              <w:left w:w="90" w:type="dxa"/>
              <w:right w:w="90" w:type="dxa"/>
            </w:tcMar>
          </w:tcPr>
          <w:p>
            <w:pPr>
              <w:spacing w:after="0" w:line="247" w:lineRule="auto"/>
            </w:pPr>
            <w:r>
              <w:rPr>
                <w:b/>
                <w:color w:val="133F69"/>
                <w:sz w:val="18"/>
              </w:rPr>
              <w:t>TEST Account D</w:t>
            </w:r>
          </w:p>
        </w:tc>
      </w:tr>
      <w:tr>
        <w:trPr>
          <w:cantSplit/>
        </w:trPr>
        <w:tc>
          <w:tcPr>
            <w:tcW w:type="dxa" w:w="2520"/>
            <w:vAlign w:val="top"/>
            <w:shd w:fill="FFFFFF"/>
            <w:tcMar>
              <w:top w:w="65" w:type="dxa"/>
              <w:bottom w:w="65" w:type="dxa"/>
              <w:left w:w="90" w:type="dxa"/>
              <w:right w:w="90" w:type="dxa"/>
            </w:tcMar>
          </w:tcPr>
          <w:p>
            <w:pPr>
              <w:spacing w:after="0" w:line="247" w:lineRule="auto"/>
            </w:pPr>
            <w:r>
              <w:rPr>
                <w:sz w:val="18"/>
              </w:rPr>
              <w:t>Account mapping</w:t>
            </w:r>
          </w:p>
        </w:tc>
        <w:tc>
          <w:tcPr>
            <w:tcW w:type="dxa" w:w="3780"/>
            <w:vAlign w:val="top"/>
            <w:shd w:fill="FFFFFF"/>
            <w:tcMar>
              <w:top w:w="65" w:type="dxa"/>
              <w:bottom w:w="65" w:type="dxa"/>
              <w:left w:w="90" w:type="dxa"/>
              <w:right w:w="90" w:type="dxa"/>
            </w:tcMar>
          </w:tcPr>
          <w:p>
            <w:pPr>
              <w:spacing w:after="0" w:line="247" w:lineRule="auto"/>
            </w:pPr>
            <w:r>
              <w:rPr>
                <w:sz w:val="18"/>
              </w:rPr>
              <w:t>accountC → DC-1003</w:t>
            </w:r>
          </w:p>
        </w:tc>
        <w:tc>
          <w:tcPr>
            <w:tcW w:type="dxa" w:w="3780"/>
            <w:vAlign w:val="top"/>
            <w:shd w:fill="FFFFFF"/>
            <w:tcMar>
              <w:top w:w="65" w:type="dxa"/>
              <w:bottom w:w="65" w:type="dxa"/>
              <w:left w:w="90" w:type="dxa"/>
              <w:right w:w="90" w:type="dxa"/>
            </w:tcMar>
          </w:tcPr>
          <w:p>
            <w:pPr>
              <w:spacing w:after="0" w:line="247" w:lineRule="auto"/>
            </w:pPr>
            <w:r>
              <w:rPr>
                <w:sz w:val="18"/>
              </w:rPr>
              <w:t>accountD → DC-1004</w:t>
            </w:r>
          </w:p>
        </w:tc>
      </w:tr>
      <w:tr>
        <w:trPr>
          <w:cantSplit/>
        </w:trPr>
        <w:tc>
          <w:tcPr>
            <w:tcW w:type="dxa" w:w="2520"/>
            <w:vAlign w:val="top"/>
            <w:shd w:fill="F3F7FB"/>
            <w:tcMar>
              <w:top w:w="65" w:type="dxa"/>
              <w:bottom w:w="65" w:type="dxa"/>
              <w:left w:w="90" w:type="dxa"/>
              <w:right w:w="90" w:type="dxa"/>
            </w:tcMar>
          </w:tcPr>
          <w:p>
            <w:pPr>
              <w:spacing w:after="0" w:line="247" w:lineRule="auto"/>
            </w:pPr>
            <w:r>
              <w:rPr>
                <w:sz w:val="18"/>
              </w:rPr>
              <w:t>Activity mapping</w:t>
            </w:r>
          </w:p>
        </w:tc>
        <w:tc>
          <w:tcPr>
            <w:tcW w:type="dxa" w:w="3780"/>
            <w:vAlign w:val="top"/>
            <w:shd w:fill="F3F7FB"/>
            <w:tcMar>
              <w:top w:w="65" w:type="dxa"/>
              <w:bottom w:w="65" w:type="dxa"/>
              <w:left w:w="90" w:type="dxa"/>
              <w:right w:w="90" w:type="dxa"/>
            </w:tcMar>
          </w:tcPr>
          <w:p>
            <w:pPr>
              <w:spacing w:after="0" w:line="247" w:lineRule="auto"/>
            </w:pPr>
            <w:r>
              <w:rPr>
                <w:sz w:val="18"/>
              </w:rPr>
              <w:t>tagC → accountC</w:t>
            </w:r>
          </w:p>
        </w:tc>
        <w:tc>
          <w:tcPr>
            <w:tcW w:type="dxa" w:w="3780"/>
            <w:vAlign w:val="top"/>
            <w:shd w:fill="F3F7FB"/>
            <w:tcMar>
              <w:top w:w="65" w:type="dxa"/>
              <w:bottom w:w="65" w:type="dxa"/>
              <w:left w:w="90" w:type="dxa"/>
              <w:right w:w="90" w:type="dxa"/>
            </w:tcMar>
          </w:tcPr>
          <w:p>
            <w:pPr>
              <w:spacing w:after="0" w:line="247" w:lineRule="auto"/>
            </w:pPr>
            <w:r>
              <w:rPr>
                <w:sz w:val="18"/>
              </w:rPr>
              <w:t>tagD → accountD</w:t>
            </w:r>
          </w:p>
        </w:tc>
      </w:tr>
      <w:tr>
        <w:trPr>
          <w:cantSplit/>
        </w:trPr>
        <w:tc>
          <w:tcPr>
            <w:tcW w:type="dxa" w:w="2520"/>
            <w:vAlign w:val="top"/>
            <w:shd w:fill="FFFFFF"/>
            <w:tcMar>
              <w:top w:w="65" w:type="dxa"/>
              <w:bottom w:w="65" w:type="dxa"/>
              <w:left w:w="90" w:type="dxa"/>
              <w:right w:w="90" w:type="dxa"/>
            </w:tcMar>
          </w:tcPr>
          <w:p>
            <w:pPr>
              <w:spacing w:after="0" w:line="247" w:lineRule="auto"/>
            </w:pPr>
            <w:r>
              <w:rPr>
                <w:sz w:val="18"/>
              </w:rPr>
              <w:t>Event / group / activity</w:t>
            </w:r>
          </w:p>
        </w:tc>
        <w:tc>
          <w:tcPr>
            <w:tcW w:type="dxa" w:w="3780"/>
            <w:vAlign w:val="top"/>
            <w:shd w:fill="FFFFFF"/>
            <w:tcMar>
              <w:top w:w="65" w:type="dxa"/>
              <w:bottom w:w="65" w:type="dxa"/>
              <w:left w:w="90" w:type="dxa"/>
              <w:right w:w="90" w:type="dxa"/>
            </w:tcMar>
          </w:tcPr>
          <w:p>
            <w:pPr>
              <w:spacing w:after="0" w:line="247" w:lineRule="auto"/>
            </w:pPr>
            <w:r>
              <w:rPr>
                <w:sz w:val="18"/>
              </w:rPr>
              <w:t>conversion / pocc0 / start3</w:t>
            </w:r>
          </w:p>
        </w:tc>
        <w:tc>
          <w:tcPr>
            <w:tcW w:type="dxa" w:w="3780"/>
            <w:vAlign w:val="top"/>
            <w:shd w:fill="FFFFFF"/>
            <w:tcMar>
              <w:top w:w="65" w:type="dxa"/>
              <w:bottom w:w="65" w:type="dxa"/>
              <w:left w:w="90" w:type="dxa"/>
              <w:right w:w="90" w:type="dxa"/>
            </w:tcMar>
          </w:tcPr>
          <w:p>
            <w:pPr>
              <w:spacing w:after="0" w:line="247" w:lineRule="auto"/>
            </w:pPr>
            <w:r>
              <w:rPr>
                <w:sz w:val="18"/>
              </w:rPr>
              <w:t>purchase / pocd0 / compl4</w:t>
            </w:r>
          </w:p>
        </w:tc>
      </w:tr>
      <w:tr>
        <w:trPr>
          <w:cantSplit/>
        </w:trPr>
        <w:tc>
          <w:tcPr>
            <w:tcW w:type="dxa" w:w="2520"/>
            <w:vAlign w:val="top"/>
            <w:shd w:fill="F3F7FB"/>
            <w:tcMar>
              <w:top w:w="65" w:type="dxa"/>
              <w:bottom w:w="65" w:type="dxa"/>
              <w:left w:w="90" w:type="dxa"/>
              <w:right w:w="90" w:type="dxa"/>
            </w:tcMar>
          </w:tcPr>
          <w:p>
            <w:pPr>
              <w:spacing w:after="0" w:line="247" w:lineRule="auto"/>
            </w:pPr>
            <w:r>
              <w:rPr>
                <w:sz w:val="18"/>
              </w:rPr>
              <w:t>Counting method</w:t>
            </w:r>
          </w:p>
        </w:tc>
        <w:tc>
          <w:tcPr>
            <w:tcW w:type="dxa" w:w="3780"/>
            <w:vAlign w:val="top"/>
            <w:shd w:fill="F3F7FB"/>
            <w:tcMar>
              <w:top w:w="65" w:type="dxa"/>
              <w:bottom w:w="65" w:type="dxa"/>
              <w:left w:w="90" w:type="dxa"/>
              <w:right w:w="90" w:type="dxa"/>
            </w:tcMar>
          </w:tcPr>
          <w:p>
            <w:pPr>
              <w:spacing w:after="0" w:line="247" w:lineRule="auto"/>
            </w:pPr>
            <w:r>
              <w:rPr>
                <w:sz w:val="18"/>
              </w:rPr>
              <w:t>standard</w:t>
            </w:r>
          </w:p>
        </w:tc>
        <w:tc>
          <w:tcPr>
            <w:tcW w:type="dxa" w:w="3780"/>
            <w:vAlign w:val="top"/>
            <w:shd w:fill="F3F7FB"/>
            <w:tcMar>
              <w:top w:w="65" w:type="dxa"/>
              <w:bottom w:w="65" w:type="dxa"/>
              <w:left w:w="90" w:type="dxa"/>
              <w:right w:w="90" w:type="dxa"/>
            </w:tcMar>
          </w:tcPr>
          <w:p>
            <w:pPr>
              <w:spacing w:after="0" w:line="247" w:lineRule="auto"/>
            </w:pPr>
            <w:r>
              <w:rPr>
                <w:sz w:val="18"/>
              </w:rPr>
              <w:t>transactions</w:t>
            </w:r>
          </w:p>
        </w:tc>
      </w:tr>
    </w:tbl>
    <w:p>
      <w:pPr>
        <w:spacing w:after="20"/>
      </w:pPr>
      <w:r>
        <w:rPr>
          <w:b w:val="0"/>
        </w:rPr>
      </w:r>
    </w:p>
    <w:p>
      <w:r>
        <w:rPr>
          <w:b w:val="0"/>
        </w:rPr>
        <w:t>accounts contains Floodlight configuration definitions. activities contains activity definitions. window.CitiFloodlightState stores runtime state. Rules call one public function: window.CitiFloodlight.fire(activityName, parameters).</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952"/>
        <w:gridCol w:w="7128"/>
      </w:tblGrid>
      <w:tr>
        <w:trPr>
          <w:tblHeader w:val="true"/>
          <w:cantSplit/>
        </w:trPr>
        <w:tc>
          <w:tcPr>
            <w:tcW w:type="dxa" w:w="2952"/>
            <w:vAlign w:val="top"/>
            <w:shd w:fill="DCEAF5"/>
            <w:tcMar>
              <w:top w:w="65" w:type="dxa"/>
              <w:bottom w:w="65" w:type="dxa"/>
              <w:left w:w="90" w:type="dxa"/>
              <w:right w:w="90" w:type="dxa"/>
            </w:tcMar>
          </w:tcPr>
          <w:p>
            <w:pPr>
              <w:spacing w:after="0" w:line="247" w:lineRule="auto"/>
            </w:pPr>
            <w:r>
              <w:rPr>
                <w:b/>
                <w:color w:val="133F69"/>
                <w:sz w:val="18"/>
              </w:rPr>
              <w:t>Framework component</w:t>
            </w:r>
          </w:p>
        </w:tc>
        <w:tc>
          <w:tcPr>
            <w:tcW w:type="dxa" w:w="7128"/>
            <w:vAlign w:val="top"/>
            <w:shd w:fill="DCEAF5"/>
            <w:tcMar>
              <w:top w:w="65" w:type="dxa"/>
              <w:bottom w:w="65" w:type="dxa"/>
              <w:left w:w="90" w:type="dxa"/>
              <w:right w:w="90" w:type="dxa"/>
            </w:tcMar>
          </w:tcPr>
          <w:p>
            <w:pPr>
              <w:spacing w:after="0" w:line="247" w:lineRule="auto"/>
            </w:pPr>
            <w:r>
              <w:rPr>
                <w:b/>
                <w:color w:val="133F69"/>
                <w:sz w:val="18"/>
              </w:rPr>
              <w:t>Responsibility</w:t>
            </w:r>
          </w:p>
        </w:tc>
      </w:tr>
      <w:tr>
        <w:trPr>
          <w:cantSplit/>
        </w:trPr>
        <w:tc>
          <w:tcPr>
            <w:tcW w:type="dxa" w:w="2952"/>
            <w:vAlign w:val="top"/>
            <w:shd w:fill="FFFFFF"/>
            <w:tcMar>
              <w:top w:w="65" w:type="dxa"/>
              <w:bottom w:w="65" w:type="dxa"/>
              <w:left w:w="90" w:type="dxa"/>
              <w:right w:w="90" w:type="dxa"/>
            </w:tcMar>
          </w:tcPr>
          <w:p>
            <w:pPr>
              <w:spacing w:after="0" w:line="247" w:lineRule="auto"/>
            </w:pPr>
            <w:r>
              <w:rPr>
                <w:sz w:val="18"/>
              </w:rPr>
              <w:t>Account and activity lookup</w:t>
            </w:r>
          </w:p>
        </w:tc>
        <w:tc>
          <w:tcPr>
            <w:tcW w:type="dxa" w:w="7128"/>
            <w:vAlign w:val="top"/>
            <w:shd w:fill="FFFFFF"/>
            <w:tcMar>
              <w:top w:w="65" w:type="dxa"/>
              <w:bottom w:w="65" w:type="dxa"/>
              <w:left w:w="90" w:type="dxa"/>
              <w:right w:w="90" w:type="dxa"/>
            </w:tcMar>
          </w:tcPr>
          <w:p>
            <w:pPr>
              <w:spacing w:after="0" w:line="247" w:lineRule="auto"/>
            </w:pPr>
            <w:r>
              <w:rPr>
                <w:sz w:val="18"/>
              </w:rPr>
              <w:t>Find the centrally mapped activity and target account.</w:t>
            </w:r>
          </w:p>
        </w:tc>
      </w:tr>
      <w:tr>
        <w:trPr>
          <w:cantSplit/>
        </w:trPr>
        <w:tc>
          <w:tcPr>
            <w:tcW w:type="dxa" w:w="2952"/>
            <w:vAlign w:val="top"/>
            <w:shd w:fill="F3F7FB"/>
            <w:tcMar>
              <w:top w:w="65" w:type="dxa"/>
              <w:bottom w:w="65" w:type="dxa"/>
              <w:left w:w="90" w:type="dxa"/>
              <w:right w:w="90" w:type="dxa"/>
            </w:tcMar>
          </w:tcPr>
          <w:p>
            <w:pPr>
              <w:spacing w:after="0" w:line="247" w:lineRule="auto"/>
            </w:pPr>
            <w:r>
              <w:rPr>
                <w:sz w:val="18"/>
              </w:rPr>
              <w:t>Initialisation and configuration</w:t>
            </w:r>
          </w:p>
        </w:tc>
        <w:tc>
          <w:tcPr>
            <w:tcW w:type="dxa" w:w="7128"/>
            <w:vAlign w:val="top"/>
            <w:shd w:fill="F3F7FB"/>
            <w:tcMar>
              <w:top w:w="65" w:type="dxa"/>
              <w:bottom w:w="65" w:type="dxa"/>
              <w:left w:w="90" w:type="dxa"/>
              <w:right w:w="90" w:type="dxa"/>
            </w:tcMar>
          </w:tcPr>
          <w:p>
            <w:pPr>
              <w:spacing w:after="0" w:line="247" w:lineRule="auto"/>
            </w:pPr>
            <w:r>
              <w:rPr>
                <w:sz w:val="18"/>
              </w:rPr>
              <w:t>Reuse or load Google tag; configure each selected account once.</w:t>
            </w:r>
          </w:p>
        </w:tc>
      </w:tr>
      <w:tr>
        <w:trPr>
          <w:cantSplit/>
        </w:trPr>
        <w:tc>
          <w:tcPr>
            <w:tcW w:type="dxa" w:w="2952"/>
            <w:vAlign w:val="top"/>
            <w:shd w:fill="FFFFFF"/>
            <w:tcMar>
              <w:top w:w="65" w:type="dxa"/>
              <w:bottom w:w="65" w:type="dxa"/>
              <w:left w:w="90" w:type="dxa"/>
              <w:right w:w="90" w:type="dxa"/>
            </w:tcMar>
          </w:tcPr>
          <w:p>
            <w:pPr>
              <w:spacing w:after="0" w:line="247" w:lineRule="auto"/>
            </w:pPr>
            <w:r>
              <w:rPr>
                <w:sz w:val="18"/>
              </w:rPr>
              <w:t>Validation and routing</w:t>
            </w:r>
          </w:p>
        </w:tc>
        <w:tc>
          <w:tcPr>
            <w:tcW w:type="dxa" w:w="7128"/>
            <w:vAlign w:val="top"/>
            <w:shd w:fill="FFFFFF"/>
            <w:tcMar>
              <w:top w:w="65" w:type="dxa"/>
              <w:bottom w:w="65" w:type="dxa"/>
              <w:left w:w="90" w:type="dxa"/>
              <w:right w:w="90" w:type="dxa"/>
            </w:tcMar>
          </w:tcPr>
          <w:p>
            <w:pPr>
              <w:spacing w:after="0" w:line="247" w:lineRule="auto"/>
            </w:pPr>
            <w:r>
              <w:rPr>
                <w:sz w:val="18"/>
              </w:rPr>
              <w:t>Check activity configuration and warn for missing session/sales fields; build send_to from the mapping.</w:t>
            </w:r>
          </w:p>
        </w:tc>
      </w:tr>
      <w:tr>
        <w:trPr>
          <w:cantSplit/>
        </w:trPr>
        <w:tc>
          <w:tcPr>
            <w:tcW w:type="dxa" w:w="2952"/>
            <w:vAlign w:val="top"/>
            <w:shd w:fill="F3F7FB"/>
            <w:tcMar>
              <w:top w:w="65" w:type="dxa"/>
              <w:bottom w:w="65" w:type="dxa"/>
              <w:left w:w="90" w:type="dxa"/>
              <w:right w:w="90" w:type="dxa"/>
            </w:tcMar>
          </w:tcPr>
          <w:p>
            <w:pPr>
              <w:spacing w:after="0" w:line="247" w:lineRule="auto"/>
            </w:pPr>
            <w:r>
              <w:rPr>
                <w:sz w:val="18"/>
              </w:rPr>
              <w:t>Public rule call</w:t>
            </w:r>
          </w:p>
        </w:tc>
        <w:tc>
          <w:tcPr>
            <w:tcW w:type="dxa" w:w="7128"/>
            <w:vAlign w:val="top"/>
            <w:shd w:fill="F3F7FB"/>
            <w:tcMar>
              <w:top w:w="65" w:type="dxa"/>
              <w:bottom w:w="65" w:type="dxa"/>
              <w:left w:w="90" w:type="dxa"/>
              <w:right w:w="90" w:type="dxa"/>
            </w:tcMar>
          </w:tcPr>
          <w:p>
            <w:pPr>
              <w:spacing w:after="0" w:line="247" w:lineRule="auto"/>
            </w:pPr>
            <w:r>
              <w:rPr>
                <w:sz w:val="18"/>
              </w:rPr>
              <w:t>Copy parameters, protect send_to and issue gtag("event", ...).</w:t>
            </w:r>
          </w:p>
        </w:tc>
      </w:tr>
    </w:tbl>
    <w:p>
      <w:pPr>
        <w:spacing w:after="20"/>
      </w:pPr>
      <w:r>
        <w:rPr>
          <w:b w:val="0"/>
        </w:rPr>
      </w:r>
    </w:p>
    <w:p>
      <w:pPr>
        <w:pStyle w:val="Heading2"/>
      </w:pPr>
      <w:r>
        <w:t>Common event flow</w:t>
      </w:r>
    </w:p>
    <w:p>
      <w:pPr>
        <w:jc w:val="center"/>
      </w:pPr>
      <w:r>
        <w:rPr>
          <w:b w:val="0"/>
        </w:rPr>
      </w:r>
      <w:r>
        <w:drawing>
          <wp:inline xmlns:a="http://schemas.openxmlformats.org/drawingml/2006/main" xmlns:pic="http://schemas.openxmlformats.org/drawingml/2006/picture">
            <wp:extent cx="6217920" cy="1182281"/>
            <wp:docPr id="10" name="Picture 10"/>
            <wp:cNvGraphicFramePr>
              <a:graphicFrameLocks noChangeAspect="1"/>
            </wp:cNvGraphicFramePr>
            <a:graphic>
              <a:graphicData uri="http://schemas.openxmlformats.org/drawingml/2006/picture">
                <pic:pic>
                  <pic:nvPicPr>
                    <pic:cNvPr id="0" name="framework_flow.png"/>
                    <pic:cNvPicPr/>
                  </pic:nvPicPr>
                  <pic:blipFill>
                    <a:blip r:embed="rId18"/>
                    <a:stretch>
                      <a:fillRect/>
                    </a:stretch>
                  </pic:blipFill>
                  <pic:spPr>
                    <a:xfrm>
                      <a:off x="0" y="0"/>
                      <a:ext cx="6217920" cy="1182281"/>
                    </a:xfrm>
                    <a:prstGeom prst="rect"/>
                  </pic:spPr>
                </pic:pic>
              </a:graphicData>
            </a:graphic>
          </wp:inline>
        </w:drawing>
      </w:r>
    </w:p>
    <w:p>
      <w:r>
        <w:rPr>
          <w:b w:val="0"/>
        </w:rPr>
        <w:t>The complete source code is reproduced in Appendix A. It retains the original ES5 style and indentation; no technical correction or redesign was required.</w:t>
      </w:r>
    </w:p>
    <w:p>
      <w:pPr>
        <w:pStyle w:val="Heading1"/>
        <w:pageBreakBefore/>
      </w:pPr>
      <w:r>
        <w:t>11 Framework initialisation and duplicate protection</w:t>
      </w:r>
    </w:p>
    <w:p>
      <w:r>
        <w:rPr>
          <w:b w:val="0"/>
        </w:rPr>
        <w:t>The Base rule defines the framework before the event rules run. It does not request Google tag until an activity is fired. The framework checks the existing setup before adding initialisation commands or a script.</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3024"/>
        <w:gridCol w:w="7056"/>
      </w:tblGrid>
      <w:tr>
        <w:trPr>
          <w:tblHeader w:val="true"/>
          <w:cantSplit/>
        </w:trPr>
        <w:tc>
          <w:tcPr>
            <w:tcW w:type="dxa" w:w="3024"/>
            <w:vAlign w:val="top"/>
            <w:shd w:fill="DCEAF5"/>
            <w:tcMar>
              <w:top w:w="65" w:type="dxa"/>
              <w:bottom w:w="65" w:type="dxa"/>
              <w:left w:w="90" w:type="dxa"/>
              <w:right w:w="90" w:type="dxa"/>
            </w:tcMar>
          </w:tcPr>
          <w:p>
            <w:pPr>
              <w:spacing w:after="0" w:line="247" w:lineRule="auto"/>
            </w:pPr>
            <w:r>
              <w:rPr>
                <w:b/>
                <w:color w:val="133F69"/>
                <w:sz w:val="18"/>
              </w:rPr>
              <w:t>Check</w:t>
            </w:r>
          </w:p>
        </w:tc>
        <w:tc>
          <w:tcPr>
            <w:tcW w:type="dxa" w:w="7056"/>
            <w:vAlign w:val="top"/>
            <w:shd w:fill="DCEAF5"/>
            <w:tcMar>
              <w:top w:w="65" w:type="dxa"/>
              <w:bottom w:w="65" w:type="dxa"/>
              <w:left w:w="90" w:type="dxa"/>
              <w:right w:w="90" w:type="dxa"/>
            </w:tcMar>
          </w:tcPr>
          <w:p>
            <w:pPr>
              <w:spacing w:after="0" w:line="247" w:lineRule="auto"/>
            </w:pPr>
            <w:r>
              <w:rPr>
                <w:b/>
                <w:color w:val="133F69"/>
                <w:sz w:val="18"/>
              </w:rPr>
              <w:t>Effect in the tested implementation</w:t>
            </w:r>
          </w:p>
        </w:tc>
      </w:tr>
      <w:tr>
        <w:trPr>
          <w:cantSplit/>
        </w:trPr>
        <w:tc>
          <w:tcPr>
            <w:tcW w:type="dxa" w:w="3024"/>
            <w:vAlign w:val="top"/>
            <w:shd w:fill="FFFFFF"/>
            <w:tcMar>
              <w:top w:w="65" w:type="dxa"/>
              <w:bottom w:w="65" w:type="dxa"/>
              <w:left w:w="90" w:type="dxa"/>
              <w:right w:w="90" w:type="dxa"/>
            </w:tcMar>
          </w:tcPr>
          <w:p>
            <w:pPr>
              <w:spacing w:after="0" w:line="247" w:lineRule="auto"/>
            </w:pPr>
            <w:r>
              <w:rPr>
                <w:sz w:val="18"/>
              </w:rPr>
              <w:t>window.dataLayer</w:t>
            </w:r>
          </w:p>
        </w:tc>
        <w:tc>
          <w:tcPr>
            <w:tcW w:type="dxa" w:w="7056"/>
            <w:vAlign w:val="top"/>
            <w:shd w:fill="FFFFFF"/>
            <w:tcMar>
              <w:top w:w="65" w:type="dxa"/>
              <w:bottom w:w="65" w:type="dxa"/>
              <w:left w:w="90" w:type="dxa"/>
              <w:right w:w="90" w:type="dxa"/>
            </w:tcMar>
          </w:tcPr>
          <w:p>
            <w:pPr>
              <w:spacing w:after="0" w:line="247" w:lineRule="auto"/>
            </w:pPr>
            <w:r>
              <w:rPr>
                <w:sz w:val="18"/>
              </w:rPr>
              <w:t>Reuse the existing command queue, or create one if absent.</w:t>
            </w:r>
          </w:p>
        </w:tc>
      </w:tr>
      <w:tr>
        <w:trPr>
          <w:cantSplit/>
        </w:trPr>
        <w:tc>
          <w:tcPr>
            <w:tcW w:type="dxa" w:w="3024"/>
            <w:vAlign w:val="top"/>
            <w:shd w:fill="F3F7FB"/>
            <w:tcMar>
              <w:top w:w="65" w:type="dxa"/>
              <w:bottom w:w="65" w:type="dxa"/>
              <w:left w:w="90" w:type="dxa"/>
              <w:right w:w="90" w:type="dxa"/>
            </w:tcMar>
          </w:tcPr>
          <w:p>
            <w:pPr>
              <w:spacing w:after="0" w:line="247" w:lineRule="auto"/>
            </w:pPr>
            <w:r>
              <w:rPr>
                <w:sz w:val="18"/>
              </w:rPr>
              <w:t>window.gtag</w:t>
            </w:r>
          </w:p>
        </w:tc>
        <w:tc>
          <w:tcPr>
            <w:tcW w:type="dxa" w:w="7056"/>
            <w:vAlign w:val="top"/>
            <w:shd w:fill="F3F7FB"/>
            <w:tcMar>
              <w:top w:w="65" w:type="dxa"/>
              <w:bottom w:w="65" w:type="dxa"/>
              <w:left w:w="90" w:type="dxa"/>
              <w:right w:w="90" w:type="dxa"/>
            </w:tcMar>
          </w:tcPr>
          <w:p>
            <w:pPr>
              <w:spacing w:after="0" w:line="247" w:lineRule="auto"/>
            </w:pPr>
            <w:r>
              <w:rPr>
                <w:sz w:val="18"/>
              </w:rPr>
              <w:t>Reuse an existing function; create a queueing function only when no function exists.</w:t>
            </w:r>
          </w:p>
        </w:tc>
      </w:tr>
      <w:tr>
        <w:trPr>
          <w:cantSplit/>
        </w:trPr>
        <w:tc>
          <w:tcPr>
            <w:tcW w:type="dxa" w:w="3024"/>
            <w:vAlign w:val="top"/>
            <w:shd w:fill="FFFFFF"/>
            <w:tcMar>
              <w:top w:w="65" w:type="dxa"/>
              <w:bottom w:w="65" w:type="dxa"/>
              <w:left w:w="90" w:type="dxa"/>
              <w:right w:w="90" w:type="dxa"/>
            </w:tcMar>
          </w:tcPr>
          <w:p>
            <w:pPr>
              <w:spacing w:after="0" w:line="247" w:lineRule="auto"/>
            </w:pPr>
            <w:r>
              <w:rPr>
                <w:sz w:val="18"/>
              </w:rPr>
              <w:t>Queued js command</w:t>
            </w:r>
          </w:p>
        </w:tc>
        <w:tc>
          <w:tcPr>
            <w:tcW w:type="dxa" w:w="7056"/>
            <w:vAlign w:val="top"/>
            <w:shd w:fill="FFFFFF"/>
            <w:tcMar>
              <w:top w:w="65" w:type="dxa"/>
              <w:bottom w:w="65" w:type="dxa"/>
              <w:left w:w="90" w:type="dxa"/>
              <w:right w:w="90" w:type="dxa"/>
            </w:tcMar>
          </w:tcPr>
          <w:p>
            <w:pPr>
              <w:spacing w:after="0" w:line="247" w:lineRule="auto"/>
            </w:pPr>
            <w:r>
              <w:rPr>
                <w:sz w:val="18"/>
              </w:rPr>
              <w:t>Avoid adding another js initialisation command when one is already present.</w:t>
            </w:r>
          </w:p>
        </w:tc>
      </w:tr>
      <w:tr>
        <w:trPr>
          <w:cantSplit/>
        </w:trPr>
        <w:tc>
          <w:tcPr>
            <w:tcW w:type="dxa" w:w="3024"/>
            <w:vAlign w:val="top"/>
            <w:shd w:fill="F3F7FB"/>
            <w:tcMar>
              <w:top w:w="65" w:type="dxa"/>
              <w:bottom w:w="65" w:type="dxa"/>
              <w:left w:w="90" w:type="dxa"/>
              <w:right w:w="90" w:type="dxa"/>
            </w:tcMar>
          </w:tcPr>
          <w:p>
            <w:pPr>
              <w:spacing w:after="0" w:line="247" w:lineRule="auto"/>
            </w:pPr>
            <w:r>
              <w:rPr>
                <w:sz w:val="18"/>
              </w:rPr>
              <w:t>Compatible gtag.js script</w:t>
            </w:r>
          </w:p>
        </w:tc>
        <w:tc>
          <w:tcPr>
            <w:tcW w:type="dxa" w:w="7056"/>
            <w:vAlign w:val="top"/>
            <w:shd w:fill="F3F7FB"/>
            <w:tcMar>
              <w:top w:w="65" w:type="dxa"/>
              <w:bottom w:w="65" w:type="dxa"/>
              <w:left w:w="90" w:type="dxa"/>
              <w:right w:w="90" w:type="dxa"/>
            </w:tcMar>
          </w:tcPr>
          <w:p>
            <w:pPr>
              <w:spacing w:after="0" w:line="247" w:lineRule="auto"/>
            </w:pPr>
            <w:r>
              <w:rPr>
                <w:sz w:val="18"/>
              </w:rPr>
              <w:t>Reuse a script using the default dataLayer, or explicitly l=dataLayer.</w:t>
            </w:r>
          </w:p>
        </w:tc>
      </w:tr>
      <w:tr>
        <w:trPr>
          <w:cantSplit/>
        </w:trPr>
        <w:tc>
          <w:tcPr>
            <w:tcW w:type="dxa" w:w="3024"/>
            <w:vAlign w:val="top"/>
            <w:shd w:fill="FFFFFF"/>
            <w:tcMar>
              <w:top w:w="65" w:type="dxa"/>
              <w:bottom w:w="65" w:type="dxa"/>
              <w:left w:w="90" w:type="dxa"/>
              <w:right w:w="90" w:type="dxa"/>
            </w:tcMar>
          </w:tcPr>
          <w:p>
            <w:pPr>
              <w:spacing w:after="0" w:line="247" w:lineRule="auto"/>
            </w:pPr>
            <w:r>
              <w:rPr>
                <w:sz w:val="18"/>
              </w:rPr>
              <w:t>configuredAccounts and queued config</w:t>
            </w:r>
          </w:p>
        </w:tc>
        <w:tc>
          <w:tcPr>
            <w:tcW w:type="dxa" w:w="7056"/>
            <w:vAlign w:val="top"/>
            <w:shd w:fill="FFFFFF"/>
            <w:tcMar>
              <w:top w:w="65" w:type="dxa"/>
              <w:bottom w:w="65" w:type="dxa"/>
              <w:left w:w="90" w:type="dxa"/>
              <w:right w:w="90" w:type="dxa"/>
            </w:tcMar>
          </w:tcPr>
          <w:p>
            <w:pPr>
              <w:spacing w:after="0" w:line="247" w:lineRule="auto"/>
            </w:pPr>
            <w:r>
              <w:rPr>
                <w:sz w:val="18"/>
              </w:rPr>
              <w:t>Configure a selected DC account at most once per document by this framework.</w:t>
            </w:r>
          </w:p>
        </w:tc>
      </w:tr>
      <w:tr>
        <w:trPr>
          <w:cantSplit/>
        </w:trPr>
        <w:tc>
          <w:tcPr>
            <w:tcW w:type="dxa" w:w="3024"/>
            <w:vAlign w:val="top"/>
            <w:shd w:fill="F3F7FB"/>
            <w:tcMar>
              <w:top w:w="65" w:type="dxa"/>
              <w:bottom w:w="65" w:type="dxa"/>
              <w:left w:w="90" w:type="dxa"/>
              <w:right w:w="90" w:type="dxa"/>
            </w:tcMar>
          </w:tcPr>
          <w:p>
            <w:pPr>
              <w:spacing w:after="0" w:line="247" w:lineRule="auto"/>
            </w:pPr>
            <w:r>
              <w:rPr>
                <w:sz w:val="18"/>
              </w:rPr>
              <w:t>window.CitiFloodlightState</w:t>
            </w:r>
          </w:p>
        </w:tc>
        <w:tc>
          <w:tcPr>
            <w:tcW w:type="dxa" w:w="7056"/>
            <w:vAlign w:val="top"/>
            <w:shd w:fill="F3F7FB"/>
            <w:tcMar>
              <w:top w:w="65" w:type="dxa"/>
              <w:bottom w:w="65" w:type="dxa"/>
              <w:left w:w="90" w:type="dxa"/>
              <w:right w:w="90" w:type="dxa"/>
            </w:tcMar>
          </w:tcPr>
          <w:p>
            <w:pPr>
              <w:spacing w:after="0" w:line="247" w:lineRule="auto"/>
            </w:pPr>
            <w:r>
              <w:rPr>
                <w:sz w:val="18"/>
              </w:rPr>
              <w:t>Retain initialisation flags and account state when the same framework is evaluated again.</w:t>
            </w:r>
          </w:p>
        </w:tc>
      </w:tr>
    </w:tbl>
    <w:p>
      <w:pPr>
        <w:spacing w:after="20"/>
      </w:pPr>
      <w:r>
        <w:rPr>
          <w:b w:val="0"/>
        </w:rPr>
      </w:r>
    </w:p>
    <w:p>
      <w:r>
        <w:rPr>
          <w:b/>
        </w:rPr>
        <w:t>Initialisation is protected from unnecessary duplication. Business events are not deduplicated. Two deliberate calls to CitiFloodlight.fire("tagC", ...) produced two queued events in the POC.</w:t>
      </w:r>
    </w:p>
    <w:p>
      <w:r>
        <w:rPr>
          <w:b w:val="0"/>
        </w:rPr>
        <w:t>A caller-supplied send_to is removed from the copied parameters and replaced by the centrally constructed route. Unknown activities/accounts and the tested invalid configuration cases returned no event and logged useful errors.</w:t>
      </w:r>
    </w:p>
    <w:p>
      <w:r>
        <w:rPr>
          <w:b w:val="0"/>
        </w:rPr>
        <w:t>The validation is limited: missing session_id, transaction_id or quantity produces warnings rather than blocking an event. The ID check verifies a DC- prefix, not account existence. Runtime flags are wrapper bookkeeping; when an existing script is reused, scriptLoaded=false does not establish a Google load failure. Automatic retry after script error is not implemented.</w:t>
      </w:r>
    </w:p>
    <w:p>
      <w:pPr>
        <w:pStyle w:val="Heading1"/>
      </w:pPr>
      <w:r>
        <w:t>12 SPA behaviour</w:t>
      </w:r>
    </w:p>
    <w:p>
      <w:r>
        <w:rPr>
          <w:b w:val="0"/>
        </w:rPr>
        <w:t>An SPA route change normally retains the same browser window and document. window.CitiFloodlightState therefore remains available across those client-side changes. Later interactions can call CitiFloodlight.fire() without unnecessarily recreating configuration. A full browser reload naturally creates fresh page state.</w:t>
      </w:r>
    </w:p>
    <w:p>
      <w:r>
        <w:rPr>
          <w:b w:val="0"/>
        </w:rPr>
        <w:t>Launch or application rules must still decide when a conversion occurs and call the framework. The framework does not automatically detect every SPA conversion. Re-evaluation on the same document preserved the state and account objects in the POC; real Citi SPA journey coverage remains to be validated.</w:t>
      </w:r>
    </w:p>
    <w:p>
      <w:pPr>
        <w:pStyle w:val="Heading1"/>
        <w:pageBreakBefore/>
      </w:pPr>
      <w:r>
        <w:t>13 Custom framework POC</w:t>
      </w:r>
    </w:p>
    <w:p>
      <w:r>
        <w:rPr>
          <w:b w:val="0"/>
        </w:rPr>
        <w:t>The framework POC was added beside the Acronym POC in Citi Analysis, library 1st Push, Development only. Its TEST IDs DC-1003 and DC-1004 are separate from Acronym TEST IDs DC-1000 and DC-1001.</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5184"/>
        <w:gridCol w:w="4896"/>
      </w:tblGrid>
      <w:tr>
        <w:trPr>
          <w:tblHeader w:val="true"/>
          <w:cantSplit/>
        </w:trPr>
        <w:tc>
          <w:tcPr>
            <w:tcW w:type="dxa" w:w="5184"/>
            <w:vAlign w:val="top"/>
            <w:shd w:fill="DCEAF5"/>
            <w:tcMar>
              <w:top w:w="65" w:type="dxa"/>
              <w:bottom w:w="65" w:type="dxa"/>
              <w:left w:w="90" w:type="dxa"/>
              <w:right w:w="90" w:type="dxa"/>
            </w:tcMar>
          </w:tcPr>
          <w:p>
            <w:pPr>
              <w:spacing w:after="0" w:line="247" w:lineRule="auto"/>
            </w:pPr>
            <w:r>
              <w:rPr>
                <w:b/>
                <w:color w:val="133F69"/>
                <w:sz w:val="18"/>
              </w:rPr>
              <w:t>New resource</w:t>
            </w:r>
          </w:p>
        </w:tc>
        <w:tc>
          <w:tcPr>
            <w:tcW w:type="dxa" w:w="4896"/>
            <w:vAlign w:val="top"/>
            <w:shd w:fill="DCEAF5"/>
            <w:tcMar>
              <w:top w:w="65" w:type="dxa"/>
              <w:bottom w:w="65" w:type="dxa"/>
              <w:left w:w="90" w:type="dxa"/>
              <w:right w:w="90" w:type="dxa"/>
            </w:tcMar>
          </w:tcPr>
          <w:p>
            <w:pPr>
              <w:spacing w:after="0" w:line="247" w:lineRule="auto"/>
            </w:pPr>
            <w:r>
              <w:rPr>
                <w:b/>
                <w:color w:val="133F69"/>
                <w:sz w:val="18"/>
              </w:rPr>
              <w:t>Event or setting</w:t>
            </w:r>
          </w:p>
        </w:tc>
      </w:tr>
      <w:tr>
        <w:trPr>
          <w:cantSplit/>
        </w:trPr>
        <w:tc>
          <w:tcPr>
            <w:tcW w:type="dxa" w:w="5184"/>
            <w:vAlign w:val="top"/>
            <w:shd w:fill="FFFFFF"/>
            <w:tcMar>
              <w:top w:w="65" w:type="dxa"/>
              <w:bottom w:w="65" w:type="dxa"/>
              <w:left w:w="90" w:type="dxa"/>
              <w:right w:w="90" w:type="dxa"/>
            </w:tcMar>
          </w:tcPr>
          <w:p>
            <w:pPr>
              <w:spacing w:after="0" w:line="247" w:lineRule="auto"/>
            </w:pPr>
            <w:r>
              <w:rPr>
                <w:sz w:val="18"/>
              </w:rPr>
              <w:t>POC - Floodlight Framework - Base</w:t>
            </w:r>
          </w:p>
        </w:tc>
        <w:tc>
          <w:tcPr>
            <w:tcW w:type="dxa" w:w="4896"/>
            <w:vAlign w:val="top"/>
            <w:shd w:fill="FFFFFF"/>
            <w:tcMar>
              <w:top w:w="65" w:type="dxa"/>
              <w:bottom w:w="65" w:type="dxa"/>
              <w:left w:w="90" w:type="dxa"/>
              <w:right w:w="90" w:type="dxa"/>
            </w:tcMar>
          </w:tcPr>
          <w:p>
            <w:pPr>
              <w:spacing w:after="0" w:line="247" w:lineRule="auto"/>
            </w:pPr>
            <w:r>
              <w:rPr>
                <w:sz w:val="18"/>
              </w:rPr>
              <w:t>Core Library Loaded (Page Top), order 1. Defines the common framework.</w:t>
            </w:r>
          </w:p>
        </w:tc>
      </w:tr>
      <w:tr>
        <w:trPr>
          <w:cantSplit/>
        </w:trPr>
        <w:tc>
          <w:tcPr>
            <w:tcW w:type="dxa" w:w="5184"/>
            <w:vAlign w:val="top"/>
            <w:shd w:fill="F3F7FB"/>
            <w:tcMar>
              <w:top w:w="65" w:type="dxa"/>
              <w:bottom w:w="65" w:type="dxa"/>
              <w:left w:w="90" w:type="dxa"/>
              <w:right w:w="90" w:type="dxa"/>
            </w:tcMar>
          </w:tcPr>
          <w:p>
            <w:pPr>
              <w:spacing w:after="0" w:line="247" w:lineRule="auto"/>
            </w:pPr>
            <w:r>
              <w:rPr>
                <w:sz w:val="18"/>
              </w:rPr>
              <w:t>POC - Floodlight Framework - Account C</w:t>
            </w:r>
          </w:p>
        </w:tc>
        <w:tc>
          <w:tcPr>
            <w:tcW w:type="dxa" w:w="4896"/>
            <w:vAlign w:val="top"/>
            <w:shd w:fill="F3F7FB"/>
            <w:tcMar>
              <w:top w:w="65" w:type="dxa"/>
              <w:bottom w:w="65" w:type="dxa"/>
              <w:left w:w="90" w:type="dxa"/>
              <w:right w:w="90" w:type="dxa"/>
            </w:tcMar>
          </w:tcPr>
          <w:p>
            <w:pPr>
              <w:spacing w:after="0" w:line="247" w:lineRule="auto"/>
            </w:pPr>
            <w:r>
              <w:rPr>
                <w:sz w:val="18"/>
              </w:rPr>
              <w:t>Core Window Loaded, order 70. Calls tagC.</w:t>
            </w:r>
          </w:p>
        </w:tc>
      </w:tr>
      <w:tr>
        <w:trPr>
          <w:cantSplit/>
        </w:trPr>
        <w:tc>
          <w:tcPr>
            <w:tcW w:type="dxa" w:w="5184"/>
            <w:vAlign w:val="top"/>
            <w:shd w:fill="FFFFFF"/>
            <w:tcMar>
              <w:top w:w="65" w:type="dxa"/>
              <w:bottom w:w="65" w:type="dxa"/>
              <w:left w:w="90" w:type="dxa"/>
              <w:right w:w="90" w:type="dxa"/>
            </w:tcMar>
          </w:tcPr>
          <w:p>
            <w:pPr>
              <w:spacing w:after="0" w:line="247" w:lineRule="auto"/>
            </w:pPr>
            <w:r>
              <w:rPr>
                <w:sz w:val="18"/>
              </w:rPr>
              <w:t>POC - Floodlight Framework - Account D</w:t>
            </w:r>
          </w:p>
        </w:tc>
        <w:tc>
          <w:tcPr>
            <w:tcW w:type="dxa" w:w="4896"/>
            <w:vAlign w:val="top"/>
            <w:shd w:fill="FFFFFF"/>
            <w:tcMar>
              <w:top w:w="65" w:type="dxa"/>
              <w:bottom w:w="65" w:type="dxa"/>
              <w:left w:w="90" w:type="dxa"/>
              <w:right w:w="90" w:type="dxa"/>
            </w:tcMar>
          </w:tcPr>
          <w:p>
            <w:pPr>
              <w:spacing w:after="0" w:line="247" w:lineRule="auto"/>
            </w:pPr>
            <w:r>
              <w:rPr>
                <w:sz w:val="18"/>
              </w:rPr>
              <w:t>Core Window Loaded, order 71. Calls tagD.</w:t>
            </w:r>
          </w:p>
        </w:tc>
      </w:tr>
      <w:tr>
        <w:trPr>
          <w:cantSplit/>
        </w:trPr>
        <w:tc>
          <w:tcPr>
            <w:tcW w:type="dxa" w:w="5184"/>
            <w:vAlign w:val="top"/>
            <w:shd w:fill="F3F7FB"/>
            <w:tcMar>
              <w:top w:w="65" w:type="dxa"/>
              <w:bottom w:w="65" w:type="dxa"/>
              <w:left w:w="90" w:type="dxa"/>
              <w:right w:w="90" w:type="dxa"/>
            </w:tcMar>
          </w:tcPr>
          <w:p>
            <w:pPr>
              <w:spacing w:after="0" w:line="247" w:lineRule="auto"/>
            </w:pPr>
            <w:r>
              <w:rPr>
                <w:sz w:val="18"/>
              </w:rPr>
              <w:t>POC - Floodlight Framework - Common Marker</w:t>
            </w:r>
          </w:p>
        </w:tc>
        <w:tc>
          <w:tcPr>
            <w:tcW w:type="dxa" w:w="4896"/>
            <w:vAlign w:val="top"/>
            <w:shd w:fill="F3F7FB"/>
            <w:tcMar>
              <w:top w:w="65" w:type="dxa"/>
              <w:bottom w:w="65" w:type="dxa"/>
              <w:left w:w="90" w:type="dxa"/>
              <w:right w:w="90" w:type="dxa"/>
            </w:tcMar>
          </w:tcPr>
          <w:p>
            <w:pPr>
              <w:spacing w:after="0" w:line="247" w:lineRule="auto"/>
            </w:pPr>
            <w:r>
              <w:rPr>
                <w:sz w:val="18"/>
              </w:rPr>
              <w:t>Core Constant Data Element: CITI_FRAMEWORK.</w:t>
            </w:r>
          </w:p>
        </w:tc>
      </w:tr>
    </w:tbl>
    <w:p>
      <w:pPr>
        <w:spacing w:after="20"/>
      </w:pPr>
      <w:r>
        <w:rPr>
          <w:b w:val="0"/>
        </w:rPr>
      </w:r>
    </w:p>
    <w:p>
      <w:pPr>
        <w:keepNext/>
        <w:spacing w:after="0"/>
        <w:jc w:val="center"/>
      </w:pPr>
      <w:r>
        <w:drawing>
          <wp:inline xmlns:a="http://schemas.openxmlformats.org/drawingml/2006/main" xmlns:pic="http://schemas.openxmlformats.org/drawingml/2006/picture">
            <wp:extent cx="5623560" cy="4122933"/>
            <wp:docPr id="11" name="Picture 11"/>
            <wp:cNvGraphicFramePr>
              <a:graphicFrameLocks noChangeAspect="1"/>
            </wp:cNvGraphicFramePr>
            <a:graphic>
              <a:graphicData uri="http://schemas.openxmlformats.org/drawingml/2006/picture">
                <pic:pic>
                  <pic:nvPicPr>
                    <pic:cNvPr id="0" name="crop-13.png"/>
                    <pic:cNvPicPr/>
                  </pic:nvPicPr>
                  <pic:blipFill>
                    <a:blip r:embed="rId19"/>
                    <a:stretch>
                      <a:fillRect/>
                    </a:stretch>
                  </pic:blipFill>
                  <pic:spPr>
                    <a:xfrm>
                      <a:off x="0" y="0"/>
                      <a:ext cx="5623560" cy="4122933"/>
                    </a:xfrm>
                    <a:prstGeom prst="rect"/>
                  </pic:spPr>
                </pic:pic>
              </a:graphicData>
            </a:graphic>
          </wp:inline>
        </w:drawing>
      </w:r>
    </w:p>
    <w:p>
      <w:pPr>
        <w:pStyle w:val="Caption"/>
        <w:jc w:val="center"/>
      </w:pPr>
      <w:r>
        <w:rPr>
          <w:b w:val="0"/>
          <w:i/>
          <w:color w:val="607286"/>
          <w:sz w:val="16"/>
        </w:rPr>
        <w:t>Figure 10. Framework Base rule defines the reusable implementation at Library Loaded (Page Top).</w:t>
      </w:r>
    </w:p>
    <w:p>
      <w:r>
        <w:rPr>
          <w:b w:val="0"/>
        </w:rPr>
        <w:t>The retained baseline/delta verification confirmed four additive resources and preservation of all 14 pre-existing library resource revisions. The Acronym accounts, rules, Data Element and extension revision were preserved. The Development build was BLfab309baade64c52956290a52ef3bca6.</w:t>
      </w:r>
    </w:p>
    <w:p>
      <w:pPr>
        <w:pStyle w:val="Heading2"/>
        <w:pageBreakBefore/>
      </w:pPr>
      <w:r>
        <w:t>Framework TEST Account C rule</w:t>
      </w:r>
    </w:p>
    <w:p>
      <w:r>
        <w:rPr>
          <w:b w:val="0"/>
        </w:rPr>
        <w:t>POC - Floodlight Framework - Account C calls tagC. The central mapping selects TEST DC-1003 and DC-1003/pocc0/start3+standard. The Data Element supplies u3=CITI_FRAMEWORK.</w:t>
      </w:r>
    </w:p>
    <w:p>
      <w:pPr>
        <w:keepNext/>
        <w:spacing w:after="0"/>
        <w:jc w:val="center"/>
      </w:pPr>
      <w:r>
        <w:drawing>
          <wp:inline xmlns:a="http://schemas.openxmlformats.org/drawingml/2006/main" xmlns:pic="http://schemas.openxmlformats.org/drawingml/2006/picture">
            <wp:extent cx="5669280" cy="4183380"/>
            <wp:docPr id="12" name="Picture 12"/>
            <wp:cNvGraphicFramePr>
              <a:graphicFrameLocks noChangeAspect="1"/>
            </wp:cNvGraphicFramePr>
            <a:graphic>
              <a:graphicData uri="http://schemas.openxmlformats.org/drawingml/2006/picture">
                <pic:pic>
                  <pic:nvPicPr>
                    <pic:cNvPr id="0" name="crop-14.png"/>
                    <pic:cNvPicPr/>
                  </pic:nvPicPr>
                  <pic:blipFill>
                    <a:blip r:embed="rId20"/>
                    <a:stretch>
                      <a:fillRect/>
                    </a:stretch>
                  </pic:blipFill>
                  <pic:spPr>
                    <a:xfrm>
                      <a:off x="0" y="0"/>
                      <a:ext cx="5669280" cy="4183380"/>
                    </a:xfrm>
                    <a:prstGeom prst="rect"/>
                  </pic:spPr>
                </pic:pic>
              </a:graphicData>
            </a:graphic>
          </wp:inline>
        </w:drawing>
      </w:r>
    </w:p>
    <w:p>
      <w:pPr>
        <w:pStyle w:val="Caption"/>
        <w:jc w:val="center"/>
      </w:pPr>
      <w:r>
        <w:rPr>
          <w:b w:val="0"/>
          <w:i/>
          <w:color w:val="607286"/>
          <w:sz w:val="16"/>
        </w:rPr>
        <w:t>Figure 11. Framework Account C uses Window Loaded and one Custom Code action.</w:t>
      </w:r>
    </w:p>
    <w:p>
      <w:pPr>
        <w:keepNext/>
        <w:spacing w:after="0"/>
        <w:jc w:val="center"/>
      </w:pPr>
      <w:r>
        <w:drawing>
          <wp:inline xmlns:a="http://schemas.openxmlformats.org/drawingml/2006/main" xmlns:pic="http://schemas.openxmlformats.org/drawingml/2006/picture">
            <wp:extent cx="5760720" cy="1783080"/>
            <wp:docPr id="13" name="Picture 13"/>
            <wp:cNvGraphicFramePr>
              <a:graphicFrameLocks noChangeAspect="1"/>
            </wp:cNvGraphicFramePr>
            <a:graphic>
              <a:graphicData uri="http://schemas.openxmlformats.org/drawingml/2006/picture">
                <pic:pic>
                  <pic:nvPicPr>
                    <pic:cNvPr id="0" name="crop-15.png"/>
                    <pic:cNvPicPr/>
                  </pic:nvPicPr>
                  <pic:blipFill>
                    <a:blip r:embed="rId21"/>
                    <a:stretch>
                      <a:fillRect/>
                    </a:stretch>
                  </pic:blipFill>
                  <pic:spPr>
                    <a:xfrm>
                      <a:off x="0" y="0"/>
                      <a:ext cx="5760720" cy="1783080"/>
                    </a:xfrm>
                    <a:prstGeom prst="rect"/>
                  </pic:spPr>
                </pic:pic>
              </a:graphicData>
            </a:graphic>
          </wp:inline>
        </w:drawing>
      </w:r>
    </w:p>
    <w:p>
      <w:pPr>
        <w:pStyle w:val="Caption"/>
        <w:jc w:val="center"/>
      </w:pPr>
      <w:r>
        <w:rPr>
          <w:b w:val="0"/>
          <w:i/>
          <w:color w:val="607286"/>
          <w:sz w:val="16"/>
        </w:rPr>
        <w:t>Figure 12. Account C action contains the small CitiFloodlight.fire("tagC", ...) call and TEST values.</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448"/>
        <w:gridCol w:w="7632"/>
      </w:tblGrid>
      <w:tr>
        <w:trPr>
          <w:tblHeader w:val="true"/>
          <w:cantSplit/>
        </w:trPr>
        <w:tc>
          <w:tcPr>
            <w:tcW w:type="dxa" w:w="2448"/>
            <w:vAlign w:val="top"/>
            <w:shd w:fill="DCEAF5"/>
            <w:tcMar>
              <w:top w:w="65" w:type="dxa"/>
              <w:bottom w:w="65" w:type="dxa"/>
              <w:left w:w="90" w:type="dxa"/>
              <w:right w:w="90" w:type="dxa"/>
            </w:tcMar>
          </w:tcPr>
          <w:p>
            <w:pPr>
              <w:spacing w:after="0" w:line="247" w:lineRule="auto"/>
            </w:pPr>
            <w:r>
              <w:rPr>
                <w:b/>
                <w:color w:val="133F69"/>
                <w:sz w:val="18"/>
              </w:rPr>
              <w:t>Parameter</w:t>
            </w:r>
          </w:p>
        </w:tc>
        <w:tc>
          <w:tcPr>
            <w:tcW w:type="dxa" w:w="7632"/>
            <w:vAlign w:val="top"/>
            <w:shd w:fill="DCEAF5"/>
            <w:tcMar>
              <w:top w:w="65" w:type="dxa"/>
              <w:bottom w:w="65" w:type="dxa"/>
              <w:left w:w="90" w:type="dxa"/>
              <w:right w:w="90" w:type="dxa"/>
            </w:tcMar>
          </w:tcPr>
          <w:p>
            <w:pPr>
              <w:spacing w:after="0" w:line="247" w:lineRule="auto"/>
            </w:pPr>
            <w:r>
              <w:rPr>
                <w:b/>
                <w:color w:val="133F69"/>
                <w:sz w:val="18"/>
              </w:rPr>
              <w:t>TEST value</w:t>
            </w:r>
          </w:p>
        </w:tc>
      </w:tr>
      <w:tr>
        <w:trPr>
          <w:cantSplit/>
        </w:trPr>
        <w:tc>
          <w:tcPr>
            <w:tcW w:type="dxa" w:w="2448"/>
            <w:vAlign w:val="top"/>
            <w:shd w:fill="FFFFFF"/>
            <w:tcMar>
              <w:top w:w="65" w:type="dxa"/>
              <w:bottom w:w="65" w:type="dxa"/>
              <w:left w:w="90" w:type="dxa"/>
              <w:right w:w="90" w:type="dxa"/>
            </w:tcMar>
          </w:tcPr>
          <w:p>
            <w:pPr>
              <w:spacing w:after="0" w:line="247" w:lineRule="auto"/>
            </w:pPr>
            <w:r>
              <w:rPr>
                <w:sz w:val="18"/>
              </w:rPr>
              <w:t>u1 / u2</w:t>
            </w:r>
          </w:p>
        </w:tc>
        <w:tc>
          <w:tcPr>
            <w:tcW w:type="dxa" w:w="7632"/>
            <w:vAlign w:val="top"/>
            <w:shd w:fill="FFFFFF"/>
            <w:tcMar>
              <w:top w:w="65" w:type="dxa"/>
              <w:bottom w:w="65" w:type="dxa"/>
              <w:left w:w="90" w:type="dxa"/>
              <w:right w:w="90" w:type="dxa"/>
            </w:tcMar>
          </w:tcPr>
          <w:p>
            <w:pPr>
              <w:spacing w:after="0" w:line="247" w:lineRule="auto"/>
            </w:pPr>
            <w:r>
              <w:rPr>
                <w:sz w:val="18"/>
              </w:rPr>
              <w:t>FRAMEWORK_TAG_C / PAGE_LOAD_C</w:t>
            </w:r>
          </w:p>
        </w:tc>
      </w:tr>
      <w:tr>
        <w:trPr>
          <w:cantSplit/>
        </w:trPr>
        <w:tc>
          <w:tcPr>
            <w:tcW w:type="dxa" w:w="2448"/>
            <w:vAlign w:val="top"/>
            <w:shd w:fill="F3F7FB"/>
            <w:tcMar>
              <w:top w:w="65" w:type="dxa"/>
              <w:bottom w:w="65" w:type="dxa"/>
              <w:left w:w="90" w:type="dxa"/>
              <w:right w:w="90" w:type="dxa"/>
            </w:tcMar>
          </w:tcPr>
          <w:p>
            <w:pPr>
              <w:spacing w:after="0" w:line="247" w:lineRule="auto"/>
            </w:pPr>
            <w:r>
              <w:rPr>
                <w:sz w:val="18"/>
              </w:rPr>
              <w:t>u3 / u4</w:t>
            </w:r>
          </w:p>
        </w:tc>
        <w:tc>
          <w:tcPr>
            <w:tcW w:type="dxa" w:w="7632"/>
            <w:vAlign w:val="top"/>
            <w:shd w:fill="F3F7FB"/>
            <w:tcMar>
              <w:top w:w="65" w:type="dxa"/>
              <w:bottom w:w="65" w:type="dxa"/>
              <w:left w:w="90" w:type="dxa"/>
              <w:right w:w="90" w:type="dxa"/>
            </w:tcMar>
          </w:tcPr>
          <w:p>
            <w:pPr>
              <w:spacing w:after="0" w:line="247" w:lineRule="auto"/>
            </w:pPr>
            <w:r>
              <w:rPr>
                <w:sz w:val="18"/>
              </w:rPr>
              <w:t>CITI_FRAMEWORK / START_EVENT_C</w:t>
            </w:r>
          </w:p>
        </w:tc>
      </w:tr>
      <w:tr>
        <w:trPr>
          <w:cantSplit/>
        </w:trPr>
        <w:tc>
          <w:tcPr>
            <w:tcW w:type="dxa" w:w="2448"/>
            <w:vAlign w:val="top"/>
            <w:shd w:fill="FFFFFF"/>
            <w:tcMar>
              <w:top w:w="65" w:type="dxa"/>
              <w:bottom w:w="65" w:type="dxa"/>
              <w:left w:w="90" w:type="dxa"/>
              <w:right w:w="90" w:type="dxa"/>
            </w:tcMar>
          </w:tcPr>
          <w:p>
            <w:pPr>
              <w:spacing w:after="0" w:line="247" w:lineRule="auto"/>
            </w:pPr>
            <w:r>
              <w:rPr>
                <w:sz w:val="18"/>
              </w:rPr>
              <w:t>value / transaction_id</w:t>
            </w:r>
          </w:p>
        </w:tc>
        <w:tc>
          <w:tcPr>
            <w:tcW w:type="dxa" w:w="7632"/>
            <w:vAlign w:val="top"/>
            <w:shd w:fill="FFFFFF"/>
            <w:tcMar>
              <w:top w:w="65" w:type="dxa"/>
              <w:bottom w:w="65" w:type="dxa"/>
              <w:left w:w="90" w:type="dxa"/>
              <w:right w:w="90" w:type="dxa"/>
            </w:tcMar>
          </w:tcPr>
          <w:p>
            <w:pPr>
              <w:spacing w:after="0" w:line="247" w:lineRule="auto"/>
            </w:pPr>
            <w:r>
              <w:rPr>
                <w:sz w:val="18"/>
              </w:rPr>
              <w:t>33 / not set</w:t>
            </w:r>
          </w:p>
        </w:tc>
      </w:tr>
    </w:tbl>
    <w:p>
      <w:pPr>
        <w:spacing w:after="20"/>
      </w:pPr>
      <w:r>
        <w:rPr>
          <w:b w:val="0"/>
        </w:rPr>
      </w:r>
    </w:p>
    <w:p>
      <w:pPr>
        <w:pStyle w:val="Heading2"/>
        <w:pageBreakBefore/>
      </w:pPr>
      <w:r>
        <w:t>Framework TEST Account D rule</w:t>
      </w:r>
    </w:p>
    <w:p>
      <w:r>
        <w:rPr>
          <w:b w:val="0"/>
        </w:rPr>
        <w:t>POC - Floodlight Framework - Account D calls tagD. The central mapping selects TEST DC-1004 and DC-1004/pocd0/compl4+transactions. It retains different event parameters and a separate test transaction ID.</w:t>
      </w:r>
    </w:p>
    <w:p>
      <w:pPr>
        <w:keepNext/>
        <w:spacing w:after="0"/>
        <w:jc w:val="center"/>
      </w:pPr>
      <w:r>
        <w:drawing>
          <wp:inline xmlns:a="http://schemas.openxmlformats.org/drawingml/2006/main" xmlns:pic="http://schemas.openxmlformats.org/drawingml/2006/picture">
            <wp:extent cx="5669280" cy="4152365"/>
            <wp:docPr id="14" name="Picture 14"/>
            <wp:cNvGraphicFramePr>
              <a:graphicFrameLocks noChangeAspect="1"/>
            </wp:cNvGraphicFramePr>
            <a:graphic>
              <a:graphicData uri="http://schemas.openxmlformats.org/drawingml/2006/picture">
                <pic:pic>
                  <pic:nvPicPr>
                    <pic:cNvPr id="0" name="crop-16.png"/>
                    <pic:cNvPicPr/>
                  </pic:nvPicPr>
                  <pic:blipFill>
                    <a:blip r:embed="rId22"/>
                    <a:stretch>
                      <a:fillRect/>
                    </a:stretch>
                  </pic:blipFill>
                  <pic:spPr>
                    <a:xfrm>
                      <a:off x="0" y="0"/>
                      <a:ext cx="5669280" cy="4152365"/>
                    </a:xfrm>
                    <a:prstGeom prst="rect"/>
                  </pic:spPr>
                </pic:pic>
              </a:graphicData>
            </a:graphic>
          </wp:inline>
        </w:drawing>
      </w:r>
    </w:p>
    <w:p>
      <w:pPr>
        <w:pStyle w:val="Caption"/>
        <w:jc w:val="center"/>
      </w:pPr>
      <w:r>
        <w:rPr>
          <w:b w:val="0"/>
          <w:i/>
          <w:color w:val="607286"/>
          <w:sz w:val="16"/>
        </w:rPr>
        <w:t>Figure 13. Framework Account D uses Window Loaded after Account C.</w:t>
      </w:r>
    </w:p>
    <w:p>
      <w:pPr>
        <w:keepNext/>
        <w:spacing w:after="0"/>
        <w:jc w:val="center"/>
      </w:pPr>
      <w:r>
        <w:drawing>
          <wp:inline xmlns:a="http://schemas.openxmlformats.org/drawingml/2006/main" xmlns:pic="http://schemas.openxmlformats.org/drawingml/2006/picture">
            <wp:extent cx="5760720" cy="1767410"/>
            <wp:docPr id="15" name="Picture 15"/>
            <wp:cNvGraphicFramePr>
              <a:graphicFrameLocks noChangeAspect="1"/>
            </wp:cNvGraphicFramePr>
            <a:graphic>
              <a:graphicData uri="http://schemas.openxmlformats.org/drawingml/2006/picture">
                <pic:pic>
                  <pic:nvPicPr>
                    <pic:cNvPr id="0" name="crop-17.png"/>
                    <pic:cNvPicPr/>
                  </pic:nvPicPr>
                  <pic:blipFill>
                    <a:blip r:embed="rId23"/>
                    <a:stretch>
                      <a:fillRect/>
                    </a:stretch>
                  </pic:blipFill>
                  <pic:spPr>
                    <a:xfrm>
                      <a:off x="0" y="0"/>
                      <a:ext cx="5760720" cy="1767410"/>
                    </a:xfrm>
                    <a:prstGeom prst="rect"/>
                  </pic:spPr>
                </pic:pic>
              </a:graphicData>
            </a:graphic>
          </wp:inline>
        </w:drawing>
      </w:r>
    </w:p>
    <w:p>
      <w:pPr>
        <w:pStyle w:val="Caption"/>
        <w:jc w:val="center"/>
      </w:pPr>
      <w:r>
        <w:rPr>
          <w:b w:val="0"/>
          <w:i/>
          <w:color w:val="607286"/>
          <w:sz w:val="16"/>
        </w:rPr>
        <w:t>Figure 14. Account D action calls CitiFloodlight.fire("tagD", ...) with value 44 and POC_TRANSACTION_1004.</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448"/>
        <w:gridCol w:w="7632"/>
      </w:tblGrid>
      <w:tr>
        <w:trPr>
          <w:tblHeader w:val="true"/>
          <w:cantSplit/>
        </w:trPr>
        <w:tc>
          <w:tcPr>
            <w:tcW w:type="dxa" w:w="2448"/>
            <w:vAlign w:val="top"/>
            <w:shd w:fill="DCEAF5"/>
            <w:tcMar>
              <w:top w:w="65" w:type="dxa"/>
              <w:bottom w:w="65" w:type="dxa"/>
              <w:left w:w="90" w:type="dxa"/>
              <w:right w:w="90" w:type="dxa"/>
            </w:tcMar>
          </w:tcPr>
          <w:p>
            <w:pPr>
              <w:spacing w:after="0" w:line="247" w:lineRule="auto"/>
            </w:pPr>
            <w:r>
              <w:rPr>
                <w:b/>
                <w:color w:val="133F69"/>
                <w:sz w:val="18"/>
              </w:rPr>
              <w:t>Parameter</w:t>
            </w:r>
          </w:p>
        </w:tc>
        <w:tc>
          <w:tcPr>
            <w:tcW w:type="dxa" w:w="7632"/>
            <w:vAlign w:val="top"/>
            <w:shd w:fill="DCEAF5"/>
            <w:tcMar>
              <w:top w:w="65" w:type="dxa"/>
              <w:bottom w:w="65" w:type="dxa"/>
              <w:left w:w="90" w:type="dxa"/>
              <w:right w:w="90" w:type="dxa"/>
            </w:tcMar>
          </w:tcPr>
          <w:p>
            <w:pPr>
              <w:spacing w:after="0" w:line="247" w:lineRule="auto"/>
            </w:pPr>
            <w:r>
              <w:rPr>
                <w:b/>
                <w:color w:val="133F69"/>
                <w:sz w:val="18"/>
              </w:rPr>
              <w:t>TEST value</w:t>
            </w:r>
          </w:p>
        </w:tc>
      </w:tr>
      <w:tr>
        <w:trPr>
          <w:cantSplit/>
        </w:trPr>
        <w:tc>
          <w:tcPr>
            <w:tcW w:type="dxa" w:w="2448"/>
            <w:vAlign w:val="top"/>
            <w:shd w:fill="FFFFFF"/>
            <w:tcMar>
              <w:top w:w="65" w:type="dxa"/>
              <w:bottom w:w="65" w:type="dxa"/>
              <w:left w:w="90" w:type="dxa"/>
              <w:right w:w="90" w:type="dxa"/>
            </w:tcMar>
          </w:tcPr>
          <w:p>
            <w:pPr>
              <w:spacing w:after="0" w:line="247" w:lineRule="auto"/>
            </w:pPr>
            <w:r>
              <w:rPr>
                <w:sz w:val="18"/>
              </w:rPr>
              <w:t>u1 / u2</w:t>
            </w:r>
          </w:p>
        </w:tc>
        <w:tc>
          <w:tcPr>
            <w:tcW w:type="dxa" w:w="7632"/>
            <w:vAlign w:val="top"/>
            <w:shd w:fill="FFFFFF"/>
            <w:tcMar>
              <w:top w:w="65" w:type="dxa"/>
              <w:bottom w:w="65" w:type="dxa"/>
              <w:left w:w="90" w:type="dxa"/>
              <w:right w:w="90" w:type="dxa"/>
            </w:tcMar>
          </w:tcPr>
          <w:p>
            <w:pPr>
              <w:spacing w:after="0" w:line="247" w:lineRule="auto"/>
            </w:pPr>
            <w:r>
              <w:rPr>
                <w:sz w:val="18"/>
              </w:rPr>
              <w:t>FRAMEWORK_TAG_D / PAGE_LOAD_D</w:t>
            </w:r>
          </w:p>
        </w:tc>
      </w:tr>
      <w:tr>
        <w:trPr>
          <w:cantSplit/>
        </w:trPr>
        <w:tc>
          <w:tcPr>
            <w:tcW w:type="dxa" w:w="2448"/>
            <w:vAlign w:val="top"/>
            <w:shd w:fill="F3F7FB"/>
            <w:tcMar>
              <w:top w:w="65" w:type="dxa"/>
              <w:bottom w:w="65" w:type="dxa"/>
              <w:left w:w="90" w:type="dxa"/>
              <w:right w:w="90" w:type="dxa"/>
            </w:tcMar>
          </w:tcPr>
          <w:p>
            <w:pPr>
              <w:spacing w:after="0" w:line="247" w:lineRule="auto"/>
            </w:pPr>
            <w:r>
              <w:rPr>
                <w:sz w:val="18"/>
              </w:rPr>
              <w:t>u3 / u4</w:t>
            </w:r>
          </w:p>
        </w:tc>
        <w:tc>
          <w:tcPr>
            <w:tcW w:type="dxa" w:w="7632"/>
            <w:vAlign w:val="top"/>
            <w:shd w:fill="F3F7FB"/>
            <w:tcMar>
              <w:top w:w="65" w:type="dxa"/>
              <w:bottom w:w="65" w:type="dxa"/>
              <w:left w:w="90" w:type="dxa"/>
              <w:right w:w="90" w:type="dxa"/>
            </w:tcMar>
          </w:tcPr>
          <w:p>
            <w:pPr>
              <w:spacing w:after="0" w:line="247" w:lineRule="auto"/>
            </w:pPr>
            <w:r>
              <w:rPr>
                <w:sz w:val="18"/>
              </w:rPr>
              <w:t>CITI_FRAMEWORK / COMPLETE_EVENT_D</w:t>
            </w:r>
          </w:p>
        </w:tc>
      </w:tr>
      <w:tr>
        <w:trPr>
          <w:cantSplit/>
        </w:trPr>
        <w:tc>
          <w:tcPr>
            <w:tcW w:type="dxa" w:w="2448"/>
            <w:vAlign w:val="top"/>
            <w:shd w:fill="FFFFFF"/>
            <w:tcMar>
              <w:top w:w="65" w:type="dxa"/>
              <w:bottom w:w="65" w:type="dxa"/>
              <w:left w:w="90" w:type="dxa"/>
              <w:right w:w="90" w:type="dxa"/>
            </w:tcMar>
          </w:tcPr>
          <w:p>
            <w:pPr>
              <w:spacing w:after="0" w:line="247" w:lineRule="auto"/>
            </w:pPr>
            <w:r>
              <w:rPr>
                <w:sz w:val="18"/>
              </w:rPr>
              <w:t>value / transaction_id</w:t>
            </w:r>
          </w:p>
        </w:tc>
        <w:tc>
          <w:tcPr>
            <w:tcW w:type="dxa" w:w="7632"/>
            <w:vAlign w:val="top"/>
            <w:shd w:fill="FFFFFF"/>
            <w:tcMar>
              <w:top w:w="65" w:type="dxa"/>
              <w:bottom w:w="65" w:type="dxa"/>
              <w:left w:w="90" w:type="dxa"/>
              <w:right w:w="90" w:type="dxa"/>
            </w:tcMar>
          </w:tcPr>
          <w:p>
            <w:pPr>
              <w:spacing w:after="0" w:line="247" w:lineRule="auto"/>
            </w:pPr>
            <w:r>
              <w:rPr>
                <w:sz w:val="18"/>
              </w:rPr>
              <w:t>44 / POC_TRANSACTION_1004</w:t>
            </w:r>
          </w:p>
        </w:tc>
      </w:tr>
    </w:tbl>
    <w:p>
      <w:pPr>
        <w:spacing w:after="20"/>
      </w:pPr>
      <w:r>
        <w:rPr>
          <w:b w:val="0"/>
        </w:rPr>
      </w:r>
    </w:p>
    <w:p>
      <w:pPr>
        <w:pStyle w:val="Heading1"/>
        <w:pageBreakBefore/>
      </w:pPr>
      <w:r>
        <w:t>14 Framework Network validation</w:t>
      </w:r>
    </w:p>
    <w:p>
      <w:r>
        <w:rPr>
          <w:b w:val="0"/>
        </w:rPr>
        <w:t>Generated Development library inspection confirmed separate C/D accounts, separate tagC/tagD mappings and all expected TEST markers. Isolated execution and the source Developer Tools views confirmed the resulting request routing and custom variables.</w:t>
      </w:r>
    </w:p>
    <w:p>
      <w:pPr>
        <w:keepNext/>
        <w:spacing w:after="0"/>
        <w:jc w:val="center"/>
      </w:pPr>
      <w:r>
        <w:drawing>
          <wp:inline xmlns:a="http://schemas.openxmlformats.org/drawingml/2006/main" xmlns:pic="http://schemas.openxmlformats.org/drawingml/2006/picture">
            <wp:extent cx="5486400" cy="4970640"/>
            <wp:docPr id="16" name="Picture 16"/>
            <wp:cNvGraphicFramePr>
              <a:graphicFrameLocks noChangeAspect="1"/>
            </wp:cNvGraphicFramePr>
            <a:graphic>
              <a:graphicData uri="http://schemas.openxmlformats.org/drawingml/2006/picture">
                <pic:pic>
                  <pic:nvPicPr>
                    <pic:cNvPr id="0" name="crop-18.png"/>
                    <pic:cNvPicPr/>
                  </pic:nvPicPr>
                  <pic:blipFill>
                    <a:blip r:embed="rId24"/>
                    <a:stretch>
                      <a:fillRect/>
                    </a:stretch>
                  </pic:blipFill>
                  <pic:spPr>
                    <a:xfrm>
                      <a:off x="0" y="0"/>
                      <a:ext cx="5486400" cy="4970640"/>
                    </a:xfrm>
                    <a:prstGeom prst="rect"/>
                  </pic:spPr>
                </pic:pic>
              </a:graphicData>
            </a:graphic>
          </wp:inline>
        </w:drawing>
      </w:r>
    </w:p>
    <w:p>
      <w:pPr>
        <w:pStyle w:val="Caption"/>
        <w:jc w:val="center"/>
      </w:pPr>
      <w:r>
        <w:rPr>
          <w:b w:val="0"/>
          <w:i/>
          <w:color w:val="607286"/>
          <w:sz w:val="16"/>
        </w:rPr>
        <w:t>Figure 15. Source Network evidence for framework TEST DC-1003 with pocc0/start3 and Account C markers.</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376"/>
        <w:gridCol w:w="7704"/>
      </w:tblGrid>
      <w:tr>
        <w:trPr>
          <w:tblHeader w:val="true"/>
          <w:cantSplit/>
        </w:trPr>
        <w:tc>
          <w:tcPr>
            <w:tcW w:type="dxa" w:w="2376"/>
            <w:vAlign w:val="top"/>
            <w:shd w:fill="DCEAF5"/>
            <w:tcMar>
              <w:top w:w="65" w:type="dxa"/>
              <w:bottom w:w="65" w:type="dxa"/>
              <w:left w:w="90" w:type="dxa"/>
              <w:right w:w="90" w:type="dxa"/>
            </w:tcMar>
          </w:tcPr>
          <w:p>
            <w:pPr>
              <w:spacing w:after="0" w:line="247" w:lineRule="auto"/>
            </w:pPr>
            <w:r>
              <w:rPr>
                <w:b/>
                <w:color w:val="133F69"/>
                <w:sz w:val="18"/>
              </w:rPr>
              <w:t>Field</w:t>
            </w:r>
          </w:p>
        </w:tc>
        <w:tc>
          <w:tcPr>
            <w:tcW w:type="dxa" w:w="7704"/>
            <w:vAlign w:val="top"/>
            <w:shd w:fill="DCEAF5"/>
            <w:tcMar>
              <w:top w:w="65" w:type="dxa"/>
              <w:bottom w:w="65" w:type="dxa"/>
              <w:left w:w="90" w:type="dxa"/>
              <w:right w:w="90" w:type="dxa"/>
            </w:tcMar>
          </w:tcPr>
          <w:p>
            <w:pPr>
              <w:spacing w:after="0" w:line="247" w:lineRule="auto"/>
            </w:pPr>
            <w:r>
              <w:rPr>
                <w:b/>
                <w:color w:val="133F69"/>
                <w:sz w:val="18"/>
              </w:rPr>
              <w:t>TEST Account C observation</w:t>
            </w:r>
          </w:p>
        </w:tc>
      </w:tr>
      <w:tr>
        <w:trPr>
          <w:cantSplit/>
        </w:trPr>
        <w:tc>
          <w:tcPr>
            <w:tcW w:type="dxa" w:w="2376"/>
            <w:vAlign w:val="top"/>
            <w:shd w:fill="FFFFFF"/>
            <w:tcMar>
              <w:top w:w="65" w:type="dxa"/>
              <w:bottom w:w="65" w:type="dxa"/>
              <w:left w:w="90" w:type="dxa"/>
              <w:right w:w="90" w:type="dxa"/>
            </w:tcMar>
          </w:tcPr>
          <w:p>
            <w:pPr>
              <w:spacing w:after="0" w:line="247" w:lineRule="auto"/>
            </w:pPr>
            <w:r>
              <w:rPr>
                <w:sz w:val="18"/>
              </w:rPr>
              <w:t>src / type / cat</w:t>
            </w:r>
          </w:p>
        </w:tc>
        <w:tc>
          <w:tcPr>
            <w:tcW w:type="dxa" w:w="7704"/>
            <w:vAlign w:val="top"/>
            <w:shd w:fill="FFFFFF"/>
            <w:tcMar>
              <w:top w:w="65" w:type="dxa"/>
              <w:bottom w:w="65" w:type="dxa"/>
              <w:left w:w="90" w:type="dxa"/>
              <w:right w:w="90" w:type="dxa"/>
            </w:tcMar>
          </w:tcPr>
          <w:p>
            <w:pPr>
              <w:spacing w:after="0" w:line="247" w:lineRule="auto"/>
            </w:pPr>
            <w:r>
              <w:rPr>
                <w:sz w:val="18"/>
              </w:rPr>
              <w:t>1003 / pocc0 / start3</w:t>
            </w:r>
          </w:p>
        </w:tc>
      </w:tr>
      <w:tr>
        <w:trPr>
          <w:cantSplit/>
        </w:trPr>
        <w:tc>
          <w:tcPr>
            <w:tcW w:type="dxa" w:w="2376"/>
            <w:vAlign w:val="top"/>
            <w:shd w:fill="F3F7FB"/>
            <w:tcMar>
              <w:top w:w="65" w:type="dxa"/>
              <w:bottom w:w="65" w:type="dxa"/>
              <w:left w:w="90" w:type="dxa"/>
              <w:right w:w="90" w:type="dxa"/>
            </w:tcMar>
          </w:tcPr>
          <w:p>
            <w:pPr>
              <w:spacing w:after="0" w:line="247" w:lineRule="auto"/>
            </w:pPr>
            <w:r>
              <w:rPr>
                <w:sz w:val="18"/>
              </w:rPr>
              <w:t>u1 / u2 / u3 / u4</w:t>
            </w:r>
          </w:p>
        </w:tc>
        <w:tc>
          <w:tcPr>
            <w:tcW w:type="dxa" w:w="7704"/>
            <w:vAlign w:val="top"/>
            <w:shd w:fill="F3F7FB"/>
            <w:tcMar>
              <w:top w:w="65" w:type="dxa"/>
              <w:bottom w:w="65" w:type="dxa"/>
              <w:left w:w="90" w:type="dxa"/>
              <w:right w:w="90" w:type="dxa"/>
            </w:tcMar>
          </w:tcPr>
          <w:p>
            <w:pPr>
              <w:spacing w:after="0" w:line="247" w:lineRule="auto"/>
            </w:pPr>
            <w:r>
              <w:rPr>
                <w:sz w:val="18"/>
              </w:rPr>
              <w:t>FRAMEWORK_TAG_C / PAGE_LOAD_C / CITI_FRAMEWORK / START_EVENT_C</w:t>
            </w:r>
          </w:p>
        </w:tc>
      </w:tr>
      <w:tr>
        <w:trPr>
          <w:cantSplit/>
        </w:trPr>
        <w:tc>
          <w:tcPr>
            <w:tcW w:type="dxa" w:w="2376"/>
            <w:vAlign w:val="top"/>
            <w:shd w:fill="FFFFFF"/>
            <w:tcMar>
              <w:top w:w="65" w:type="dxa"/>
              <w:bottom w:w="65" w:type="dxa"/>
              <w:left w:w="90" w:type="dxa"/>
              <w:right w:w="90" w:type="dxa"/>
            </w:tcMar>
          </w:tcPr>
          <w:p>
            <w:pPr>
              <w:spacing w:after="0" w:line="247" w:lineRule="auto"/>
            </w:pPr>
            <w:r>
              <w:rPr>
                <w:sz w:val="18"/>
              </w:rPr>
              <w:t>value and request fields</w:t>
            </w:r>
          </w:p>
        </w:tc>
        <w:tc>
          <w:tcPr>
            <w:tcW w:type="dxa" w:w="7704"/>
            <w:vAlign w:val="top"/>
            <w:shd w:fill="FFFFFF"/>
            <w:tcMar>
              <w:top w:w="65" w:type="dxa"/>
              <w:bottom w:w="65" w:type="dxa"/>
              <w:left w:w="90" w:type="dxa"/>
              <w:right w:w="90" w:type="dxa"/>
            </w:tcMar>
          </w:tcPr>
          <w:p>
            <w:pPr>
              <w:spacing w:after="0" w:line="247" w:lineRule="auto"/>
            </w:pPr>
            <w:r>
              <w:rPr>
                <w:sz w:val="18"/>
              </w:rPr>
              <w:t>value=33 retained in the event command. No cost or qty on the sampled standard request; ord was Google-generated.</w:t>
            </w:r>
          </w:p>
        </w:tc>
      </w:tr>
    </w:tbl>
    <w:p>
      <w:pPr>
        <w:spacing w:after="20"/>
      </w:pPr>
      <w:r>
        <w:rPr>
          <w:b w:val="0"/>
        </w:rPr>
      </w:r>
    </w:p>
    <w:p>
      <w:pPr>
        <w:pStyle w:val="Heading2"/>
        <w:pageBreakBefore/>
      </w:pPr>
      <w:r>
        <w:t>Framework Account D request evidence</w:t>
      </w:r>
    </w:p>
    <w:p>
      <w:pPr>
        <w:keepNext/>
        <w:spacing w:after="0"/>
        <w:jc w:val="center"/>
      </w:pPr>
      <w:r>
        <w:drawing>
          <wp:inline xmlns:a="http://schemas.openxmlformats.org/drawingml/2006/main" xmlns:pic="http://schemas.openxmlformats.org/drawingml/2006/picture">
            <wp:extent cx="5486400" cy="5145141"/>
            <wp:docPr id="17" name="Picture 17"/>
            <wp:cNvGraphicFramePr>
              <a:graphicFrameLocks noChangeAspect="1"/>
            </wp:cNvGraphicFramePr>
            <a:graphic>
              <a:graphicData uri="http://schemas.openxmlformats.org/drawingml/2006/picture">
                <pic:pic>
                  <pic:nvPicPr>
                    <pic:cNvPr id="0" name="crop-19.png"/>
                    <pic:cNvPicPr/>
                  </pic:nvPicPr>
                  <pic:blipFill>
                    <a:blip r:embed="rId25"/>
                    <a:stretch>
                      <a:fillRect/>
                    </a:stretch>
                  </pic:blipFill>
                  <pic:spPr>
                    <a:xfrm>
                      <a:off x="0" y="0"/>
                      <a:ext cx="5486400" cy="5145141"/>
                    </a:xfrm>
                    <a:prstGeom prst="rect"/>
                  </pic:spPr>
                </pic:pic>
              </a:graphicData>
            </a:graphic>
          </wp:inline>
        </w:drawing>
      </w:r>
    </w:p>
    <w:p>
      <w:pPr>
        <w:pStyle w:val="Caption"/>
        <w:jc w:val="center"/>
      </w:pPr>
      <w:r>
        <w:rPr>
          <w:b w:val="0"/>
          <w:i/>
          <w:color w:val="607286"/>
          <w:sz w:val="16"/>
        </w:rPr>
        <w:t>Figure 16. Source Network evidence for framework TEST DC-1004 with pocd0/compl4, cost=44, qty=1 and its test transaction ID.</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376"/>
        <w:gridCol w:w="7704"/>
      </w:tblGrid>
      <w:tr>
        <w:trPr>
          <w:tblHeader w:val="true"/>
          <w:cantSplit/>
        </w:trPr>
        <w:tc>
          <w:tcPr>
            <w:tcW w:type="dxa" w:w="2376"/>
            <w:vAlign w:val="top"/>
            <w:shd w:fill="DCEAF5"/>
            <w:tcMar>
              <w:top w:w="65" w:type="dxa"/>
              <w:bottom w:w="65" w:type="dxa"/>
              <w:left w:w="90" w:type="dxa"/>
              <w:right w:w="90" w:type="dxa"/>
            </w:tcMar>
          </w:tcPr>
          <w:p>
            <w:pPr>
              <w:spacing w:after="0" w:line="247" w:lineRule="auto"/>
            </w:pPr>
            <w:r>
              <w:rPr>
                <w:b/>
                <w:color w:val="133F69"/>
                <w:sz w:val="18"/>
              </w:rPr>
              <w:t>Field</w:t>
            </w:r>
          </w:p>
        </w:tc>
        <w:tc>
          <w:tcPr>
            <w:tcW w:type="dxa" w:w="7704"/>
            <w:vAlign w:val="top"/>
            <w:shd w:fill="DCEAF5"/>
            <w:tcMar>
              <w:top w:w="65" w:type="dxa"/>
              <w:bottom w:w="65" w:type="dxa"/>
              <w:left w:w="90" w:type="dxa"/>
              <w:right w:w="90" w:type="dxa"/>
            </w:tcMar>
          </w:tcPr>
          <w:p>
            <w:pPr>
              <w:spacing w:after="0" w:line="247" w:lineRule="auto"/>
            </w:pPr>
            <w:r>
              <w:rPr>
                <w:b/>
                <w:color w:val="133F69"/>
                <w:sz w:val="18"/>
              </w:rPr>
              <w:t>TEST Account D observation</w:t>
            </w:r>
          </w:p>
        </w:tc>
      </w:tr>
      <w:tr>
        <w:trPr>
          <w:cantSplit/>
        </w:trPr>
        <w:tc>
          <w:tcPr>
            <w:tcW w:type="dxa" w:w="2376"/>
            <w:vAlign w:val="top"/>
            <w:shd w:fill="FFFFFF"/>
            <w:tcMar>
              <w:top w:w="65" w:type="dxa"/>
              <w:bottom w:w="65" w:type="dxa"/>
              <w:left w:w="90" w:type="dxa"/>
              <w:right w:w="90" w:type="dxa"/>
            </w:tcMar>
          </w:tcPr>
          <w:p>
            <w:pPr>
              <w:spacing w:after="0" w:line="247" w:lineRule="auto"/>
            </w:pPr>
            <w:r>
              <w:rPr>
                <w:sz w:val="18"/>
              </w:rPr>
              <w:t>src / type / cat</w:t>
            </w:r>
          </w:p>
        </w:tc>
        <w:tc>
          <w:tcPr>
            <w:tcW w:type="dxa" w:w="7704"/>
            <w:vAlign w:val="top"/>
            <w:shd w:fill="FFFFFF"/>
            <w:tcMar>
              <w:top w:w="65" w:type="dxa"/>
              <w:bottom w:w="65" w:type="dxa"/>
              <w:left w:w="90" w:type="dxa"/>
              <w:right w:w="90" w:type="dxa"/>
            </w:tcMar>
          </w:tcPr>
          <w:p>
            <w:pPr>
              <w:spacing w:after="0" w:line="247" w:lineRule="auto"/>
            </w:pPr>
            <w:r>
              <w:rPr>
                <w:sz w:val="18"/>
              </w:rPr>
              <w:t>1004 / pocd0 / compl4</w:t>
            </w:r>
          </w:p>
        </w:tc>
      </w:tr>
      <w:tr>
        <w:trPr>
          <w:cantSplit/>
        </w:trPr>
        <w:tc>
          <w:tcPr>
            <w:tcW w:type="dxa" w:w="2376"/>
            <w:vAlign w:val="top"/>
            <w:shd w:fill="F3F7FB"/>
            <w:tcMar>
              <w:top w:w="65" w:type="dxa"/>
              <w:bottom w:w="65" w:type="dxa"/>
              <w:left w:w="90" w:type="dxa"/>
              <w:right w:w="90" w:type="dxa"/>
            </w:tcMar>
          </w:tcPr>
          <w:p>
            <w:pPr>
              <w:spacing w:after="0" w:line="247" w:lineRule="auto"/>
            </w:pPr>
            <w:r>
              <w:rPr>
                <w:sz w:val="18"/>
              </w:rPr>
              <w:t>u1 / u2 / u3 / u4</w:t>
            </w:r>
          </w:p>
        </w:tc>
        <w:tc>
          <w:tcPr>
            <w:tcW w:type="dxa" w:w="7704"/>
            <w:vAlign w:val="top"/>
            <w:shd w:fill="F3F7FB"/>
            <w:tcMar>
              <w:top w:w="65" w:type="dxa"/>
              <w:bottom w:w="65" w:type="dxa"/>
              <w:left w:w="90" w:type="dxa"/>
              <w:right w:w="90" w:type="dxa"/>
            </w:tcMar>
          </w:tcPr>
          <w:p>
            <w:pPr>
              <w:spacing w:after="0" w:line="247" w:lineRule="auto"/>
            </w:pPr>
            <w:r>
              <w:rPr>
                <w:sz w:val="18"/>
              </w:rPr>
              <w:t>FRAMEWORK_TAG_D / PAGE_LOAD_D / CITI_FRAMEWORK / COMPLETE_EVENT_D</w:t>
            </w:r>
          </w:p>
        </w:tc>
      </w:tr>
      <w:tr>
        <w:trPr>
          <w:cantSplit/>
        </w:trPr>
        <w:tc>
          <w:tcPr>
            <w:tcW w:type="dxa" w:w="2376"/>
            <w:vAlign w:val="top"/>
            <w:shd w:fill="FFFFFF"/>
            <w:tcMar>
              <w:top w:w="65" w:type="dxa"/>
              <w:bottom w:w="65" w:type="dxa"/>
              <w:left w:w="90" w:type="dxa"/>
              <w:right w:w="90" w:type="dxa"/>
            </w:tcMar>
          </w:tcPr>
          <w:p>
            <w:pPr>
              <w:spacing w:after="0" w:line="247" w:lineRule="auto"/>
            </w:pPr>
            <w:r>
              <w:rPr>
                <w:sz w:val="18"/>
              </w:rPr>
              <w:t>cost / qty / ord</w:t>
            </w:r>
          </w:p>
        </w:tc>
        <w:tc>
          <w:tcPr>
            <w:tcW w:type="dxa" w:w="7704"/>
            <w:vAlign w:val="top"/>
            <w:shd w:fill="FFFFFF"/>
            <w:tcMar>
              <w:top w:w="65" w:type="dxa"/>
              <w:bottom w:w="65" w:type="dxa"/>
              <w:left w:w="90" w:type="dxa"/>
              <w:right w:w="90" w:type="dxa"/>
            </w:tcMar>
          </w:tcPr>
          <w:p>
            <w:pPr>
              <w:spacing w:after="0" w:line="247" w:lineRule="auto"/>
            </w:pPr>
            <w:r>
              <w:rPr>
                <w:sz w:val="18"/>
              </w:rPr>
              <w:t>44 / 1 / POC_TRANSACTION_1004</w:t>
            </w:r>
          </w:p>
        </w:tc>
      </w:tr>
    </w:tbl>
    <w:p>
      <w:pPr>
        <w:spacing w:after="20"/>
      </w:pPr>
      <w:r>
        <w:rPr>
          <w:b w:val="0"/>
        </w:rPr>
      </w:r>
    </w:p>
    <w:p>
      <w:r>
        <w:rPr>
          <w:b w:val="0"/>
        </w:rPr>
        <w:t>The transaction strings are dummy transport markers. Their presence in a request does not establish production-valid transaction semantics. Google’s Campaign Manager guidance describes numerical transaction identifiers; real values require account-owner confirmation. [6]</w:t>
      </w:r>
    </w:p>
    <w:p>
      <w:r>
        <w:rPr>
          <w:b/>
        </w:rPr>
        <w:t>The POC establishes client-side technical routing only. Request attempts and status codes do not establish accepted or counted Campaign Manager conversions.</w:t>
      </w:r>
    </w:p>
    <w:p>
      <w:pPr>
        <w:pStyle w:val="Heading1"/>
        <w:pageBreakBefore/>
      </w:pPr>
      <w:r>
        <w:t>15 Multiple Network activity requests</w:t>
      </w:r>
    </w:p>
    <w:p>
      <w:r>
        <w:rPr>
          <w:b w:val="0"/>
        </w:rPr>
        <w:t>Several activity requests appeared for a single intended event. Request count was therefore compared with rule execution, direct framework-call counts and dataLayer event commands before classifying the behaviour.</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304"/>
        <w:gridCol w:w="1800"/>
        <w:gridCol w:w="2088"/>
        <w:gridCol w:w="1800"/>
        <w:gridCol w:w="2088"/>
      </w:tblGrid>
      <w:tr>
        <w:trPr>
          <w:tblHeader w:val="true"/>
          <w:cantSplit/>
        </w:trPr>
        <w:tc>
          <w:tcPr>
            <w:tcW w:type="dxa" w:w="2304"/>
            <w:vAlign w:val="top"/>
            <w:shd w:fill="DCEAF5"/>
            <w:tcMar>
              <w:top w:w="65" w:type="dxa"/>
              <w:bottom w:w="65" w:type="dxa"/>
              <w:left w:w="90" w:type="dxa"/>
              <w:right w:w="90" w:type="dxa"/>
            </w:tcMar>
          </w:tcPr>
          <w:p>
            <w:pPr>
              <w:spacing w:after="0" w:line="247" w:lineRule="auto"/>
            </w:pPr>
            <w:r>
              <w:rPr>
                <w:b/>
                <w:color w:val="133F69"/>
                <w:sz w:val="16"/>
              </w:rPr>
              <w:t>Isolated case</w:t>
            </w:r>
          </w:p>
        </w:tc>
        <w:tc>
          <w:tcPr>
            <w:tcW w:type="dxa" w:w="1800"/>
            <w:vAlign w:val="top"/>
            <w:shd w:fill="DCEAF5"/>
            <w:tcMar>
              <w:top w:w="65" w:type="dxa"/>
              <w:bottom w:w="65" w:type="dxa"/>
              <w:left w:w="90" w:type="dxa"/>
              <w:right w:w="90" w:type="dxa"/>
            </w:tcMar>
          </w:tcPr>
          <w:p>
            <w:pPr>
              <w:spacing w:after="0" w:line="247" w:lineRule="auto"/>
            </w:pPr>
            <w:r>
              <w:rPr>
                <w:b/>
                <w:color w:val="133F69"/>
                <w:sz w:val="16"/>
              </w:rPr>
              <w:t>Launch C/D rule executions</w:t>
            </w:r>
          </w:p>
        </w:tc>
        <w:tc>
          <w:tcPr>
            <w:tcW w:type="dxa" w:w="2088"/>
            <w:vAlign w:val="top"/>
            <w:shd w:fill="DCEAF5"/>
            <w:tcMar>
              <w:top w:w="65" w:type="dxa"/>
              <w:bottom w:w="65" w:type="dxa"/>
              <w:left w:w="90" w:type="dxa"/>
              <w:right w:w="90" w:type="dxa"/>
            </w:tcMar>
          </w:tcPr>
          <w:p>
            <w:pPr>
              <w:spacing w:after="0" w:line="247" w:lineRule="auto"/>
            </w:pPr>
            <w:r>
              <w:rPr>
                <w:b/>
                <w:color w:val="133F69"/>
                <w:sz w:val="16"/>
              </w:rPr>
              <w:t>fire calls per account</w:t>
            </w:r>
          </w:p>
        </w:tc>
        <w:tc>
          <w:tcPr>
            <w:tcW w:type="dxa" w:w="1800"/>
            <w:vAlign w:val="top"/>
            <w:shd w:fill="DCEAF5"/>
            <w:tcMar>
              <w:top w:w="65" w:type="dxa"/>
              <w:bottom w:w="65" w:type="dxa"/>
              <w:left w:w="90" w:type="dxa"/>
              <w:right w:w="90" w:type="dxa"/>
            </w:tcMar>
          </w:tcPr>
          <w:p>
            <w:pPr>
              <w:spacing w:after="0" w:line="247" w:lineRule="auto"/>
            </w:pPr>
            <w:r>
              <w:rPr>
                <w:b/>
                <w:color w:val="133F69"/>
                <w:sz w:val="16"/>
              </w:rPr>
              <w:t>Queued events per destination</w:t>
            </w:r>
          </w:p>
        </w:tc>
        <w:tc>
          <w:tcPr>
            <w:tcW w:type="dxa" w:w="2088"/>
            <w:vAlign w:val="top"/>
            <w:shd w:fill="DCEAF5"/>
            <w:tcMar>
              <w:top w:w="65" w:type="dxa"/>
              <w:bottom w:w="65" w:type="dxa"/>
              <w:left w:w="90" w:type="dxa"/>
              <w:right w:w="90" w:type="dxa"/>
            </w:tcMar>
          </w:tcPr>
          <w:p>
            <w:pPr>
              <w:spacing w:after="0" w:line="247" w:lineRule="auto"/>
            </w:pPr>
            <w:r>
              <w:rPr>
                <w:b/>
                <w:color w:val="133F69"/>
                <w:sz w:val="16"/>
              </w:rPr>
              <w:t>src-bearing activity attempts per account</w:t>
            </w:r>
          </w:p>
        </w:tc>
      </w:tr>
      <w:tr>
        <w:trPr>
          <w:cantSplit/>
        </w:trPr>
        <w:tc>
          <w:tcPr>
            <w:tcW w:type="dxa" w:w="2304"/>
            <w:vAlign w:val="top"/>
            <w:shd w:fill="FFFFFF"/>
            <w:tcMar>
              <w:top w:w="65" w:type="dxa"/>
              <w:bottom w:w="65" w:type="dxa"/>
              <w:left w:w="90" w:type="dxa"/>
              <w:right w:w="90" w:type="dxa"/>
            </w:tcMar>
          </w:tcPr>
          <w:p>
            <w:pPr>
              <w:spacing w:after="0" w:line="247" w:lineRule="auto"/>
            </w:pPr>
            <w:r>
              <w:rPr>
                <w:sz w:val="16"/>
              </w:rPr>
              <w:t>1 October normal Development POC</w:t>
            </w:r>
          </w:p>
        </w:tc>
        <w:tc>
          <w:tcPr>
            <w:tcW w:type="dxa" w:w="1800"/>
            <w:vAlign w:val="top"/>
            <w:shd w:fill="FFFFFF"/>
            <w:tcMar>
              <w:top w:w="65" w:type="dxa"/>
              <w:bottom w:w="65" w:type="dxa"/>
              <w:left w:w="90" w:type="dxa"/>
              <w:right w:w="90" w:type="dxa"/>
            </w:tcMar>
          </w:tcPr>
          <w:p>
            <w:pPr>
              <w:spacing w:after="0" w:line="247" w:lineRule="auto"/>
            </w:pPr>
            <w:r>
              <w:rPr>
                <w:sz w:val="16"/>
              </w:rPr>
              <w:t>1 triggered and completed each</w:t>
            </w:r>
          </w:p>
        </w:tc>
        <w:tc>
          <w:tcPr>
            <w:tcW w:type="dxa" w:w="2088"/>
            <w:vAlign w:val="top"/>
            <w:shd w:fill="FFFFFF"/>
            <w:tcMar>
              <w:top w:w="65" w:type="dxa"/>
              <w:bottom w:w="65" w:type="dxa"/>
              <w:left w:w="90" w:type="dxa"/>
              <w:right w:w="90" w:type="dxa"/>
            </w:tcMar>
          </w:tcPr>
          <w:p>
            <w:pPr>
              <w:spacing w:after="0" w:line="247" w:lineRule="auto"/>
            </w:pPr>
            <w:r>
              <w:rPr>
                <w:sz w:val="16"/>
              </w:rPr>
              <w:t>One call in each action; not directly counted</w:t>
            </w:r>
          </w:p>
        </w:tc>
        <w:tc>
          <w:tcPr>
            <w:tcW w:type="dxa" w:w="1800"/>
            <w:vAlign w:val="top"/>
            <w:shd w:fill="FFFFFF"/>
            <w:tcMar>
              <w:top w:w="65" w:type="dxa"/>
              <w:bottom w:w="65" w:type="dxa"/>
              <w:left w:w="90" w:type="dxa"/>
              <w:right w:w="90" w:type="dxa"/>
            </w:tcMar>
          </w:tcPr>
          <w:p>
            <w:pPr>
              <w:spacing w:after="0" w:line="247" w:lineRule="auto"/>
            </w:pPr>
            <w:r>
              <w:rPr>
                <w:sz w:val="16"/>
              </w:rPr>
              <w:t>1</w:t>
            </w:r>
          </w:p>
        </w:tc>
        <w:tc>
          <w:tcPr>
            <w:tcW w:type="dxa" w:w="2088"/>
            <w:vAlign w:val="top"/>
            <w:shd w:fill="FFFFFF"/>
            <w:tcMar>
              <w:top w:w="65" w:type="dxa"/>
              <w:bottom w:w="65" w:type="dxa"/>
              <w:left w:w="90" w:type="dxa"/>
              <w:right w:w="90" w:type="dxa"/>
            </w:tcMar>
          </w:tcPr>
          <w:p>
            <w:pPr>
              <w:spacing w:after="0" w:line="247" w:lineRule="auto"/>
            </w:pPr>
            <w:r>
              <w:rPr>
                <w:sz w:val="16"/>
              </w:rPr>
              <w:t>2 (dc_fmt 3 and 11)</w:t>
            </w:r>
          </w:p>
        </w:tc>
      </w:tr>
      <w:tr>
        <w:trPr>
          <w:cantSplit/>
        </w:trPr>
        <w:tc>
          <w:tcPr>
            <w:tcW w:type="dxa" w:w="2304"/>
            <w:vAlign w:val="top"/>
            <w:shd w:fill="F3F7FB"/>
            <w:tcMar>
              <w:top w:w="65" w:type="dxa"/>
              <w:bottom w:w="65" w:type="dxa"/>
              <w:left w:w="90" w:type="dxa"/>
              <w:right w:w="90" w:type="dxa"/>
            </w:tcMar>
          </w:tcPr>
          <w:p>
            <w:pPr>
              <w:spacing w:after="0" w:line="247" w:lineRule="auto"/>
            </w:pPr>
            <w:r>
              <w:rPr>
                <w:sz w:val="16"/>
              </w:rPr>
              <w:t>6 October preserved Development build</w:t>
            </w:r>
          </w:p>
        </w:tc>
        <w:tc>
          <w:tcPr>
            <w:tcW w:type="dxa" w:w="1800"/>
            <w:vAlign w:val="top"/>
            <w:shd w:fill="F3F7FB"/>
            <w:tcMar>
              <w:top w:w="65" w:type="dxa"/>
              <w:bottom w:w="65" w:type="dxa"/>
              <w:left w:w="90" w:type="dxa"/>
              <w:right w:w="90" w:type="dxa"/>
            </w:tcMar>
          </w:tcPr>
          <w:p>
            <w:pPr>
              <w:spacing w:after="0" w:line="247" w:lineRule="auto"/>
            </w:pPr>
            <w:r>
              <w:rPr>
                <w:sz w:val="16"/>
              </w:rPr>
              <w:t>1 triggered and completed each</w:t>
            </w:r>
          </w:p>
        </w:tc>
        <w:tc>
          <w:tcPr>
            <w:tcW w:type="dxa" w:w="2088"/>
            <w:vAlign w:val="top"/>
            <w:shd w:fill="F3F7FB"/>
            <w:tcMar>
              <w:top w:w="65" w:type="dxa"/>
              <w:bottom w:w="65" w:type="dxa"/>
              <w:left w:w="90" w:type="dxa"/>
              <w:right w:w="90" w:type="dxa"/>
            </w:tcMar>
          </w:tcPr>
          <w:p>
            <w:pPr>
              <w:spacing w:after="0" w:line="247" w:lineRule="auto"/>
            </w:pPr>
            <w:r>
              <w:rPr>
                <w:sz w:val="16"/>
              </w:rPr>
              <w:t>1 directly counted each</w:t>
            </w:r>
          </w:p>
        </w:tc>
        <w:tc>
          <w:tcPr>
            <w:tcW w:type="dxa" w:w="1800"/>
            <w:vAlign w:val="top"/>
            <w:shd w:fill="F3F7FB"/>
            <w:tcMar>
              <w:top w:w="65" w:type="dxa"/>
              <w:bottom w:w="65" w:type="dxa"/>
              <w:left w:w="90" w:type="dxa"/>
              <w:right w:w="90" w:type="dxa"/>
            </w:tcMar>
          </w:tcPr>
          <w:p>
            <w:pPr>
              <w:spacing w:after="0" w:line="247" w:lineRule="auto"/>
            </w:pPr>
            <w:r>
              <w:rPr>
                <w:sz w:val="16"/>
              </w:rPr>
              <w:t>1</w:t>
            </w:r>
          </w:p>
        </w:tc>
        <w:tc>
          <w:tcPr>
            <w:tcW w:type="dxa" w:w="2088"/>
            <w:vAlign w:val="top"/>
            <w:shd w:fill="F3F7FB"/>
            <w:tcMar>
              <w:top w:w="65" w:type="dxa"/>
              <w:bottom w:w="65" w:type="dxa"/>
              <w:left w:w="90" w:type="dxa"/>
              <w:right w:w="90" w:type="dxa"/>
            </w:tcMar>
          </w:tcPr>
          <w:p>
            <w:pPr>
              <w:spacing w:after="0" w:line="247" w:lineRule="auto"/>
            </w:pPr>
            <w:r>
              <w:rPr>
                <w:sz w:val="16"/>
              </w:rPr>
              <w:t>3 (dc_fmt 3, 2 and 11)</w:t>
            </w:r>
          </w:p>
        </w:tc>
      </w:tr>
      <w:tr>
        <w:trPr>
          <w:cantSplit/>
        </w:trPr>
        <w:tc>
          <w:tcPr>
            <w:tcW w:type="dxa" w:w="2304"/>
            <w:vAlign w:val="top"/>
            <w:shd w:fill="FFFFFF"/>
            <w:tcMar>
              <w:top w:w="65" w:type="dxa"/>
              <w:bottom w:w="65" w:type="dxa"/>
              <w:left w:w="90" w:type="dxa"/>
              <w:right w:w="90" w:type="dxa"/>
            </w:tcMar>
          </w:tcPr>
          <w:p>
            <w:pPr>
              <w:spacing w:after="0" w:line="247" w:lineRule="auto"/>
            </w:pPr>
            <w:r>
              <w:rPr>
                <w:sz w:val="16"/>
              </w:rPr>
              <w:t>6 October framework only</w:t>
            </w:r>
          </w:p>
        </w:tc>
        <w:tc>
          <w:tcPr>
            <w:tcW w:type="dxa" w:w="1800"/>
            <w:vAlign w:val="top"/>
            <w:shd w:fill="FFFFFF"/>
            <w:tcMar>
              <w:top w:w="65" w:type="dxa"/>
              <w:bottom w:w="65" w:type="dxa"/>
              <w:left w:w="90" w:type="dxa"/>
              <w:right w:w="90" w:type="dxa"/>
            </w:tcMar>
          </w:tcPr>
          <w:p>
            <w:pPr>
              <w:spacing w:after="0" w:line="247" w:lineRule="auto"/>
            </w:pPr>
            <w:r>
              <w:rPr>
                <w:sz w:val="16"/>
              </w:rPr>
              <w:t>No Launch rules loaded</w:t>
            </w:r>
          </w:p>
        </w:tc>
        <w:tc>
          <w:tcPr>
            <w:tcW w:type="dxa" w:w="2088"/>
            <w:vAlign w:val="top"/>
            <w:shd w:fill="FFFFFF"/>
            <w:tcMar>
              <w:top w:w="65" w:type="dxa"/>
              <w:bottom w:w="65" w:type="dxa"/>
              <w:left w:w="90" w:type="dxa"/>
              <w:right w:w="90" w:type="dxa"/>
            </w:tcMar>
          </w:tcPr>
          <w:p>
            <w:pPr>
              <w:spacing w:after="0" w:line="247" w:lineRule="auto"/>
            </w:pPr>
            <w:r>
              <w:rPr>
                <w:sz w:val="16"/>
              </w:rPr>
              <w:t>1 directly counted each</w:t>
            </w:r>
          </w:p>
        </w:tc>
        <w:tc>
          <w:tcPr>
            <w:tcW w:type="dxa" w:w="1800"/>
            <w:vAlign w:val="top"/>
            <w:shd w:fill="FFFFFF"/>
            <w:tcMar>
              <w:top w:w="65" w:type="dxa"/>
              <w:bottom w:w="65" w:type="dxa"/>
              <w:left w:w="90" w:type="dxa"/>
              <w:right w:w="90" w:type="dxa"/>
            </w:tcMar>
          </w:tcPr>
          <w:p>
            <w:pPr>
              <w:spacing w:after="0" w:line="247" w:lineRule="auto"/>
            </w:pPr>
            <w:r>
              <w:rPr>
                <w:sz w:val="16"/>
              </w:rPr>
              <w:t>1</w:t>
            </w:r>
          </w:p>
        </w:tc>
        <w:tc>
          <w:tcPr>
            <w:tcW w:type="dxa" w:w="2088"/>
            <w:vAlign w:val="top"/>
            <w:shd w:fill="FFFFFF"/>
            <w:tcMar>
              <w:top w:w="65" w:type="dxa"/>
              <w:bottom w:w="65" w:type="dxa"/>
              <w:left w:w="90" w:type="dxa"/>
              <w:right w:w="90" w:type="dxa"/>
            </w:tcMar>
          </w:tcPr>
          <w:p>
            <w:pPr>
              <w:spacing w:after="0" w:line="247" w:lineRule="auto"/>
            </w:pPr>
            <w:r>
              <w:rPr>
                <w:sz w:val="16"/>
              </w:rPr>
              <w:t>3 (dc_fmt 3, 2 and 11)</w:t>
            </w:r>
          </w:p>
        </w:tc>
      </w:tr>
    </w:tbl>
    <w:p>
      <w:pPr>
        <w:spacing w:after="20"/>
      </w:pPr>
      <w:r>
        <w:rPr>
          <w:b w:val="0"/>
        </w:rPr>
      </w:r>
    </w:p>
    <w:p>
      <w:r>
        <w:rPr>
          <w:b w:val="0"/>
        </w:rPr>
        <w:t>The 6 October checks used fresh isolated pages, the unchanged framework and the live Google runtime. Collection requests were blocked. In the Development-build case, Base and A/B/C/D all triggered and completed, and C/D each called the public function once. In the standalone case, only the two direct framework calls ran.</w:t>
      </w:r>
    </w:p>
    <w:p>
      <w:r>
        <w:rPr>
          <w:b w:val="0"/>
        </w:rPr>
        <w:t>Developer Tools Initiator stacks for the dc_fmt=3 and 2 requests point into Google’s runtime scripts. The dc_fmt=11 request had no script stack in the captured Initiator record. Its account, activity, markers and ord matched the corresponding event. No additional framework call or queued event was recorded.</w:t>
      </w:r>
    </w:p>
    <w:p>
      <w:r>
        <w:rPr>
          <w:b/>
        </w:rPr>
        <w:t>The framework issued one logical Floodlight event. Multiple underlying network requests were produced by the Google runtime/testing conditions and should not be interpreted as multiple Launch rule executions or accepted conversions.</w:t>
      </w:r>
    </w:p>
    <w:p>
      <w:r>
        <w:rPr>
          <w:b w:val="0"/>
        </w:rPr>
        <w:t>This conclusion applies to the isolated cases above. The earlier Acronym POC also recorded two Google activity formats (6 and 5) per logical event. The exact reason for Google’s format selection, the variation between dates and behaviour with valid unblocked production collectors were not established. Source screenshots alone cannot prove the event count in their original browser session.</w:t>
      </w:r>
    </w:p>
    <w:p>
      <w:pPr>
        <w:pStyle w:val="Heading1"/>
      </w:pPr>
      <w:r>
        <w:t>16 Google library loading observation</w:t>
      </w:r>
    </w:p>
    <w:p>
      <w:r>
        <w:rPr>
          <w:b w:val="0"/>
        </w:rPr>
        <w:t>Multiple Google script requests do not necessarily mean that the framework injected a library for each conversion. Initiator evidence distinguishes the application’s base loader from Google’s secondary account-specific loading.</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304"/>
        <w:gridCol w:w="3312"/>
        <w:gridCol w:w="2160"/>
        <w:gridCol w:w="2304"/>
      </w:tblGrid>
      <w:tr>
        <w:trPr>
          <w:tblHeader w:val="true"/>
          <w:cantSplit/>
        </w:trPr>
        <w:tc>
          <w:tcPr>
            <w:tcW w:type="dxa" w:w="2304"/>
            <w:vAlign w:val="top"/>
            <w:shd w:fill="DCEAF5"/>
            <w:tcMar>
              <w:top w:w="65" w:type="dxa"/>
              <w:bottom w:w="65" w:type="dxa"/>
              <w:left w:w="90" w:type="dxa"/>
              <w:right w:w="90" w:type="dxa"/>
            </w:tcMar>
          </w:tcPr>
          <w:p>
            <w:pPr>
              <w:spacing w:after="0" w:line="247" w:lineRule="auto"/>
            </w:pPr>
            <w:r>
              <w:rPr>
                <w:b/>
                <w:color w:val="133F69"/>
                <w:sz w:val="16"/>
              </w:rPr>
              <w:t>Test case</w:t>
            </w:r>
          </w:p>
        </w:tc>
        <w:tc>
          <w:tcPr>
            <w:tcW w:type="dxa" w:w="3312"/>
            <w:vAlign w:val="top"/>
            <w:shd w:fill="DCEAF5"/>
            <w:tcMar>
              <w:top w:w="65" w:type="dxa"/>
              <w:bottom w:w="65" w:type="dxa"/>
              <w:left w:w="90" w:type="dxa"/>
              <w:right w:w="90" w:type="dxa"/>
            </w:tcMar>
          </w:tcPr>
          <w:p>
            <w:pPr>
              <w:spacing w:after="0" w:line="247" w:lineRule="auto"/>
            </w:pPr>
            <w:r>
              <w:rPr>
                <w:b/>
                <w:color w:val="133F69"/>
                <w:sz w:val="16"/>
              </w:rPr>
              <w:t>Application base insertion</w:t>
            </w:r>
          </w:p>
        </w:tc>
        <w:tc>
          <w:tcPr>
            <w:tcW w:type="dxa" w:w="2160"/>
            <w:vAlign w:val="top"/>
            <w:shd w:fill="DCEAF5"/>
            <w:tcMar>
              <w:top w:w="65" w:type="dxa"/>
              <w:bottom w:w="65" w:type="dxa"/>
              <w:left w:w="90" w:type="dxa"/>
              <w:right w:w="90" w:type="dxa"/>
            </w:tcMar>
          </w:tcPr>
          <w:p>
            <w:pPr>
              <w:spacing w:after="0" w:line="247" w:lineRule="auto"/>
            </w:pPr>
            <w:r>
              <w:rPr>
                <w:b/>
                <w:color w:val="133F69"/>
                <w:sz w:val="16"/>
              </w:rPr>
              <w:t>Google secondary loads</w:t>
            </w:r>
          </w:p>
        </w:tc>
        <w:tc>
          <w:tcPr>
            <w:tcW w:type="dxa" w:w="2304"/>
            <w:vAlign w:val="top"/>
            <w:shd w:fill="DCEAF5"/>
            <w:tcMar>
              <w:top w:w="65" w:type="dxa"/>
              <w:bottom w:w="65" w:type="dxa"/>
              <w:left w:w="90" w:type="dxa"/>
              <w:right w:w="90" w:type="dxa"/>
            </w:tcMar>
          </w:tcPr>
          <w:p>
            <w:pPr>
              <w:spacing w:after="0" w:line="247" w:lineRule="auto"/>
            </w:pPr>
            <w:r>
              <w:rPr>
                <w:b/>
                <w:color w:val="133F69"/>
                <w:sz w:val="16"/>
              </w:rPr>
              <w:t>Finding</w:t>
            </w:r>
          </w:p>
        </w:tc>
      </w:tr>
      <w:tr>
        <w:trPr>
          <w:cantSplit/>
        </w:trPr>
        <w:tc>
          <w:tcPr>
            <w:tcW w:type="dxa" w:w="2304"/>
            <w:vAlign w:val="top"/>
            <w:shd w:fill="FFFFFF"/>
            <w:tcMar>
              <w:top w:w="65" w:type="dxa"/>
              <w:bottom w:w="65" w:type="dxa"/>
              <w:left w:w="90" w:type="dxa"/>
              <w:right w:w="90" w:type="dxa"/>
            </w:tcMar>
          </w:tcPr>
          <w:p>
            <w:pPr>
              <w:spacing w:after="0" w:line="247" w:lineRule="auto"/>
            </w:pPr>
            <w:r>
              <w:rPr>
                <w:sz w:val="16"/>
              </w:rPr>
              <w:t>Framework only, 6 October</w:t>
            </w:r>
          </w:p>
        </w:tc>
        <w:tc>
          <w:tcPr>
            <w:tcW w:type="dxa" w:w="3312"/>
            <w:vAlign w:val="top"/>
            <w:shd w:fill="FFFFFF"/>
            <w:tcMar>
              <w:top w:w="65" w:type="dxa"/>
              <w:bottom w:w="65" w:type="dxa"/>
              <w:left w:w="90" w:type="dxa"/>
              <w:right w:w="90" w:type="dxa"/>
            </w:tcMar>
          </w:tcPr>
          <w:p>
            <w:pPr>
              <w:spacing w:after="0" w:line="247" w:lineRule="auto"/>
            </w:pPr>
            <w:r>
              <w:rPr>
                <w:sz w:val="16"/>
              </w:rPr>
              <w:t>Framework: DC-1003 once</w:t>
            </w:r>
          </w:p>
        </w:tc>
        <w:tc>
          <w:tcPr>
            <w:tcW w:type="dxa" w:w="2160"/>
            <w:vAlign w:val="top"/>
            <w:shd w:fill="FFFFFF"/>
            <w:tcMar>
              <w:top w:w="65" w:type="dxa"/>
              <w:bottom w:w="65" w:type="dxa"/>
              <w:left w:w="90" w:type="dxa"/>
              <w:right w:w="90" w:type="dxa"/>
            </w:tcMar>
          </w:tcPr>
          <w:p>
            <w:pPr>
              <w:spacing w:after="0" w:line="247" w:lineRule="auto"/>
            </w:pPr>
            <w:r>
              <w:rPr>
                <w:sz w:val="16"/>
              </w:rPr>
              <w:t>DC-1004</w:t>
            </w:r>
          </w:p>
        </w:tc>
        <w:tc>
          <w:tcPr>
            <w:tcW w:type="dxa" w:w="2304"/>
            <w:vAlign w:val="top"/>
            <w:shd w:fill="FFFFFF"/>
            <w:tcMar>
              <w:top w:w="65" w:type="dxa"/>
              <w:bottom w:w="65" w:type="dxa"/>
              <w:left w:w="90" w:type="dxa"/>
              <w:right w:w="90" w:type="dxa"/>
            </w:tcMar>
          </w:tcPr>
          <w:p>
            <w:pPr>
              <w:spacing w:after="0" w:line="247" w:lineRule="auto"/>
            </w:pPr>
            <w:r>
              <w:rPr>
                <w:sz w:val="16"/>
              </w:rPr>
              <w:t>Two runtime script requests; one framework insertion.</w:t>
            </w:r>
          </w:p>
        </w:tc>
      </w:tr>
      <w:tr>
        <w:trPr>
          <w:cantSplit/>
        </w:trPr>
        <w:tc>
          <w:tcPr>
            <w:tcW w:type="dxa" w:w="2304"/>
            <w:vAlign w:val="top"/>
            <w:shd w:fill="F3F7FB"/>
            <w:tcMar>
              <w:top w:w="65" w:type="dxa"/>
              <w:bottom w:w="65" w:type="dxa"/>
              <w:left w:w="90" w:type="dxa"/>
              <w:right w:w="90" w:type="dxa"/>
            </w:tcMar>
          </w:tcPr>
          <w:p>
            <w:pPr>
              <w:spacing w:after="0" w:line="247" w:lineRule="auto"/>
            </w:pPr>
            <w:r>
              <w:rPr>
                <w:sz w:val="16"/>
              </w:rPr>
              <w:t>Acronym first, 6 October</w:t>
            </w:r>
          </w:p>
        </w:tc>
        <w:tc>
          <w:tcPr>
            <w:tcW w:type="dxa" w:w="3312"/>
            <w:vAlign w:val="top"/>
            <w:shd w:fill="F3F7FB"/>
            <w:tcMar>
              <w:top w:w="65" w:type="dxa"/>
              <w:bottom w:w="65" w:type="dxa"/>
              <w:left w:w="90" w:type="dxa"/>
              <w:right w:w="90" w:type="dxa"/>
            </w:tcMar>
          </w:tcPr>
          <w:p>
            <w:pPr>
              <w:spacing w:after="0" w:line="247" w:lineRule="auto"/>
            </w:pPr>
            <w:r>
              <w:rPr>
                <w:sz w:val="16"/>
              </w:rPr>
              <w:t>Acronym: DC-1001&amp;l=dataLayer once; framework: none</w:t>
            </w:r>
          </w:p>
        </w:tc>
        <w:tc>
          <w:tcPr>
            <w:tcW w:type="dxa" w:w="2160"/>
            <w:vAlign w:val="top"/>
            <w:shd w:fill="F3F7FB"/>
            <w:tcMar>
              <w:top w:w="65" w:type="dxa"/>
              <w:bottom w:w="65" w:type="dxa"/>
              <w:left w:w="90" w:type="dxa"/>
              <w:right w:w="90" w:type="dxa"/>
            </w:tcMar>
          </w:tcPr>
          <w:p>
            <w:pPr>
              <w:spacing w:after="0" w:line="247" w:lineRule="auto"/>
            </w:pPr>
            <w:r>
              <w:rPr>
                <w:sz w:val="16"/>
              </w:rPr>
              <w:t>DC-1000, DC-1003, DC-1004</w:t>
            </w:r>
          </w:p>
        </w:tc>
        <w:tc>
          <w:tcPr>
            <w:tcW w:type="dxa" w:w="2304"/>
            <w:vAlign w:val="top"/>
            <w:shd w:fill="F3F7FB"/>
            <w:tcMar>
              <w:top w:w="65" w:type="dxa"/>
              <w:bottom w:w="65" w:type="dxa"/>
              <w:left w:w="90" w:type="dxa"/>
              <w:right w:w="90" w:type="dxa"/>
            </w:tcMar>
          </w:tcPr>
          <w:p>
            <w:pPr>
              <w:spacing w:after="0" w:line="247" w:lineRule="auto"/>
            </w:pPr>
            <w:r>
              <w:rPr>
                <w:sz w:val="16"/>
              </w:rPr>
              <w:t>Framework reused the compatible setup; four runtime scripts in total.</w:t>
            </w:r>
          </w:p>
        </w:tc>
      </w:tr>
      <w:tr>
        <w:trPr>
          <w:cantSplit/>
        </w:trPr>
        <w:tc>
          <w:tcPr>
            <w:tcW w:type="dxa" w:w="2304"/>
            <w:vAlign w:val="top"/>
            <w:shd w:fill="FFFFFF"/>
            <w:tcMar>
              <w:top w:w="65" w:type="dxa"/>
              <w:bottom w:w="65" w:type="dxa"/>
              <w:left w:w="90" w:type="dxa"/>
              <w:right w:w="90" w:type="dxa"/>
            </w:tcMar>
          </w:tcPr>
          <w:p>
            <w:pPr>
              <w:spacing w:after="0" w:line="247" w:lineRule="auto"/>
            </w:pPr>
            <w:r>
              <w:rPr>
                <w:sz w:val="16"/>
              </w:rPr>
              <w:t>Framework first, 1 October</w:t>
            </w:r>
          </w:p>
        </w:tc>
        <w:tc>
          <w:tcPr>
            <w:tcW w:type="dxa" w:w="3312"/>
            <w:vAlign w:val="top"/>
            <w:shd w:fill="FFFFFF"/>
            <w:tcMar>
              <w:top w:w="65" w:type="dxa"/>
              <w:bottom w:w="65" w:type="dxa"/>
              <w:left w:w="90" w:type="dxa"/>
              <w:right w:w="90" w:type="dxa"/>
            </w:tcMar>
          </w:tcPr>
          <w:p>
            <w:pPr>
              <w:spacing w:after="0" w:line="247" w:lineRule="auto"/>
            </w:pPr>
            <w:r>
              <w:rPr>
                <w:sz w:val="16"/>
              </w:rPr>
              <w:t>Framework: DC-1003 once; Acronym: DC-1001&amp;l=dataLayer once</w:t>
            </w:r>
          </w:p>
        </w:tc>
        <w:tc>
          <w:tcPr>
            <w:tcW w:type="dxa" w:w="2160"/>
            <w:vAlign w:val="top"/>
            <w:shd w:fill="FFFFFF"/>
            <w:tcMar>
              <w:top w:w="65" w:type="dxa"/>
              <w:bottom w:w="65" w:type="dxa"/>
              <w:left w:w="90" w:type="dxa"/>
              <w:right w:w="90" w:type="dxa"/>
            </w:tcMar>
          </w:tcPr>
          <w:p>
            <w:pPr>
              <w:spacing w:after="0" w:line="247" w:lineRule="auto"/>
            </w:pPr>
            <w:r>
              <w:rPr>
                <w:sz w:val="16"/>
              </w:rPr>
              <w:t>DC-1000, DC-1001, DC-1004</w:t>
            </w:r>
          </w:p>
        </w:tc>
        <w:tc>
          <w:tcPr>
            <w:tcW w:type="dxa" w:w="2304"/>
            <w:vAlign w:val="top"/>
            <w:shd w:fill="FFFFFF"/>
            <w:tcMar>
              <w:top w:w="65" w:type="dxa"/>
              <w:bottom w:w="65" w:type="dxa"/>
              <w:left w:w="90" w:type="dxa"/>
              <w:right w:w="90" w:type="dxa"/>
            </w:tcMar>
          </w:tcPr>
          <w:p>
            <w:pPr>
              <w:spacing w:after="0" w:line="247" w:lineRule="auto"/>
            </w:pPr>
            <w:r>
              <w:rPr>
                <w:sz w:val="16"/>
              </w:rPr>
              <w:t>Two application loaders operated; five runtime script requests.</w:t>
            </w:r>
          </w:p>
        </w:tc>
      </w:tr>
    </w:tbl>
    <w:p>
      <w:pPr>
        <w:spacing w:after="20"/>
      </w:pPr>
      <w:r>
        <w:rPr>
          <w:b w:val="0"/>
        </w:rPr>
      </w:r>
    </w:p>
    <w:p>
      <w:pPr>
        <w:pStyle w:val="Heading2"/>
        <w:pageBreakBefore/>
      </w:pPr>
      <w:r>
        <w:t>Source Google script evidence and coexistence scope</w:t>
      </w:r>
    </w:p>
    <w:p>
      <w:pPr>
        <w:keepNext/>
        <w:spacing w:after="0"/>
        <w:jc w:val="center"/>
      </w:pPr>
      <w:r>
        <w:drawing>
          <wp:inline xmlns:a="http://schemas.openxmlformats.org/drawingml/2006/main" xmlns:pic="http://schemas.openxmlformats.org/drawingml/2006/picture">
            <wp:extent cx="5852160" cy="2798859"/>
            <wp:docPr id="18" name="Picture 18"/>
            <wp:cNvGraphicFramePr>
              <a:graphicFrameLocks noChangeAspect="1"/>
            </wp:cNvGraphicFramePr>
            <a:graphic>
              <a:graphicData uri="http://schemas.openxmlformats.org/drawingml/2006/picture">
                <pic:pic>
                  <pic:nvPicPr>
                    <pic:cNvPr id="0" name="crop-08.png"/>
                    <pic:cNvPicPr/>
                  </pic:nvPicPr>
                  <pic:blipFill>
                    <a:blip r:embed="rId27"/>
                    <a:stretch>
                      <a:fillRect/>
                    </a:stretch>
                  </pic:blipFill>
                  <pic:spPr>
                    <a:xfrm>
                      <a:off x="0" y="0"/>
                      <a:ext cx="5852160" cy="2798859"/>
                    </a:xfrm>
                    <a:prstGeom prst="rect"/>
                  </pic:spPr>
                </pic:pic>
              </a:graphicData>
            </a:graphic>
          </wp:inline>
        </w:drawing>
      </w:r>
    </w:p>
    <w:p>
      <w:pPr>
        <w:pStyle w:val="Caption"/>
        <w:jc w:val="center"/>
      </w:pPr>
      <w:r>
        <w:rPr>
          <w:b w:val="0"/>
          <w:i/>
          <w:color w:val="607286"/>
          <w:sz w:val="16"/>
        </w:rPr>
        <w:t>Figure 17. Source Developer Tools view of the TEST DC-1000 Google runtime script request.</w:t>
      </w:r>
    </w:p>
    <w:p>
      <w:pPr>
        <w:keepNext/>
        <w:spacing w:after="0"/>
        <w:jc w:val="center"/>
      </w:pPr>
      <w:r>
        <w:drawing>
          <wp:inline xmlns:a="http://schemas.openxmlformats.org/drawingml/2006/main" xmlns:pic="http://schemas.openxmlformats.org/drawingml/2006/picture">
            <wp:extent cx="5852160" cy="2867764"/>
            <wp:docPr id="19" name="Picture 19"/>
            <wp:cNvGraphicFramePr>
              <a:graphicFrameLocks noChangeAspect="1"/>
            </wp:cNvGraphicFramePr>
            <a:graphic>
              <a:graphicData uri="http://schemas.openxmlformats.org/drawingml/2006/picture">
                <pic:pic>
                  <pic:nvPicPr>
                    <pic:cNvPr id="0" name="crop-11.png"/>
                    <pic:cNvPicPr/>
                  </pic:nvPicPr>
                  <pic:blipFill>
                    <a:blip r:embed="rId28"/>
                    <a:stretch>
                      <a:fillRect/>
                    </a:stretch>
                  </pic:blipFill>
                  <pic:spPr>
                    <a:xfrm>
                      <a:off x="0" y="0"/>
                      <a:ext cx="5852160" cy="2867764"/>
                    </a:xfrm>
                    <a:prstGeom prst="rect"/>
                  </pic:spPr>
                </pic:pic>
              </a:graphicData>
            </a:graphic>
          </wp:inline>
        </w:drawing>
      </w:r>
    </w:p>
    <w:p>
      <w:pPr>
        <w:pStyle w:val="Caption"/>
        <w:jc w:val="center"/>
      </w:pPr>
      <w:r>
        <w:rPr>
          <w:b w:val="0"/>
          <w:i/>
          <w:color w:val="607286"/>
          <w:sz w:val="16"/>
        </w:rPr>
        <w:t>Figure 18. Source Developer Tools view of the Acronym TEST DC-1001 base request with l=dataLayer.</w:t>
      </w:r>
    </w:p>
    <w:p>
      <w:r>
        <w:rPr>
          <w:b w:val="0"/>
        </w:rPr>
        <w:t>The isolated Initiator records attribute secondary loads to Google code, while the base insertions are attributable to the wrapper or the Acronym loader. Both implementations used window.dataLayer and window.gtag; object/function identity remained unchanged in the retained coexistence tests. One js command and one config command per test account were retained.</w:t>
      </w:r>
    </w:p>
    <w:p>
      <w:r>
        <w:rPr>
          <w:b w:val="0"/>
        </w:rPr>
        <w:t>Acronym v2.0.0 checks its own __acronym_gtag_loaded marker rather than scanning the DOM for a script from another loader. It still inserted its base script when the framework loaded first. Coexistence was technically demonstrated, but a universal single-base-loader guarantee was not demonstrated. A production implementation needs a clear loading owner and load-order validation.</w:t>
      </w:r>
    </w:p>
    <w:p>
      <w:pPr>
        <w:pStyle w:val="Heading1"/>
        <w:pageBreakBefore/>
      </w:pPr>
      <w:r>
        <w:t>17 Acronym and custom framework comparison</w:t>
      </w:r>
    </w:p>
    <w:p>
      <w:r>
        <w:rPr>
          <w:b w:val="0"/>
        </w:rPr>
        <w:t>Both approaches passed client-side tests for two distinct accounts and activities. The table separates tested behaviour from design capability and remaining implementation work.</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304"/>
        <w:gridCol w:w="3888"/>
        <w:gridCol w:w="3888"/>
      </w:tblGrid>
      <w:tr>
        <w:trPr>
          <w:tblHeader w:val="true"/>
          <w:cantSplit/>
        </w:trPr>
        <w:tc>
          <w:tcPr>
            <w:tcW w:type="dxa" w:w="2304"/>
            <w:vAlign w:val="top"/>
            <w:shd w:fill="DCEAF5"/>
            <w:tcMar>
              <w:top w:w="40" w:type="dxa"/>
              <w:bottom w:w="40" w:type="dxa"/>
              <w:left w:w="90" w:type="dxa"/>
              <w:right w:w="90" w:type="dxa"/>
            </w:tcMar>
          </w:tcPr>
          <w:p>
            <w:pPr>
              <w:spacing w:after="0" w:line="247" w:lineRule="auto"/>
            </w:pPr>
            <w:r>
              <w:rPr>
                <w:b/>
                <w:color w:val="133F69"/>
                <w:sz w:val="16"/>
              </w:rPr>
              <w:t>Area</w:t>
            </w:r>
          </w:p>
        </w:tc>
        <w:tc>
          <w:tcPr>
            <w:tcW w:type="dxa" w:w="3888"/>
            <w:vAlign w:val="top"/>
            <w:shd w:fill="DCEAF5"/>
            <w:tcMar>
              <w:top w:w="40" w:type="dxa"/>
              <w:bottom w:w="40" w:type="dxa"/>
              <w:left w:w="90" w:type="dxa"/>
              <w:right w:w="90" w:type="dxa"/>
            </w:tcMar>
          </w:tcPr>
          <w:p>
            <w:pPr>
              <w:spacing w:after="0" w:line="247" w:lineRule="auto"/>
            </w:pPr>
            <w:r>
              <w:rPr>
                <w:b/>
                <w:color w:val="133F69"/>
                <w:sz w:val="16"/>
              </w:rPr>
              <w:t>Acronym extension</w:t>
            </w:r>
          </w:p>
        </w:tc>
        <w:tc>
          <w:tcPr>
            <w:tcW w:type="dxa" w:w="3888"/>
            <w:vAlign w:val="top"/>
            <w:shd w:fill="DCEAF5"/>
            <w:tcMar>
              <w:top w:w="40" w:type="dxa"/>
              <w:bottom w:w="40" w:type="dxa"/>
              <w:left w:w="90" w:type="dxa"/>
              <w:right w:w="90" w:type="dxa"/>
            </w:tcMar>
          </w:tcPr>
          <w:p>
            <w:pPr>
              <w:spacing w:after="0" w:line="247" w:lineRule="auto"/>
            </w:pPr>
            <w:r>
              <w:rPr>
                <w:b/>
                <w:color w:val="133F69"/>
                <w:sz w:val="16"/>
              </w:rPr>
              <w:t>Reusable custom framework</w:t>
            </w:r>
          </w:p>
        </w:tc>
      </w:tr>
      <w:tr>
        <w:trPr>
          <w:cantSplit/>
        </w:trPr>
        <w:tc>
          <w:tcPr>
            <w:tcW w:type="dxa" w:w="2304"/>
            <w:vAlign w:val="top"/>
            <w:shd w:fill="FFFFFF"/>
            <w:tcMar>
              <w:top w:w="40" w:type="dxa"/>
              <w:bottom w:w="40" w:type="dxa"/>
              <w:left w:w="90" w:type="dxa"/>
              <w:right w:w="90" w:type="dxa"/>
            </w:tcMar>
          </w:tcPr>
          <w:p>
            <w:pPr>
              <w:spacing w:after="0" w:line="247" w:lineRule="auto"/>
            </w:pPr>
            <w:r>
              <w:rPr>
                <w:sz w:val="16"/>
              </w:rPr>
              <w:t>Multiple Floodlight IDs</w:t>
            </w:r>
          </w:p>
        </w:tc>
        <w:tc>
          <w:tcPr>
            <w:tcW w:type="dxa" w:w="3888"/>
            <w:vAlign w:val="top"/>
            <w:shd w:fill="FFFFFF"/>
            <w:tcMar>
              <w:top w:w="40" w:type="dxa"/>
              <w:bottom w:w="40" w:type="dxa"/>
              <w:left w:w="90" w:type="dxa"/>
              <w:right w:w="90" w:type="dxa"/>
            </w:tcMar>
          </w:tcPr>
          <w:p>
            <w:pPr>
              <w:spacing w:after="0" w:line="247" w:lineRule="auto"/>
            </w:pPr>
            <w:r>
              <w:rPr>
                <w:sz w:val="16"/>
              </w:rPr>
              <w:t>Native account configurations; two validated.</w:t>
            </w:r>
          </w:p>
        </w:tc>
        <w:tc>
          <w:tcPr>
            <w:tcW w:type="dxa" w:w="3888"/>
            <w:vAlign w:val="top"/>
            <w:shd w:fill="FFFFFF"/>
            <w:tcMar>
              <w:top w:w="40" w:type="dxa"/>
              <w:bottom w:w="40" w:type="dxa"/>
              <w:left w:w="90" w:type="dxa"/>
              <w:right w:w="90" w:type="dxa"/>
            </w:tcMar>
          </w:tcPr>
          <w:p>
            <w:pPr>
              <w:spacing w:after="0" w:line="247" w:lineRule="auto"/>
            </w:pPr>
            <w:r>
              <w:rPr>
                <w:sz w:val="16"/>
              </w:rPr>
              <w:t>Central accounts definitions; two validated.</w:t>
            </w:r>
          </w:p>
        </w:tc>
      </w:tr>
      <w:tr>
        <w:trPr>
          <w:cantSplit/>
        </w:trPr>
        <w:tc>
          <w:tcPr>
            <w:tcW w:type="dxa" w:w="2304"/>
            <w:vAlign w:val="top"/>
            <w:shd w:fill="F3F7FB"/>
            <w:tcMar>
              <w:top w:w="40" w:type="dxa"/>
              <w:bottom w:w="40" w:type="dxa"/>
              <w:left w:w="90" w:type="dxa"/>
              <w:right w:w="90" w:type="dxa"/>
            </w:tcMar>
          </w:tcPr>
          <w:p>
            <w:pPr>
              <w:spacing w:after="0" w:line="247" w:lineRule="auto"/>
            </w:pPr>
            <w:r>
              <w:rPr>
                <w:sz w:val="16"/>
              </w:rPr>
              <w:t>Multiple activities</w:t>
            </w:r>
          </w:p>
        </w:tc>
        <w:tc>
          <w:tcPr>
            <w:tcW w:type="dxa" w:w="3888"/>
            <w:vAlign w:val="top"/>
            <w:shd w:fill="F3F7FB"/>
            <w:tcMar>
              <w:top w:w="40" w:type="dxa"/>
              <w:bottom w:w="40" w:type="dxa"/>
              <w:left w:w="90" w:type="dxa"/>
              <w:right w:w="90" w:type="dxa"/>
            </w:tcMar>
          </w:tcPr>
          <w:p>
            <w:pPr>
              <w:spacing w:after="0" w:line="247" w:lineRule="auto"/>
            </w:pPr>
            <w:r>
              <w:rPr>
                <w:sz w:val="16"/>
              </w:rPr>
              <w:t>Separate conversion labels in native actions.</w:t>
            </w:r>
          </w:p>
        </w:tc>
        <w:tc>
          <w:tcPr>
            <w:tcW w:type="dxa" w:w="3888"/>
            <w:vAlign w:val="top"/>
            <w:shd w:fill="F3F7FB"/>
            <w:tcMar>
              <w:top w:w="40" w:type="dxa"/>
              <w:bottom w:w="40" w:type="dxa"/>
              <w:left w:w="90" w:type="dxa"/>
              <w:right w:w="90" w:type="dxa"/>
            </w:tcMar>
          </w:tcPr>
          <w:p>
            <w:pPr>
              <w:spacing w:after="0" w:line="247" w:lineRule="auto"/>
            </w:pPr>
            <w:r>
              <w:rPr>
                <w:sz w:val="16"/>
              </w:rPr>
              <w:t>Separate activities definitions and short rule calls.</w:t>
            </w:r>
          </w:p>
        </w:tc>
      </w:tr>
      <w:tr>
        <w:trPr>
          <w:cantSplit/>
        </w:trPr>
        <w:tc>
          <w:tcPr>
            <w:tcW w:type="dxa" w:w="2304"/>
            <w:vAlign w:val="top"/>
            <w:shd w:fill="FFFFFF"/>
            <w:tcMar>
              <w:top w:w="40" w:type="dxa"/>
              <w:bottom w:w="40" w:type="dxa"/>
              <w:left w:w="90" w:type="dxa"/>
              <w:right w:w="90" w:type="dxa"/>
            </w:tcMar>
          </w:tcPr>
          <w:p>
            <w:pPr>
              <w:spacing w:after="0" w:line="247" w:lineRule="auto"/>
            </w:pPr>
            <w:r>
              <w:rPr>
                <w:sz w:val="16"/>
              </w:rPr>
              <w:t>Independent event routing</w:t>
            </w:r>
          </w:p>
        </w:tc>
        <w:tc>
          <w:tcPr>
            <w:tcW w:type="dxa" w:w="3888"/>
            <w:vAlign w:val="top"/>
            <w:shd w:fill="FFFFFF"/>
            <w:tcMar>
              <w:top w:w="40" w:type="dxa"/>
              <w:bottom w:w="40" w:type="dxa"/>
              <w:left w:w="90" w:type="dxa"/>
              <w:right w:w="90" w:type="dxa"/>
            </w:tcMar>
          </w:tcPr>
          <w:p>
            <w:pPr>
              <w:spacing w:after="0" w:line="247" w:lineRule="auto"/>
            </w:pPr>
            <w:r>
              <w:rPr>
                <w:sz w:val="16"/>
              </w:rPr>
              <w:t>Action enables the selected account(s).</w:t>
            </w:r>
          </w:p>
        </w:tc>
        <w:tc>
          <w:tcPr>
            <w:tcW w:type="dxa" w:w="3888"/>
            <w:vAlign w:val="top"/>
            <w:shd w:fill="FFFFFF"/>
            <w:tcMar>
              <w:top w:w="40" w:type="dxa"/>
              <w:bottom w:w="40" w:type="dxa"/>
              <w:left w:w="90" w:type="dxa"/>
              <w:right w:w="90" w:type="dxa"/>
            </w:tcMar>
          </w:tcPr>
          <w:p>
            <w:pPr>
              <w:spacing w:after="0" w:line="247" w:lineRule="auto"/>
            </w:pPr>
            <w:r>
              <w:rPr>
                <w:sz w:val="16"/>
              </w:rPr>
              <w:t>Activity selects its mapped account; caller cannot override send_to.</w:t>
            </w:r>
          </w:p>
        </w:tc>
      </w:tr>
      <w:tr>
        <w:trPr>
          <w:cantSplit/>
        </w:trPr>
        <w:tc>
          <w:tcPr>
            <w:tcW w:type="dxa" w:w="2304"/>
            <w:vAlign w:val="top"/>
            <w:shd w:fill="F3F7FB"/>
            <w:tcMar>
              <w:top w:w="40" w:type="dxa"/>
              <w:bottom w:w="40" w:type="dxa"/>
              <w:left w:w="90" w:type="dxa"/>
              <w:right w:w="90" w:type="dxa"/>
            </w:tcMar>
          </w:tcPr>
          <w:p>
            <w:pPr>
              <w:spacing w:after="0" w:line="247" w:lineRule="auto"/>
            </w:pPr>
            <w:r>
              <w:rPr>
                <w:sz w:val="16"/>
              </w:rPr>
              <w:t>Different conversion labels</w:t>
            </w:r>
          </w:p>
        </w:tc>
        <w:tc>
          <w:tcPr>
            <w:tcW w:type="dxa" w:w="3888"/>
            <w:vAlign w:val="top"/>
            <w:shd w:fill="F3F7FB"/>
            <w:tcMar>
              <w:top w:w="40" w:type="dxa"/>
              <w:bottom w:w="40" w:type="dxa"/>
              <w:left w:w="90" w:type="dxa"/>
              <w:right w:w="90" w:type="dxa"/>
            </w:tcMar>
          </w:tcPr>
          <w:p>
            <w:pPr>
              <w:spacing w:after="0" w:line="247" w:lineRule="auto"/>
            </w:pPr>
            <w:r>
              <w:rPr>
                <w:sz w:val="16"/>
              </w:rPr>
              <w:t>Retained for A/B.</w:t>
            </w:r>
          </w:p>
        </w:tc>
        <w:tc>
          <w:tcPr>
            <w:tcW w:type="dxa" w:w="3888"/>
            <w:vAlign w:val="top"/>
            <w:shd w:fill="F3F7FB"/>
            <w:tcMar>
              <w:top w:w="40" w:type="dxa"/>
              <w:bottom w:w="40" w:type="dxa"/>
              <w:left w:w="90" w:type="dxa"/>
              <w:right w:w="90" w:type="dxa"/>
            </w:tcMar>
          </w:tcPr>
          <w:p>
            <w:pPr>
              <w:spacing w:after="0" w:line="247" w:lineRule="auto"/>
            </w:pPr>
            <w:r>
              <w:rPr>
                <w:sz w:val="16"/>
              </w:rPr>
              <w:t>Constructed centrally and retained for C/D.</w:t>
            </w:r>
          </w:p>
        </w:tc>
      </w:tr>
      <w:tr>
        <w:trPr>
          <w:cantSplit/>
        </w:trPr>
        <w:tc>
          <w:tcPr>
            <w:tcW w:type="dxa" w:w="2304"/>
            <w:vAlign w:val="top"/>
            <w:shd w:fill="FFFFFF"/>
            <w:tcMar>
              <w:top w:w="40" w:type="dxa"/>
              <w:bottom w:w="40" w:type="dxa"/>
              <w:left w:w="90" w:type="dxa"/>
              <w:right w:w="90" w:type="dxa"/>
            </w:tcMar>
          </w:tcPr>
          <w:p>
            <w:pPr>
              <w:spacing w:after="0" w:line="247" w:lineRule="auto"/>
            </w:pPr>
            <w:r>
              <w:rPr>
                <w:sz w:val="16"/>
              </w:rPr>
              <w:t>Counting methods</w:t>
            </w:r>
          </w:p>
        </w:tc>
        <w:tc>
          <w:tcPr>
            <w:tcW w:type="dxa" w:w="3888"/>
            <w:vAlign w:val="top"/>
            <w:shd w:fill="FFFFFF"/>
            <w:tcMar>
              <w:top w:w="40" w:type="dxa"/>
              <w:bottom w:w="40" w:type="dxa"/>
              <w:left w:w="90" w:type="dxa"/>
              <w:right w:w="90" w:type="dxa"/>
            </w:tcMar>
          </w:tcPr>
          <w:p>
            <w:pPr>
              <w:spacing w:after="0" w:line="247" w:lineRule="auto"/>
            </w:pPr>
            <w:r>
              <w:rPr>
                <w:sz w:val="16"/>
              </w:rPr>
              <w:t>Standard and transactions validated.</w:t>
            </w:r>
          </w:p>
        </w:tc>
        <w:tc>
          <w:tcPr>
            <w:tcW w:type="dxa" w:w="3888"/>
            <w:vAlign w:val="top"/>
            <w:shd w:fill="FFFFFF"/>
            <w:tcMar>
              <w:top w:w="40" w:type="dxa"/>
              <w:bottom w:w="40" w:type="dxa"/>
              <w:left w:w="90" w:type="dxa"/>
              <w:right w:w="90" w:type="dxa"/>
            </w:tcMar>
          </w:tcPr>
          <w:p>
            <w:pPr>
              <w:spacing w:after="0" w:line="247" w:lineRule="auto"/>
            </w:pPr>
            <w:r>
              <w:rPr>
                <w:sz w:val="16"/>
              </w:rPr>
              <w:t>Standard and transactions validated. Other listed methods require targeted tests.</w:t>
            </w:r>
          </w:p>
        </w:tc>
      </w:tr>
      <w:tr>
        <w:trPr>
          <w:cantSplit/>
        </w:trPr>
        <w:tc>
          <w:tcPr>
            <w:tcW w:type="dxa" w:w="2304"/>
            <w:vAlign w:val="top"/>
            <w:shd w:fill="F3F7FB"/>
            <w:tcMar>
              <w:top w:w="40" w:type="dxa"/>
              <w:bottom w:w="40" w:type="dxa"/>
              <w:left w:w="90" w:type="dxa"/>
              <w:right w:w="90" w:type="dxa"/>
            </w:tcMar>
          </w:tcPr>
          <w:p>
            <w:pPr>
              <w:spacing w:after="0" w:line="247" w:lineRule="auto"/>
            </w:pPr>
            <w:r>
              <w:rPr>
                <w:sz w:val="16"/>
              </w:rPr>
              <w:t>u1–uN support</w:t>
            </w:r>
          </w:p>
        </w:tc>
        <w:tc>
          <w:tcPr>
            <w:tcW w:type="dxa" w:w="3888"/>
            <w:vAlign w:val="top"/>
            <w:shd w:fill="F3F7FB"/>
            <w:tcMar>
              <w:top w:w="40" w:type="dxa"/>
              <w:bottom w:w="40" w:type="dxa"/>
              <w:left w:w="90" w:type="dxa"/>
              <w:right w:w="90" w:type="dxa"/>
            </w:tcMar>
          </w:tcPr>
          <w:p>
            <w:pPr>
              <w:spacing w:after="0" w:line="247" w:lineRule="auto"/>
            </w:pPr>
            <w:r>
              <w:rPr>
                <w:sz w:val="16"/>
              </w:rPr>
              <w:t>Additional fields; u1–u4 validated.</w:t>
            </w:r>
          </w:p>
        </w:tc>
        <w:tc>
          <w:tcPr>
            <w:tcW w:type="dxa" w:w="3888"/>
            <w:vAlign w:val="top"/>
            <w:shd w:fill="F3F7FB"/>
            <w:tcMar>
              <w:top w:w="40" w:type="dxa"/>
              <w:bottom w:w="40" w:type="dxa"/>
              <w:left w:w="90" w:type="dxa"/>
              <w:right w:w="90" w:type="dxa"/>
            </w:tcMar>
          </w:tcPr>
          <w:p>
            <w:pPr>
              <w:spacing w:after="0" w:line="247" w:lineRule="auto"/>
            </w:pPr>
            <w:r>
              <w:rPr>
                <w:sz w:val="16"/>
              </w:rPr>
              <w:t>Per-call parameters; u1–u4 validated. Wider mapping needs validation.</w:t>
            </w:r>
          </w:p>
        </w:tc>
      </w:tr>
      <w:tr>
        <w:trPr>
          <w:cantSplit/>
        </w:trPr>
        <w:tc>
          <w:tcPr>
            <w:tcW w:type="dxa" w:w="2304"/>
            <w:vAlign w:val="top"/>
            <w:shd w:fill="FFFFFF"/>
            <w:tcMar>
              <w:top w:w="40" w:type="dxa"/>
              <w:bottom w:w="40" w:type="dxa"/>
              <w:left w:w="90" w:type="dxa"/>
              <w:right w:w="90" w:type="dxa"/>
            </w:tcMar>
          </w:tcPr>
          <w:p>
            <w:pPr>
              <w:spacing w:after="0" w:line="247" w:lineRule="auto"/>
            </w:pPr>
            <w:r>
              <w:rPr>
                <w:sz w:val="16"/>
              </w:rPr>
              <w:t>value</w:t>
            </w:r>
          </w:p>
        </w:tc>
        <w:tc>
          <w:tcPr>
            <w:tcW w:type="dxa" w:w="3888"/>
            <w:vAlign w:val="top"/>
            <w:shd w:fill="FFFFFF"/>
            <w:tcMar>
              <w:top w:w="40" w:type="dxa"/>
              <w:bottom w:w="40" w:type="dxa"/>
              <w:left w:w="90" w:type="dxa"/>
              <w:right w:w="90" w:type="dxa"/>
            </w:tcMar>
          </w:tcPr>
          <w:p>
            <w:pPr>
              <w:spacing w:after="0" w:line="247" w:lineRule="auto"/>
            </w:pPr>
            <w:r>
              <w:rPr>
                <w:sz w:val="16"/>
              </w:rPr>
              <w:t>Numeric 11/22 retained; sales cost=22 observed.</w:t>
            </w:r>
          </w:p>
        </w:tc>
        <w:tc>
          <w:tcPr>
            <w:tcW w:type="dxa" w:w="3888"/>
            <w:vAlign w:val="top"/>
            <w:shd w:fill="FFFFFF"/>
            <w:tcMar>
              <w:top w:w="40" w:type="dxa"/>
              <w:bottom w:w="40" w:type="dxa"/>
              <w:left w:w="90" w:type="dxa"/>
              <w:right w:w="90" w:type="dxa"/>
            </w:tcMar>
          </w:tcPr>
          <w:p>
            <w:pPr>
              <w:spacing w:after="0" w:line="247" w:lineRule="auto"/>
            </w:pPr>
            <w:r>
              <w:rPr>
                <w:sz w:val="16"/>
              </w:rPr>
              <w:t>Numeric 33/44 retained; sales cost=44 observed.</w:t>
            </w:r>
          </w:p>
        </w:tc>
      </w:tr>
      <w:tr>
        <w:trPr>
          <w:cantSplit/>
        </w:trPr>
        <w:tc>
          <w:tcPr>
            <w:tcW w:type="dxa" w:w="2304"/>
            <w:vAlign w:val="top"/>
            <w:shd w:fill="F3F7FB"/>
            <w:tcMar>
              <w:top w:w="40" w:type="dxa"/>
              <w:bottom w:w="40" w:type="dxa"/>
              <w:left w:w="90" w:type="dxa"/>
              <w:right w:w="90" w:type="dxa"/>
            </w:tcMar>
          </w:tcPr>
          <w:p>
            <w:pPr>
              <w:spacing w:after="0" w:line="247" w:lineRule="auto"/>
            </w:pPr>
            <w:r>
              <w:rPr>
                <w:sz w:val="16"/>
              </w:rPr>
              <w:t>transaction_id</w:t>
            </w:r>
          </w:p>
        </w:tc>
        <w:tc>
          <w:tcPr>
            <w:tcW w:type="dxa" w:w="3888"/>
            <w:vAlign w:val="top"/>
            <w:shd w:fill="F3F7FB"/>
            <w:tcMar>
              <w:top w:w="40" w:type="dxa"/>
              <w:bottom w:w="40" w:type="dxa"/>
              <w:left w:w="90" w:type="dxa"/>
              <w:right w:w="90" w:type="dxa"/>
            </w:tcMar>
          </w:tcPr>
          <w:p>
            <w:pPr>
              <w:spacing w:after="0" w:line="247" w:lineRule="auto"/>
            </w:pPr>
            <w:r>
              <w:rPr>
                <w:sz w:val="16"/>
              </w:rPr>
              <w:t>TEST transaction string retained for B.</w:t>
            </w:r>
          </w:p>
        </w:tc>
        <w:tc>
          <w:tcPr>
            <w:tcW w:type="dxa" w:w="3888"/>
            <w:vAlign w:val="top"/>
            <w:shd w:fill="F3F7FB"/>
            <w:tcMar>
              <w:top w:w="40" w:type="dxa"/>
              <w:bottom w:w="40" w:type="dxa"/>
              <w:left w:w="90" w:type="dxa"/>
              <w:right w:w="90" w:type="dxa"/>
            </w:tcMar>
          </w:tcPr>
          <w:p>
            <w:pPr>
              <w:spacing w:after="0" w:line="247" w:lineRule="auto"/>
            </w:pPr>
            <w:r>
              <w:rPr>
                <w:sz w:val="16"/>
              </w:rPr>
              <w:t>TEST transaction string retained for D.</w:t>
            </w:r>
          </w:p>
        </w:tc>
      </w:tr>
      <w:tr>
        <w:trPr>
          <w:cantSplit/>
        </w:trPr>
        <w:tc>
          <w:tcPr>
            <w:tcW w:type="dxa" w:w="2304"/>
            <w:vAlign w:val="top"/>
            <w:shd w:fill="FFFFFF"/>
            <w:tcMar>
              <w:top w:w="40" w:type="dxa"/>
              <w:bottom w:w="40" w:type="dxa"/>
              <w:left w:w="90" w:type="dxa"/>
              <w:right w:w="90" w:type="dxa"/>
            </w:tcMar>
          </w:tcPr>
          <w:p>
            <w:pPr>
              <w:spacing w:after="0" w:line="247" w:lineRule="auto"/>
            </w:pPr>
            <w:r>
              <w:rPr>
                <w:sz w:val="16"/>
              </w:rPr>
              <w:t>Launch Data Elements</w:t>
            </w:r>
          </w:p>
        </w:tc>
        <w:tc>
          <w:tcPr>
            <w:tcW w:type="dxa" w:w="3888"/>
            <w:vAlign w:val="top"/>
            <w:shd w:fill="FFFFFF"/>
            <w:tcMar>
              <w:top w:w="40" w:type="dxa"/>
              <w:bottom w:w="40" w:type="dxa"/>
              <w:left w:w="90" w:type="dxa"/>
              <w:right w:w="90" w:type="dxa"/>
            </w:tcMar>
          </w:tcPr>
          <w:p>
            <w:pPr>
              <w:spacing w:after="0" w:line="247" w:lineRule="auto"/>
            </w:pPr>
            <w:r>
              <w:rPr>
                <w:sz w:val="16"/>
              </w:rPr>
              <w:t>Native substitution validated: CITI_ANALYSIS.</w:t>
            </w:r>
          </w:p>
        </w:tc>
        <w:tc>
          <w:tcPr>
            <w:tcW w:type="dxa" w:w="3888"/>
            <w:vAlign w:val="top"/>
            <w:shd w:fill="FFFFFF"/>
            <w:tcMar>
              <w:top w:w="40" w:type="dxa"/>
              <w:bottom w:w="40" w:type="dxa"/>
              <w:left w:w="90" w:type="dxa"/>
              <w:right w:w="90" w:type="dxa"/>
            </w:tcMar>
          </w:tcPr>
          <w:p>
            <w:pPr>
              <w:spacing w:after="0" w:line="247" w:lineRule="auto"/>
            </w:pPr>
            <w:r>
              <w:rPr>
                <w:sz w:val="16"/>
              </w:rPr>
              <w:t>Rule getVar call validated: CITI_FRAMEWORK.</w:t>
            </w:r>
          </w:p>
        </w:tc>
      </w:tr>
      <w:tr>
        <w:trPr>
          <w:cantSplit/>
        </w:trPr>
        <w:tc>
          <w:tcPr>
            <w:tcW w:type="dxa" w:w="2304"/>
            <w:vAlign w:val="top"/>
            <w:shd w:fill="F3F7FB"/>
            <w:tcMar>
              <w:top w:w="40" w:type="dxa"/>
              <w:bottom w:w="40" w:type="dxa"/>
              <w:left w:w="90" w:type="dxa"/>
              <w:right w:w="90" w:type="dxa"/>
            </w:tcMar>
          </w:tcPr>
          <w:p>
            <w:pPr>
              <w:spacing w:after="0" w:line="247" w:lineRule="auto"/>
            </w:pPr>
            <w:r>
              <w:rPr>
                <w:sz w:val="16"/>
              </w:rPr>
              <w:t>Custom JavaScript</w:t>
            </w:r>
          </w:p>
        </w:tc>
        <w:tc>
          <w:tcPr>
            <w:tcW w:type="dxa" w:w="3888"/>
            <w:vAlign w:val="top"/>
            <w:shd w:fill="F3F7FB"/>
            <w:tcMar>
              <w:top w:w="40" w:type="dxa"/>
              <w:bottom w:w="40" w:type="dxa"/>
              <w:left w:w="90" w:type="dxa"/>
              <w:right w:w="90" w:type="dxa"/>
            </w:tcMar>
          </w:tcPr>
          <w:p>
            <w:pPr>
              <w:spacing w:after="0" w:line="247" w:lineRule="auto"/>
            </w:pPr>
            <w:r>
              <w:rPr>
                <w:sz w:val="16"/>
              </w:rPr>
              <w:t>None in POC configuration or event actions.</w:t>
            </w:r>
          </w:p>
        </w:tc>
        <w:tc>
          <w:tcPr>
            <w:tcW w:type="dxa" w:w="3888"/>
            <w:vAlign w:val="top"/>
            <w:shd w:fill="F3F7FB"/>
            <w:tcMar>
              <w:top w:w="40" w:type="dxa"/>
              <w:bottom w:w="40" w:type="dxa"/>
              <w:left w:w="90" w:type="dxa"/>
              <w:right w:w="90" w:type="dxa"/>
            </w:tcMar>
          </w:tcPr>
          <w:p>
            <w:pPr>
              <w:spacing w:after="0" w:line="247" w:lineRule="auto"/>
            </w:pPr>
            <w:r>
              <w:rPr>
                <w:sz w:val="16"/>
              </w:rPr>
              <w:t>Common Base code and small per-event calls.</w:t>
            </w:r>
          </w:p>
        </w:tc>
      </w:tr>
      <w:tr>
        <w:trPr>
          <w:cantSplit/>
        </w:trPr>
        <w:tc>
          <w:tcPr>
            <w:tcW w:type="dxa" w:w="2304"/>
            <w:vAlign w:val="top"/>
            <w:shd w:fill="FFFFFF"/>
            <w:tcMar>
              <w:top w:w="40" w:type="dxa"/>
              <w:bottom w:w="40" w:type="dxa"/>
              <w:left w:w="90" w:type="dxa"/>
              <w:right w:w="90" w:type="dxa"/>
            </w:tcMar>
          </w:tcPr>
          <w:p>
            <w:pPr>
              <w:spacing w:after="0" w:line="247" w:lineRule="auto"/>
            </w:pPr>
            <w:r>
              <w:rPr>
                <w:sz w:val="16"/>
              </w:rPr>
              <w:t>Central account management</w:t>
            </w:r>
          </w:p>
        </w:tc>
        <w:tc>
          <w:tcPr>
            <w:tcW w:type="dxa" w:w="3888"/>
            <w:vAlign w:val="top"/>
            <w:shd w:fill="FFFFFF"/>
            <w:tcMar>
              <w:top w:w="40" w:type="dxa"/>
              <w:bottom w:w="40" w:type="dxa"/>
              <w:left w:w="90" w:type="dxa"/>
              <w:right w:w="90" w:type="dxa"/>
            </w:tcMar>
          </w:tcPr>
          <w:p>
            <w:pPr>
              <w:spacing w:after="0" w:line="247" w:lineRule="auto"/>
            </w:pPr>
            <w:r>
              <w:rPr>
                <w:sz w:val="16"/>
              </w:rPr>
              <w:t>Extension account settings.</w:t>
            </w:r>
          </w:p>
        </w:tc>
        <w:tc>
          <w:tcPr>
            <w:tcW w:type="dxa" w:w="3888"/>
            <w:vAlign w:val="top"/>
            <w:shd w:fill="FFFFFF"/>
            <w:tcMar>
              <w:top w:w="40" w:type="dxa"/>
              <w:bottom w:w="40" w:type="dxa"/>
              <w:left w:w="90" w:type="dxa"/>
              <w:right w:w="90" w:type="dxa"/>
            </w:tcMar>
          </w:tcPr>
          <w:p>
            <w:pPr>
              <w:spacing w:after="0" w:line="247" w:lineRule="auto"/>
            </w:pPr>
            <w:r>
              <w:rPr>
                <w:sz w:val="16"/>
              </w:rPr>
              <w:t>window.CitiFloodlightConfig.accounts.</w:t>
            </w:r>
          </w:p>
        </w:tc>
      </w:tr>
      <w:tr>
        <w:trPr>
          <w:cantSplit/>
        </w:trPr>
        <w:tc>
          <w:tcPr>
            <w:tcW w:type="dxa" w:w="2304"/>
            <w:vAlign w:val="top"/>
            <w:shd w:fill="F3F7FB"/>
            <w:tcMar>
              <w:top w:w="40" w:type="dxa"/>
              <w:bottom w:w="40" w:type="dxa"/>
              <w:left w:w="90" w:type="dxa"/>
              <w:right w:w="90" w:type="dxa"/>
            </w:tcMar>
          </w:tcPr>
          <w:p>
            <w:pPr>
              <w:spacing w:after="0" w:line="247" w:lineRule="auto"/>
            </w:pPr>
            <w:r>
              <w:rPr>
                <w:sz w:val="16"/>
              </w:rPr>
              <w:t>SPA compatibility</w:t>
            </w:r>
          </w:p>
        </w:tc>
        <w:tc>
          <w:tcPr>
            <w:tcW w:type="dxa" w:w="3888"/>
            <w:vAlign w:val="top"/>
            <w:shd w:fill="F3F7FB"/>
            <w:tcMar>
              <w:top w:w="40" w:type="dxa"/>
              <w:bottom w:w="40" w:type="dxa"/>
              <w:left w:w="90" w:type="dxa"/>
              <w:right w:w="90" w:type="dxa"/>
            </w:tcMar>
          </w:tcPr>
          <w:p>
            <w:pPr>
              <w:spacing w:after="0" w:line="247" w:lineRule="auto"/>
            </w:pPr>
            <w:r>
              <w:rPr>
                <w:sz w:val="16"/>
              </w:rPr>
              <w:t>Can send events on rule-selected interactions; Citi SPA testing pending.</w:t>
            </w:r>
          </w:p>
        </w:tc>
        <w:tc>
          <w:tcPr>
            <w:tcW w:type="dxa" w:w="3888"/>
            <w:vAlign w:val="top"/>
            <w:shd w:fill="F3F7FB"/>
            <w:tcMar>
              <w:top w:w="40" w:type="dxa"/>
              <w:bottom w:w="40" w:type="dxa"/>
              <w:left w:w="90" w:type="dxa"/>
              <w:right w:w="90" w:type="dxa"/>
            </w:tcMar>
          </w:tcPr>
          <w:p>
            <w:pPr>
              <w:spacing w:after="0" w:line="247" w:lineRule="auto"/>
            </w:pPr>
            <w:r>
              <w:rPr>
                <w:sz w:val="16"/>
              </w:rPr>
              <w:t>Persistent state supports repeated document interactions; Citi SPA testing pending.</w:t>
            </w:r>
          </w:p>
        </w:tc>
      </w:tr>
      <w:tr>
        <w:trPr>
          <w:cantSplit/>
        </w:trPr>
        <w:tc>
          <w:tcPr>
            <w:tcW w:type="dxa" w:w="2304"/>
            <w:vAlign w:val="top"/>
            <w:shd w:fill="FFFFFF"/>
            <w:tcMar>
              <w:top w:w="40" w:type="dxa"/>
              <w:bottom w:w="40" w:type="dxa"/>
              <w:left w:w="90" w:type="dxa"/>
              <w:right w:w="90" w:type="dxa"/>
            </w:tcMar>
          </w:tcPr>
          <w:p>
            <w:pPr>
              <w:spacing w:after="0" w:line="247" w:lineRule="auto"/>
            </w:pPr>
            <w:r>
              <w:rPr>
                <w:sz w:val="16"/>
              </w:rPr>
              <w:t>Initialisation handling</w:t>
            </w:r>
          </w:p>
        </w:tc>
        <w:tc>
          <w:tcPr>
            <w:tcW w:type="dxa" w:w="3888"/>
            <w:vAlign w:val="top"/>
            <w:shd w:fill="FFFFFF"/>
            <w:tcMar>
              <w:top w:w="40" w:type="dxa"/>
              <w:bottom w:w="40" w:type="dxa"/>
              <w:left w:w="90" w:type="dxa"/>
              <w:right w:w="90" w:type="dxa"/>
            </w:tcMar>
          </w:tcPr>
          <w:p>
            <w:pPr>
              <w:spacing w:after="0" w:line="247" w:lineRule="auto"/>
            </w:pPr>
            <w:r>
              <w:rPr>
                <w:sz w:val="16"/>
              </w:rPr>
              <w:t>Own loaded marker and tagging setup reuse.</w:t>
            </w:r>
          </w:p>
        </w:tc>
        <w:tc>
          <w:tcPr>
            <w:tcW w:type="dxa" w:w="3888"/>
            <w:vAlign w:val="top"/>
            <w:shd w:fill="FFFFFF"/>
            <w:tcMar>
              <w:top w:w="40" w:type="dxa"/>
              <w:bottom w:w="40" w:type="dxa"/>
              <w:left w:w="90" w:type="dxa"/>
              <w:right w:w="90" w:type="dxa"/>
            </w:tcMar>
          </w:tcPr>
          <w:p>
            <w:pPr>
              <w:spacing w:after="0" w:line="247" w:lineRule="auto"/>
            </w:pPr>
            <w:r>
              <w:rPr>
                <w:sz w:val="16"/>
              </w:rPr>
              <w:t>Queue/script checks and per-account state. Cross-loader order matters.</w:t>
            </w:r>
          </w:p>
        </w:tc>
      </w:tr>
      <w:tr>
        <w:trPr>
          <w:cantSplit/>
        </w:trPr>
        <w:tc>
          <w:tcPr>
            <w:tcW w:type="dxa" w:w="2304"/>
            <w:vAlign w:val="top"/>
            <w:shd w:fill="F3F7FB"/>
            <w:tcMar>
              <w:top w:w="40" w:type="dxa"/>
              <w:bottom w:w="40" w:type="dxa"/>
              <w:left w:w="90" w:type="dxa"/>
              <w:right w:w="90" w:type="dxa"/>
            </w:tcMar>
          </w:tcPr>
          <w:p>
            <w:pPr>
              <w:spacing w:after="0" w:line="247" w:lineRule="auto"/>
            </w:pPr>
            <w:r>
              <w:rPr>
                <w:sz w:val="16"/>
              </w:rPr>
              <w:t>Repeated business events</w:t>
            </w:r>
          </w:p>
        </w:tc>
        <w:tc>
          <w:tcPr>
            <w:tcW w:type="dxa" w:w="3888"/>
            <w:vAlign w:val="top"/>
            <w:shd w:fill="F3F7FB"/>
            <w:tcMar>
              <w:top w:w="40" w:type="dxa"/>
              <w:bottom w:w="40" w:type="dxa"/>
              <w:left w:w="90" w:type="dxa"/>
              <w:right w:w="90" w:type="dxa"/>
            </w:tcMar>
          </w:tcPr>
          <w:p>
            <w:pPr>
              <w:spacing w:after="0" w:line="247" w:lineRule="auto"/>
            </w:pPr>
            <w:r>
              <w:rPr>
                <w:sz w:val="16"/>
              </w:rPr>
              <w:t>Native events remain separate commands.</w:t>
            </w:r>
          </w:p>
        </w:tc>
        <w:tc>
          <w:tcPr>
            <w:tcW w:type="dxa" w:w="3888"/>
            <w:vAlign w:val="top"/>
            <w:shd w:fill="F3F7FB"/>
            <w:tcMar>
              <w:top w:w="40" w:type="dxa"/>
              <w:bottom w:w="40" w:type="dxa"/>
              <w:left w:w="90" w:type="dxa"/>
              <w:right w:w="90" w:type="dxa"/>
            </w:tcMar>
          </w:tcPr>
          <w:p>
            <w:pPr>
              <w:spacing w:after="0" w:line="247" w:lineRule="auto"/>
            </w:pPr>
            <w:r>
              <w:rPr>
                <w:sz w:val="16"/>
              </w:rPr>
              <w:t>Two deliberate calls produced two events; no conversion deduplication.</w:t>
            </w:r>
          </w:p>
        </w:tc>
      </w:tr>
      <w:tr>
        <w:trPr>
          <w:cantSplit/>
        </w:trPr>
        <w:tc>
          <w:tcPr>
            <w:tcW w:type="dxa" w:w="2304"/>
            <w:vAlign w:val="top"/>
            <w:shd w:fill="FFFFFF"/>
            <w:tcMar>
              <w:top w:w="40" w:type="dxa"/>
              <w:bottom w:w="40" w:type="dxa"/>
              <w:left w:w="90" w:type="dxa"/>
              <w:right w:w="90" w:type="dxa"/>
            </w:tcMar>
          </w:tcPr>
          <w:p>
            <w:pPr>
              <w:spacing w:after="0" w:line="247" w:lineRule="auto"/>
            </w:pPr>
            <w:r>
              <w:rPr>
                <w:sz w:val="16"/>
              </w:rPr>
              <w:t>Ease for non-coders</w:t>
            </w:r>
          </w:p>
        </w:tc>
        <w:tc>
          <w:tcPr>
            <w:tcW w:type="dxa" w:w="3888"/>
            <w:vAlign w:val="top"/>
            <w:shd w:fill="FFFFFF"/>
            <w:tcMar>
              <w:top w:w="40" w:type="dxa"/>
              <w:bottom w:w="40" w:type="dxa"/>
              <w:left w:w="90" w:type="dxa"/>
              <w:right w:w="90" w:type="dxa"/>
            </w:tcMar>
          </w:tcPr>
          <w:p>
            <w:pPr>
              <w:spacing w:after="0" w:line="247" w:lineRule="auto"/>
            </w:pPr>
            <w:r>
              <w:rPr>
                <w:sz w:val="16"/>
              </w:rPr>
              <w:t>Native forms and account toggles.</w:t>
            </w:r>
          </w:p>
        </w:tc>
        <w:tc>
          <w:tcPr>
            <w:tcW w:type="dxa" w:w="3888"/>
            <w:vAlign w:val="top"/>
            <w:shd w:fill="FFFFFF"/>
            <w:tcMar>
              <w:top w:w="40" w:type="dxa"/>
              <w:bottom w:w="40" w:type="dxa"/>
              <w:left w:w="90" w:type="dxa"/>
              <w:right w:w="90" w:type="dxa"/>
            </w:tcMar>
          </w:tcPr>
          <w:p>
            <w:pPr>
              <w:spacing w:after="0" w:line="247" w:lineRule="auto"/>
            </w:pPr>
            <w:r>
              <w:rPr>
                <w:sz w:val="16"/>
              </w:rPr>
              <w:t>Rules are small; common configuration requires code ownership.</w:t>
            </w:r>
          </w:p>
        </w:tc>
      </w:tr>
      <w:tr>
        <w:trPr>
          <w:cantSplit/>
        </w:trPr>
        <w:tc>
          <w:tcPr>
            <w:tcW w:type="dxa" w:w="2304"/>
            <w:vAlign w:val="top"/>
            <w:shd w:fill="F3F7FB"/>
            <w:tcMar>
              <w:top w:w="40" w:type="dxa"/>
              <w:bottom w:w="40" w:type="dxa"/>
              <w:left w:w="90" w:type="dxa"/>
              <w:right w:w="90" w:type="dxa"/>
            </w:tcMar>
          </w:tcPr>
          <w:p>
            <w:pPr>
              <w:spacing w:after="0" w:line="247" w:lineRule="auto"/>
            </w:pPr>
            <w:r>
              <w:rPr>
                <w:sz w:val="16"/>
              </w:rPr>
              <w:t>Launch extension dependency</w:t>
            </w:r>
          </w:p>
        </w:tc>
        <w:tc>
          <w:tcPr>
            <w:tcW w:type="dxa" w:w="3888"/>
            <w:vAlign w:val="top"/>
            <w:shd w:fill="F3F7FB"/>
            <w:tcMar>
              <w:top w:w="40" w:type="dxa"/>
              <w:bottom w:w="40" w:type="dxa"/>
              <w:left w:w="90" w:type="dxa"/>
              <w:right w:w="90" w:type="dxa"/>
            </w:tcMar>
          </w:tcPr>
          <w:p>
            <w:pPr>
              <w:spacing w:after="0" w:line="247" w:lineRule="auto"/>
            </w:pPr>
            <w:r>
              <w:rPr>
                <w:sz w:val="16"/>
              </w:rPr>
              <w:t>Acronym plus Core lifecycle/Data Elements.</w:t>
            </w:r>
          </w:p>
        </w:tc>
        <w:tc>
          <w:tcPr>
            <w:tcW w:type="dxa" w:w="3888"/>
            <w:vAlign w:val="top"/>
            <w:shd w:fill="F3F7FB"/>
            <w:tcMar>
              <w:top w:w="40" w:type="dxa"/>
              <w:bottom w:w="40" w:type="dxa"/>
              <w:left w:w="90" w:type="dxa"/>
              <w:right w:w="90" w:type="dxa"/>
            </w:tcMar>
          </w:tcPr>
          <w:p>
            <w:pPr>
              <w:spacing w:after="0" w:line="247" w:lineRule="auto"/>
            </w:pPr>
            <w:r>
              <w:rPr>
                <w:sz w:val="16"/>
              </w:rPr>
              <w:t>Core Custom Code; no Acronym dependency.</w:t>
            </w:r>
          </w:p>
        </w:tc>
      </w:tr>
      <w:tr>
        <w:trPr>
          <w:cantSplit/>
        </w:trPr>
        <w:tc>
          <w:tcPr>
            <w:tcW w:type="dxa" w:w="2304"/>
            <w:vAlign w:val="top"/>
            <w:shd w:fill="FFFFFF"/>
            <w:tcMar>
              <w:top w:w="40" w:type="dxa"/>
              <w:bottom w:w="40" w:type="dxa"/>
              <w:left w:w="90" w:type="dxa"/>
              <w:right w:w="90" w:type="dxa"/>
            </w:tcMar>
          </w:tcPr>
          <w:p>
            <w:pPr>
              <w:spacing w:after="0" w:line="247" w:lineRule="auto"/>
            </w:pPr>
            <w:r>
              <w:rPr>
                <w:sz w:val="16"/>
              </w:rPr>
              <w:t>Google runtime dependency</w:t>
            </w:r>
          </w:p>
        </w:tc>
        <w:tc>
          <w:tcPr>
            <w:tcW w:type="dxa" w:w="3888"/>
            <w:vAlign w:val="top"/>
            <w:shd w:fill="FFFFFF"/>
            <w:tcMar>
              <w:top w:w="40" w:type="dxa"/>
              <w:bottom w:w="40" w:type="dxa"/>
              <w:left w:w="90" w:type="dxa"/>
              <w:right w:w="90" w:type="dxa"/>
            </w:tcMar>
          </w:tcPr>
          <w:p>
            <w:pPr>
              <w:spacing w:after="0" w:line="247" w:lineRule="auto"/>
            </w:pPr>
            <w:r>
              <w:rPr>
                <w:sz w:val="16"/>
              </w:rPr>
              <w:t>Google gtag.js.</w:t>
            </w:r>
          </w:p>
        </w:tc>
        <w:tc>
          <w:tcPr>
            <w:tcW w:type="dxa" w:w="3888"/>
            <w:vAlign w:val="top"/>
            <w:shd w:fill="FFFFFF"/>
            <w:tcMar>
              <w:top w:w="40" w:type="dxa"/>
              <w:bottom w:w="40" w:type="dxa"/>
              <w:left w:w="90" w:type="dxa"/>
              <w:right w:w="90" w:type="dxa"/>
            </w:tcMar>
          </w:tcPr>
          <w:p>
            <w:pPr>
              <w:spacing w:after="0" w:line="247" w:lineRule="auto"/>
            </w:pPr>
            <w:r>
              <w:rPr>
                <w:sz w:val="16"/>
              </w:rPr>
              <w:t>Google gtag.js.</w:t>
            </w:r>
          </w:p>
        </w:tc>
      </w:tr>
      <w:tr>
        <w:trPr>
          <w:cantSplit/>
        </w:trPr>
        <w:tc>
          <w:tcPr>
            <w:tcW w:type="dxa" w:w="2304"/>
            <w:vAlign w:val="top"/>
            <w:shd w:fill="F3F7FB"/>
            <w:tcMar>
              <w:top w:w="40" w:type="dxa"/>
              <w:bottom w:w="40" w:type="dxa"/>
              <w:left w:w="90" w:type="dxa"/>
              <w:right w:w="90" w:type="dxa"/>
            </w:tcMar>
          </w:tcPr>
          <w:p>
            <w:pPr>
              <w:spacing w:after="0" w:line="247" w:lineRule="auto"/>
            </w:pPr>
            <w:r>
              <w:rPr>
                <w:sz w:val="16"/>
              </w:rPr>
              <w:t>Publisher and ownership</w:t>
            </w:r>
          </w:p>
        </w:tc>
        <w:tc>
          <w:tcPr>
            <w:tcW w:type="dxa" w:w="3888"/>
            <w:vAlign w:val="top"/>
            <w:shd w:fill="F3F7FB"/>
            <w:tcMar>
              <w:top w:w="40" w:type="dxa"/>
              <w:bottom w:w="40" w:type="dxa"/>
              <w:left w:w="90" w:type="dxa"/>
              <w:right w:w="90" w:type="dxa"/>
            </w:tcMar>
          </w:tcPr>
          <w:p>
            <w:pPr>
              <w:spacing w:after="0" w:line="247" w:lineRule="auto"/>
            </w:pPr>
            <w:r>
              <w:rPr>
                <w:sz w:val="16"/>
              </w:rPr>
              <w:t>Acronym owns the Launch extension.</w:t>
            </w:r>
          </w:p>
        </w:tc>
        <w:tc>
          <w:tcPr>
            <w:tcW w:type="dxa" w:w="3888"/>
            <w:vAlign w:val="top"/>
            <w:shd w:fill="F3F7FB"/>
            <w:tcMar>
              <w:top w:w="40" w:type="dxa"/>
              <w:bottom w:w="40" w:type="dxa"/>
              <w:left w:w="90" w:type="dxa"/>
              <w:right w:w="90" w:type="dxa"/>
            </w:tcMar>
          </w:tcPr>
          <w:p>
            <w:pPr>
              <w:spacing w:after="0" w:line="247" w:lineRule="auto"/>
            </w:pPr>
            <w:r>
              <w:rPr>
                <w:sz w:val="16"/>
              </w:rPr>
              <w:t>Google owns the runtime; internal team owns the wrapper.</w:t>
            </w:r>
          </w:p>
        </w:tc>
      </w:tr>
      <w:tr>
        <w:trPr>
          <w:cantSplit/>
        </w:trPr>
        <w:tc>
          <w:tcPr>
            <w:tcW w:type="dxa" w:w="2304"/>
            <w:vAlign w:val="top"/>
            <w:shd w:fill="FFFFFF"/>
            <w:tcMar>
              <w:top w:w="40" w:type="dxa"/>
              <w:bottom w:w="40" w:type="dxa"/>
              <w:left w:w="90" w:type="dxa"/>
              <w:right w:w="90" w:type="dxa"/>
            </w:tcMar>
          </w:tcPr>
          <w:p>
            <w:pPr>
              <w:spacing w:after="0" w:line="247" w:lineRule="auto"/>
            </w:pPr>
            <w:r>
              <w:rPr>
                <w:sz w:val="16"/>
              </w:rPr>
              <w:t>Adobe recommendation</w:t>
            </w:r>
          </w:p>
        </w:tc>
        <w:tc>
          <w:tcPr>
            <w:tcW w:type="dxa" w:w="3888"/>
            <w:vAlign w:val="top"/>
            <w:shd w:fill="FFFFFF"/>
            <w:tcMar>
              <w:top w:w="40" w:type="dxa"/>
              <w:bottom w:w="40" w:type="dxa"/>
              <w:left w:w="90" w:type="dxa"/>
              <w:right w:w="90" w:type="dxa"/>
            </w:tcMar>
          </w:tcPr>
          <w:p>
            <w:pPr>
              <w:spacing w:after="0" w:line="247" w:lineRule="auto"/>
            </w:pPr>
            <w:r>
              <w:rPr>
                <w:sz w:val="16"/>
              </w:rPr>
              <w:t>Explicitly recommended by Adobe. [1]</w:t>
            </w:r>
          </w:p>
        </w:tc>
        <w:tc>
          <w:tcPr>
            <w:tcW w:type="dxa" w:w="3888"/>
            <w:vAlign w:val="top"/>
            <w:shd w:fill="FFFFFF"/>
            <w:tcMar>
              <w:top w:w="40" w:type="dxa"/>
              <w:bottom w:w="40" w:type="dxa"/>
              <w:left w:w="90" w:type="dxa"/>
              <w:right w:w="90" w:type="dxa"/>
            </w:tcMar>
          </w:tcPr>
          <w:p>
            <w:pPr>
              <w:spacing w:after="0" w:line="247" w:lineRule="auto"/>
            </w:pPr>
            <w:r>
              <w:rPr>
                <w:sz w:val="16"/>
              </w:rPr>
              <w:t>No Adobe recommendation for this specific wrapper is claimed.</w:t>
            </w:r>
          </w:p>
        </w:tc>
      </w:tr>
      <w:tr>
        <w:trPr>
          <w:cantSplit/>
        </w:trPr>
        <w:tc>
          <w:tcPr>
            <w:tcW w:type="dxa" w:w="2304"/>
            <w:vAlign w:val="top"/>
            <w:shd w:fill="F3F7FB"/>
            <w:tcMar>
              <w:top w:w="40" w:type="dxa"/>
              <w:bottom w:w="40" w:type="dxa"/>
              <w:left w:w="90" w:type="dxa"/>
              <w:right w:w="90" w:type="dxa"/>
            </w:tcMar>
          </w:tcPr>
          <w:p>
            <w:pPr>
              <w:spacing w:after="0" w:line="247" w:lineRule="auto"/>
            </w:pPr>
            <w:r>
              <w:rPr>
                <w:sz w:val="16"/>
              </w:rPr>
              <w:t>Maintenance ownership</w:t>
            </w:r>
          </w:p>
        </w:tc>
        <w:tc>
          <w:tcPr>
            <w:tcW w:type="dxa" w:w="3888"/>
            <w:vAlign w:val="top"/>
            <w:shd w:fill="F3F7FB"/>
            <w:tcMar>
              <w:top w:w="40" w:type="dxa"/>
              <w:bottom w:w="40" w:type="dxa"/>
              <w:left w:w="90" w:type="dxa"/>
              <w:right w:w="90" w:type="dxa"/>
            </w:tcMar>
          </w:tcPr>
          <w:p>
            <w:pPr>
              <w:spacing w:after="0" w:line="247" w:lineRule="auto"/>
            </w:pPr>
            <w:r>
              <w:rPr>
                <w:sz w:val="16"/>
              </w:rPr>
              <w:t>Acronym extension updates; internal rule mapping and validation.</w:t>
            </w:r>
          </w:p>
        </w:tc>
        <w:tc>
          <w:tcPr>
            <w:tcW w:type="dxa" w:w="3888"/>
            <w:vAlign w:val="top"/>
            <w:shd w:fill="F3F7FB"/>
            <w:tcMar>
              <w:top w:w="40" w:type="dxa"/>
              <w:bottom w:w="40" w:type="dxa"/>
              <w:left w:w="90" w:type="dxa"/>
              <w:right w:w="90" w:type="dxa"/>
            </w:tcMar>
          </w:tcPr>
          <w:p>
            <w:pPr>
              <w:spacing w:after="0" w:line="247" w:lineRule="auto"/>
            </w:pPr>
            <w:r>
              <w:rPr>
                <w:sz w:val="16"/>
              </w:rPr>
              <w:t>Citi/eClerx code maintenance, testing and version control.</w:t>
            </w:r>
          </w:p>
        </w:tc>
      </w:tr>
      <w:tr>
        <w:trPr>
          <w:cantSplit/>
        </w:trPr>
        <w:tc>
          <w:tcPr>
            <w:tcW w:type="dxa" w:w="2304"/>
            <w:vAlign w:val="top"/>
            <w:shd w:fill="FFFFFF"/>
            <w:tcMar>
              <w:top w:w="40" w:type="dxa"/>
              <w:bottom w:w="40" w:type="dxa"/>
              <w:left w:w="90" w:type="dxa"/>
              <w:right w:w="90" w:type="dxa"/>
            </w:tcMar>
          </w:tcPr>
          <w:p>
            <w:pPr>
              <w:spacing w:after="0" w:line="247" w:lineRule="auto"/>
            </w:pPr>
            <w:r>
              <w:rPr>
                <w:sz w:val="16"/>
              </w:rPr>
              <w:t>Technical POC result</w:t>
            </w:r>
          </w:p>
        </w:tc>
        <w:tc>
          <w:tcPr>
            <w:tcW w:type="dxa" w:w="3888"/>
            <w:vAlign w:val="top"/>
            <w:shd w:fill="FFFFFF"/>
            <w:tcMar>
              <w:top w:w="40" w:type="dxa"/>
              <w:bottom w:w="40" w:type="dxa"/>
              <w:left w:w="90" w:type="dxa"/>
              <w:right w:w="90" w:type="dxa"/>
            </w:tcMar>
          </w:tcPr>
          <w:p>
            <w:pPr>
              <w:spacing w:after="0" w:line="247" w:lineRule="auto"/>
            </w:pPr>
            <w:r>
              <w:rPr>
                <w:sz w:val="16"/>
              </w:rPr>
              <w:t>Client-side multi-ID routing passed.</w:t>
            </w:r>
          </w:p>
        </w:tc>
        <w:tc>
          <w:tcPr>
            <w:tcW w:type="dxa" w:w="3888"/>
            <w:vAlign w:val="top"/>
            <w:shd w:fill="FFFFFF"/>
            <w:tcMar>
              <w:top w:w="40" w:type="dxa"/>
              <w:bottom w:w="40" w:type="dxa"/>
              <w:left w:w="90" w:type="dxa"/>
              <w:right w:w="90" w:type="dxa"/>
            </w:tcMar>
          </w:tcPr>
          <w:p>
            <w:pPr>
              <w:spacing w:after="0" w:line="247" w:lineRule="auto"/>
            </w:pPr>
            <w:r>
              <w:rPr>
                <w:sz w:val="16"/>
              </w:rPr>
              <w:t>Client-side routing and state checks passed; loading caveat recorded.</w:t>
            </w:r>
          </w:p>
        </w:tc>
      </w:tr>
      <w:tr>
        <w:trPr>
          <w:cantSplit/>
        </w:trPr>
        <w:tc>
          <w:tcPr>
            <w:tcW w:type="dxa" w:w="2304"/>
            <w:vAlign w:val="top"/>
            <w:shd w:fill="F3F7FB"/>
            <w:tcMar>
              <w:top w:w="40" w:type="dxa"/>
              <w:bottom w:w="40" w:type="dxa"/>
              <w:left w:w="90" w:type="dxa"/>
              <w:right w:w="90" w:type="dxa"/>
            </w:tcMar>
          </w:tcPr>
          <w:p>
            <w:pPr>
              <w:spacing w:after="0" w:line="247" w:lineRule="auto"/>
            </w:pPr>
            <w:r>
              <w:rPr>
                <w:sz w:val="16"/>
              </w:rPr>
              <w:t>Governance consideration</w:t>
            </w:r>
          </w:p>
        </w:tc>
        <w:tc>
          <w:tcPr>
            <w:tcW w:type="dxa" w:w="3888"/>
            <w:vAlign w:val="top"/>
            <w:shd w:fill="F3F7FB"/>
            <w:tcMar>
              <w:top w:w="40" w:type="dxa"/>
              <w:bottom w:w="40" w:type="dxa"/>
              <w:left w:w="90" w:type="dxa"/>
              <w:right w:w="90" w:type="dxa"/>
            </w:tcMar>
          </w:tcPr>
          <w:p>
            <w:pPr>
              <w:spacing w:after="0" w:line="247" w:lineRule="auto"/>
            </w:pPr>
            <w:r>
              <w:rPr>
                <w:sz w:val="16"/>
              </w:rPr>
              <w:t>Third-party extension approval.</w:t>
            </w:r>
          </w:p>
        </w:tc>
        <w:tc>
          <w:tcPr>
            <w:tcW w:type="dxa" w:w="3888"/>
            <w:vAlign w:val="top"/>
            <w:shd w:fill="F3F7FB"/>
            <w:tcMar>
              <w:top w:w="40" w:type="dxa"/>
              <w:bottom w:w="40" w:type="dxa"/>
              <w:left w:w="90" w:type="dxa"/>
              <w:right w:w="90" w:type="dxa"/>
            </w:tcMar>
          </w:tcPr>
          <w:p>
            <w:pPr>
              <w:spacing w:after="0" w:line="247" w:lineRule="auto"/>
            </w:pPr>
            <w:r>
              <w:rPr>
                <w:sz w:val="16"/>
              </w:rPr>
              <w:t>Internal custom-code approval and continuing testing responsibility.</w:t>
            </w:r>
          </w:p>
        </w:tc>
      </w:tr>
    </w:tbl>
    <w:p>
      <w:pPr>
        <w:spacing w:after="20"/>
      </w:pPr>
      <w:r>
        <w:rPr>
          <w:b w:val="0"/>
        </w:rPr>
      </w:r>
    </w:p>
    <w:p>
      <w:r>
        <w:rPr>
          <w:b w:val="0"/>
        </w:rPr>
        <w:t>This comparison does not select a production winner. A POC pass establishes feasibility for the tested patterns, not production approval.</w:t>
      </w:r>
    </w:p>
    <w:p>
      <w:pPr>
        <w:pStyle w:val="Heading1"/>
        <w:pageBreakBefore/>
      </w:pPr>
      <w:r>
        <w:t>18 Migration options</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016"/>
        <w:gridCol w:w="2376"/>
        <w:gridCol w:w="3096"/>
        <w:gridCol w:w="2592"/>
      </w:tblGrid>
      <w:tr>
        <w:trPr>
          <w:tblHeader w:val="true"/>
          <w:cantSplit/>
        </w:trPr>
        <w:tc>
          <w:tcPr>
            <w:tcW w:type="dxa" w:w="2016"/>
            <w:vAlign w:val="top"/>
            <w:shd w:fill="DCEAF5"/>
            <w:tcMar>
              <w:top w:w="65" w:type="dxa"/>
              <w:bottom w:w="65" w:type="dxa"/>
              <w:left w:w="90" w:type="dxa"/>
              <w:right w:w="90" w:type="dxa"/>
            </w:tcMar>
          </w:tcPr>
          <w:p>
            <w:pPr>
              <w:spacing w:after="0" w:line="247" w:lineRule="auto"/>
            </w:pPr>
            <w:r>
              <w:rPr>
                <w:b/>
                <w:color w:val="133F69"/>
                <w:sz w:val="17"/>
              </w:rPr>
              <w:t>Option</w:t>
            </w:r>
          </w:p>
        </w:tc>
        <w:tc>
          <w:tcPr>
            <w:tcW w:type="dxa" w:w="2376"/>
            <w:vAlign w:val="top"/>
            <w:shd w:fill="DCEAF5"/>
            <w:tcMar>
              <w:top w:w="65" w:type="dxa"/>
              <w:bottom w:w="65" w:type="dxa"/>
              <w:left w:w="90" w:type="dxa"/>
              <w:right w:w="90" w:type="dxa"/>
            </w:tcMar>
          </w:tcPr>
          <w:p>
            <w:pPr>
              <w:spacing w:after="0" w:line="247" w:lineRule="auto"/>
            </w:pPr>
            <w:r>
              <w:rPr>
                <w:b/>
                <w:color w:val="133F69"/>
                <w:sz w:val="17"/>
              </w:rPr>
              <w:t>Suitable when</w:t>
            </w:r>
          </w:p>
        </w:tc>
        <w:tc>
          <w:tcPr>
            <w:tcW w:type="dxa" w:w="3096"/>
            <w:vAlign w:val="top"/>
            <w:shd w:fill="DCEAF5"/>
            <w:tcMar>
              <w:top w:w="65" w:type="dxa"/>
              <w:bottom w:w="65" w:type="dxa"/>
              <w:left w:w="90" w:type="dxa"/>
              <w:right w:w="90" w:type="dxa"/>
            </w:tcMar>
          </w:tcPr>
          <w:p>
            <w:pPr>
              <w:spacing w:after="0" w:line="247" w:lineRule="auto"/>
            </w:pPr>
            <w:r>
              <w:rPr>
                <w:b/>
                <w:color w:val="133F69"/>
                <w:sz w:val="17"/>
              </w:rPr>
              <w:t>Benefits</w:t>
            </w:r>
          </w:p>
        </w:tc>
        <w:tc>
          <w:tcPr>
            <w:tcW w:type="dxa" w:w="2592"/>
            <w:vAlign w:val="top"/>
            <w:shd w:fill="DCEAF5"/>
            <w:tcMar>
              <w:top w:w="65" w:type="dxa"/>
              <w:bottom w:w="65" w:type="dxa"/>
              <w:left w:w="90" w:type="dxa"/>
              <w:right w:w="90" w:type="dxa"/>
            </w:tcMar>
          </w:tcPr>
          <w:p>
            <w:pPr>
              <w:spacing w:after="0" w:line="247" w:lineRule="auto"/>
            </w:pPr>
            <w:r>
              <w:rPr>
                <w:b/>
                <w:color w:val="133F69"/>
                <w:sz w:val="17"/>
              </w:rPr>
              <w:t>Consideration</w:t>
            </w:r>
          </w:p>
        </w:tc>
      </w:tr>
      <w:tr>
        <w:trPr>
          <w:cantSplit/>
        </w:trPr>
        <w:tc>
          <w:tcPr>
            <w:tcW w:type="dxa" w:w="2016"/>
            <w:vAlign w:val="top"/>
            <w:shd w:fill="FFFFFF"/>
            <w:tcMar>
              <w:top w:w="65" w:type="dxa"/>
              <w:bottom w:w="65" w:type="dxa"/>
              <w:left w:w="90" w:type="dxa"/>
              <w:right w:w="90" w:type="dxa"/>
            </w:tcMar>
          </w:tcPr>
          <w:p>
            <w:pPr>
              <w:spacing w:after="0" w:line="247" w:lineRule="auto"/>
            </w:pPr>
            <w:r>
              <w:rPr>
                <w:sz w:val="17"/>
              </w:rPr>
              <w:t>1 Acronym extension</w:t>
            </w:r>
          </w:p>
        </w:tc>
        <w:tc>
          <w:tcPr>
            <w:tcW w:type="dxa" w:w="2376"/>
            <w:vAlign w:val="top"/>
            <w:shd w:fill="FFFFFF"/>
            <w:tcMar>
              <w:top w:w="65" w:type="dxa"/>
              <w:bottom w:w="65" w:type="dxa"/>
              <w:left w:w="90" w:type="dxa"/>
              <w:right w:w="90" w:type="dxa"/>
            </w:tcMar>
          </w:tcPr>
          <w:p>
            <w:pPr>
              <w:spacing w:after="0" w:line="247" w:lineRule="auto"/>
            </w:pPr>
            <w:r>
              <w:rPr>
                <w:sz w:val="17"/>
              </w:rPr>
              <w:t>Citi governance approves the third-party extension.</w:t>
            </w:r>
          </w:p>
        </w:tc>
        <w:tc>
          <w:tcPr>
            <w:tcW w:type="dxa" w:w="3096"/>
            <w:vAlign w:val="top"/>
            <w:shd w:fill="FFFFFF"/>
            <w:tcMar>
              <w:top w:w="65" w:type="dxa"/>
              <w:bottom w:w="65" w:type="dxa"/>
              <w:left w:w="90" w:type="dxa"/>
              <w:right w:w="90" w:type="dxa"/>
            </w:tcMar>
          </w:tcPr>
          <w:p>
            <w:pPr>
              <w:spacing w:after="0" w:line="247" w:lineRule="auto"/>
            </w:pPr>
            <w:r>
              <w:rPr>
                <w:sz w:val="17"/>
              </w:rPr>
              <w:t>Low code; native actions; Adobe recommendation; proven multi-ID routing.</w:t>
            </w:r>
          </w:p>
        </w:tc>
        <w:tc>
          <w:tcPr>
            <w:tcW w:type="dxa" w:w="2592"/>
            <w:vAlign w:val="top"/>
            <w:shd w:fill="FFFFFF"/>
            <w:tcMar>
              <w:top w:w="65" w:type="dxa"/>
              <w:bottom w:w="65" w:type="dxa"/>
              <w:left w:w="90" w:type="dxa"/>
              <w:right w:w="90" w:type="dxa"/>
            </w:tcMar>
          </w:tcPr>
          <w:p>
            <w:pPr>
              <w:spacing w:after="0" w:line="247" w:lineRule="auto"/>
            </w:pPr>
            <w:r>
              <w:rPr>
                <w:sz w:val="17"/>
              </w:rPr>
              <w:t>Acronym owns/maintains the Launch extension. Internal team still owns mapping, consent and validation.</w:t>
            </w:r>
          </w:p>
        </w:tc>
      </w:tr>
      <w:tr>
        <w:trPr>
          <w:cantSplit/>
        </w:trPr>
        <w:tc>
          <w:tcPr>
            <w:tcW w:type="dxa" w:w="2016"/>
            <w:vAlign w:val="top"/>
            <w:shd w:fill="F3F7FB"/>
            <w:tcMar>
              <w:top w:w="65" w:type="dxa"/>
              <w:bottom w:w="65" w:type="dxa"/>
              <w:left w:w="90" w:type="dxa"/>
              <w:right w:w="90" w:type="dxa"/>
            </w:tcMar>
          </w:tcPr>
          <w:p>
            <w:pPr>
              <w:spacing w:after="0" w:line="247" w:lineRule="auto"/>
            </w:pPr>
            <w:r>
              <w:rPr>
                <w:sz w:val="17"/>
              </w:rPr>
              <w:t>2 Reusable gtag.js framework</w:t>
            </w:r>
          </w:p>
        </w:tc>
        <w:tc>
          <w:tcPr>
            <w:tcW w:type="dxa" w:w="2376"/>
            <w:vAlign w:val="top"/>
            <w:shd w:fill="F3F7FB"/>
            <w:tcMar>
              <w:top w:w="65" w:type="dxa"/>
              <w:bottom w:w="65" w:type="dxa"/>
              <w:left w:w="90" w:type="dxa"/>
              <w:right w:w="90" w:type="dxa"/>
            </w:tcMar>
          </w:tcPr>
          <w:p>
            <w:pPr>
              <w:spacing w:after="0" w:line="247" w:lineRule="auto"/>
            </w:pPr>
            <w:r>
              <w:rPr>
                <w:sz w:val="17"/>
              </w:rPr>
              <w:t>A third-party Launch extension dependency is not approved.</w:t>
            </w:r>
          </w:p>
        </w:tc>
        <w:tc>
          <w:tcPr>
            <w:tcW w:type="dxa" w:w="3096"/>
            <w:vAlign w:val="top"/>
            <w:shd w:fill="F3F7FB"/>
            <w:tcMar>
              <w:top w:w="65" w:type="dxa"/>
              <w:bottom w:w="65" w:type="dxa"/>
              <w:left w:w="90" w:type="dxa"/>
              <w:right w:w="90" w:type="dxa"/>
            </w:tcMar>
          </w:tcPr>
          <w:p>
            <w:pPr>
              <w:spacing w:after="0" w:line="247" w:lineRule="auto"/>
            </w:pPr>
            <w:r>
              <w:rPr>
                <w:sz w:val="17"/>
              </w:rPr>
              <w:t>Direct Google runtime/event structure; central reusable mapping; no Acronym extension dependency.</w:t>
            </w:r>
          </w:p>
        </w:tc>
        <w:tc>
          <w:tcPr>
            <w:tcW w:type="dxa" w:w="2592"/>
            <w:vAlign w:val="top"/>
            <w:shd w:fill="F3F7FB"/>
            <w:tcMar>
              <w:top w:w="65" w:type="dxa"/>
              <w:bottom w:w="65" w:type="dxa"/>
              <w:left w:w="90" w:type="dxa"/>
              <w:right w:w="90" w:type="dxa"/>
            </w:tcMar>
          </w:tcPr>
          <w:p>
            <w:pPr>
              <w:spacing w:after="0" w:line="247" w:lineRule="auto"/>
            </w:pPr>
            <w:r>
              <w:rPr>
                <w:sz w:val="17"/>
              </w:rPr>
              <w:t>Citi/eClerx must own, test and maintain the wrapper and its loading behaviour.</w:t>
            </w:r>
          </w:p>
        </w:tc>
      </w:tr>
    </w:tbl>
    <w:p>
      <w:pPr>
        <w:spacing w:after="20"/>
      </w:pPr>
      <w:r>
        <w:rPr>
          <w:b w:val="0"/>
        </w:rPr>
      </w:r>
    </w:p>
    <w:p>
      <w:r>
        <w:rPr>
          <w:b w:val="0"/>
        </w:rPr>
        <w:t>Both options remain candidates for further evaluation. Neither is production approved.</w:t>
      </w:r>
    </w:p>
    <w:p>
      <w:pPr>
        <w:pStyle w:val="Heading1"/>
      </w:pPr>
      <w:r>
        <w:t>19 Before production migration</w:t>
      </w:r>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2304"/>
        <w:gridCol w:w="7776"/>
      </w:tblGrid>
      <w:tr>
        <w:trPr>
          <w:tblHeader w:val="true"/>
          <w:cantSplit/>
        </w:trPr>
        <w:tc>
          <w:tcPr>
            <w:tcW w:type="dxa" w:w="2304"/>
            <w:vAlign w:val="top"/>
            <w:shd w:fill="DCEAF5"/>
            <w:tcMar>
              <w:top w:w="65" w:type="dxa"/>
              <w:bottom w:w="65" w:type="dxa"/>
              <w:left w:w="90" w:type="dxa"/>
              <w:right w:w="90" w:type="dxa"/>
            </w:tcMar>
          </w:tcPr>
          <w:p>
            <w:pPr>
              <w:spacing w:after="0" w:line="247" w:lineRule="auto"/>
            </w:pPr>
            <w:r>
              <w:rPr>
                <w:b/>
                <w:color w:val="133F69"/>
                <w:sz w:val="18"/>
              </w:rPr>
              <w:t>Work area</w:t>
            </w:r>
          </w:p>
        </w:tc>
        <w:tc>
          <w:tcPr>
            <w:tcW w:type="dxa" w:w="7776"/>
            <w:vAlign w:val="top"/>
            <w:shd w:fill="DCEAF5"/>
            <w:tcMar>
              <w:top w:w="65" w:type="dxa"/>
              <w:bottom w:w="65" w:type="dxa"/>
              <w:left w:w="90" w:type="dxa"/>
              <w:right w:w="90" w:type="dxa"/>
            </w:tcMar>
          </w:tcPr>
          <w:p>
            <w:pPr>
              <w:spacing w:after="0" w:line="247" w:lineRule="auto"/>
            </w:pPr>
            <w:r>
              <w:rPr>
                <w:b/>
                <w:color w:val="133F69"/>
                <w:sz w:val="18"/>
              </w:rPr>
              <w:t>Required confirmation</w:t>
            </w:r>
          </w:p>
        </w:tc>
      </w:tr>
      <w:tr>
        <w:trPr>
          <w:cantSplit/>
        </w:trPr>
        <w:tc>
          <w:tcPr>
            <w:tcW w:type="dxa" w:w="2304"/>
            <w:vAlign w:val="top"/>
            <w:shd w:fill="FFFFFF"/>
            <w:tcMar>
              <w:top w:w="65" w:type="dxa"/>
              <w:bottom w:w="65" w:type="dxa"/>
              <w:left w:w="90" w:type="dxa"/>
              <w:right w:w="90" w:type="dxa"/>
            </w:tcMar>
          </w:tcPr>
          <w:p>
            <w:pPr>
              <w:spacing w:after="0" w:line="247" w:lineRule="auto"/>
            </w:pPr>
            <w:r>
              <w:rPr>
                <w:sz w:val="18"/>
              </w:rPr>
              <w:t>Tag and event mapping</w:t>
            </w:r>
          </w:p>
        </w:tc>
        <w:tc>
          <w:tcPr>
            <w:tcW w:type="dxa" w:w="7776"/>
            <w:vAlign w:val="top"/>
            <w:shd w:fill="FFFFFF"/>
            <w:tcMar>
              <w:top w:w="65" w:type="dxa"/>
              <w:bottom w:w="65" w:type="dxa"/>
              <w:left w:w="90" w:type="dxa"/>
              <w:right w:w="90" w:type="dxa"/>
            </w:tcMar>
          </w:tcPr>
          <w:p>
            <w:pPr>
              <w:spacing w:after="0" w:line="247" w:lineRule="auto"/>
            </w:pPr>
            <w:r>
              <w:rPr>
                <w:sz w:val="18"/>
              </w:rPr>
              <w:t>Map each real DC-* ID, activity group/type, activity/cat and counting method. Confirm which events fire together. Do not retire or consolidate an ID without account-owner approval.</w:t>
            </w:r>
          </w:p>
        </w:tc>
      </w:tr>
      <w:tr>
        <w:trPr>
          <w:cantSplit/>
        </w:trPr>
        <w:tc>
          <w:tcPr>
            <w:tcW w:type="dxa" w:w="2304"/>
            <w:vAlign w:val="top"/>
            <w:shd w:fill="F3F7FB"/>
            <w:tcMar>
              <w:top w:w="65" w:type="dxa"/>
              <w:bottom w:w="65" w:type="dxa"/>
              <w:left w:w="90" w:type="dxa"/>
              <w:right w:w="90" w:type="dxa"/>
            </w:tcMar>
          </w:tcPr>
          <w:p>
            <w:pPr>
              <w:spacing w:after="0" w:line="247" w:lineRule="auto"/>
            </w:pPr>
            <w:r>
              <w:rPr>
                <w:sz w:val="18"/>
              </w:rPr>
              <w:t>Parameter and privacy review</w:t>
            </w:r>
          </w:p>
        </w:tc>
        <w:tc>
          <w:tcPr>
            <w:tcW w:type="dxa" w:w="7776"/>
            <w:vAlign w:val="top"/>
            <w:shd w:fill="F3F7FB"/>
            <w:tcMar>
              <w:top w:w="65" w:type="dxa"/>
              <w:bottom w:w="65" w:type="dxa"/>
              <w:left w:w="90" w:type="dxa"/>
              <w:right w:w="90" w:type="dxa"/>
            </w:tcMar>
          </w:tcPr>
          <w:p>
            <w:pPr>
              <w:spacing w:after="0" w:line="247" w:lineRule="auto"/>
            </w:pPr>
            <w:r>
              <w:rPr>
                <w:sz w:val="18"/>
              </w:rPr>
              <w:t>Map u1–uN; confirm value/revenue and transaction-ID semantics. Review application/prospect identifiers against data and privacy requirements. Confirm dynamic-tag settings and consent requirements.</w:t>
            </w:r>
          </w:p>
        </w:tc>
      </w:tr>
      <w:tr>
        <w:trPr>
          <w:cantSplit/>
        </w:trPr>
        <w:tc>
          <w:tcPr>
            <w:tcW w:type="dxa" w:w="2304"/>
            <w:vAlign w:val="top"/>
            <w:shd w:fill="FFFFFF"/>
            <w:tcMar>
              <w:top w:w="65" w:type="dxa"/>
              <w:bottom w:w="65" w:type="dxa"/>
              <w:left w:w="90" w:type="dxa"/>
              <w:right w:w="90" w:type="dxa"/>
            </w:tcMar>
          </w:tcPr>
          <w:p>
            <w:pPr>
              <w:spacing w:after="0" w:line="247" w:lineRule="auto"/>
            </w:pPr>
            <w:r>
              <w:rPr>
                <w:sz w:val="18"/>
              </w:rPr>
              <w:t>Journey validation</w:t>
            </w:r>
          </w:p>
        </w:tc>
        <w:tc>
          <w:tcPr>
            <w:tcW w:type="dxa" w:w="7776"/>
            <w:vAlign w:val="top"/>
            <w:shd w:fill="FFFFFF"/>
            <w:tcMar>
              <w:top w:w="65" w:type="dxa"/>
              <w:bottom w:w="65" w:type="dxa"/>
              <w:left w:w="90" w:type="dxa"/>
              <w:right w:w="90" w:type="dxa"/>
            </w:tcMar>
          </w:tcPr>
          <w:p>
            <w:pPr>
              <w:spacing w:after="0" w:line="247" w:lineRule="auto"/>
            </w:pPr>
            <w:r>
              <w:rPr>
                <w:sz w:val="18"/>
              </w:rPr>
              <w:t>Integrate consent; validate authenticated journeys and SPA events. Compare Launch requests against existing Ensighten requests, including timing, route values and custom variables.</w:t>
            </w:r>
          </w:p>
        </w:tc>
      </w:tr>
      <w:tr>
        <w:trPr>
          <w:cantSplit/>
        </w:trPr>
        <w:tc>
          <w:tcPr>
            <w:tcW w:type="dxa" w:w="2304"/>
            <w:vAlign w:val="top"/>
            <w:shd w:fill="F3F7FB"/>
            <w:tcMar>
              <w:top w:w="65" w:type="dxa"/>
              <w:bottom w:w="65" w:type="dxa"/>
              <w:left w:w="90" w:type="dxa"/>
              <w:right w:w="90" w:type="dxa"/>
            </w:tcMar>
          </w:tcPr>
          <w:p>
            <w:pPr>
              <w:spacing w:after="0" w:line="247" w:lineRule="auto"/>
            </w:pPr>
            <w:r>
              <w:rPr>
                <w:sz w:val="18"/>
              </w:rPr>
              <w:t>Campaign Manager confirmation</w:t>
            </w:r>
          </w:p>
        </w:tc>
        <w:tc>
          <w:tcPr>
            <w:tcW w:type="dxa" w:w="7776"/>
            <w:vAlign w:val="top"/>
            <w:shd w:fill="F3F7FB"/>
            <w:tcMar>
              <w:top w:w="65" w:type="dxa"/>
              <w:bottom w:w="65" w:type="dxa"/>
              <w:left w:w="90" w:type="dxa"/>
              <w:right w:w="90" w:type="dxa"/>
            </w:tcMar>
          </w:tcPr>
          <w:p>
            <w:pPr>
              <w:spacing w:after="0" w:line="247" w:lineRule="auto"/>
            </w:pPr>
            <w:r>
              <w:rPr>
                <w:sz w:val="18"/>
              </w:rPr>
              <w:t>Use an actual Campaign Manager test configuration if available. Confirm conversion goals, activities and audiences with media/account owners; verify accepted and counted conversions separately.</w:t>
            </w:r>
          </w:p>
        </w:tc>
      </w:tr>
      <w:tr>
        <w:trPr>
          <w:cantSplit/>
        </w:trPr>
        <w:tc>
          <w:tcPr>
            <w:tcW w:type="dxa" w:w="2304"/>
            <w:vAlign w:val="top"/>
            <w:shd w:fill="FFFFFF"/>
            <w:tcMar>
              <w:top w:w="65" w:type="dxa"/>
              <w:bottom w:w="65" w:type="dxa"/>
              <w:left w:w="90" w:type="dxa"/>
              <w:right w:w="90" w:type="dxa"/>
            </w:tcMar>
          </w:tcPr>
          <w:p>
            <w:pPr>
              <w:spacing w:after="0" w:line="247" w:lineRule="auto"/>
            </w:pPr>
            <w:r>
              <w:rPr>
                <w:sz w:val="18"/>
              </w:rPr>
              <w:t>Runtime and performance</w:t>
            </w:r>
          </w:p>
        </w:tc>
        <w:tc>
          <w:tcPr>
            <w:tcW w:type="dxa" w:w="7776"/>
            <w:vAlign w:val="top"/>
            <w:shd w:fill="FFFFFF"/>
            <w:tcMar>
              <w:top w:w="65" w:type="dxa"/>
              <w:bottom w:w="65" w:type="dxa"/>
              <w:left w:w="90" w:type="dxa"/>
              <w:right w:w="90" w:type="dxa"/>
            </w:tcMar>
          </w:tcPr>
          <w:p>
            <w:pPr>
              <w:spacing w:after="0" w:line="247" w:lineRule="auto"/>
            </w:pPr>
            <w:r>
              <w:rPr>
                <w:sz w:val="18"/>
              </w:rPr>
              <w:t>Performance test; define the loading owner; validate failure handling. Resolve the multiple-request observations under representative valid-collector conditions and check event execution counts.</w:t>
            </w:r>
          </w:p>
        </w:tc>
      </w:tr>
    </w:tbl>
    <w:p>
      <w:pPr>
        <w:spacing w:after="20"/>
      </w:pPr>
      <w:r>
        <w:rPr>
          <w:b w:val="0"/>
        </w:rPr>
      </w:r>
    </w:p>
    <w:p>
      <w:pPr>
        <w:pStyle w:val="Heading1"/>
      </w:pPr>
      <w:r>
        <w:t>20 Conclusion</w:t>
      </w:r>
    </w:p>
    <w:p>
      <w:r>
        <w:rPr>
          <w:b w:val="0"/>
        </w:rPr>
        <w:t>Current Citi Floodlight architecture requires multi-account and multi-activity support. Acronym was evaluated because Adobe explicitly recommends it, and its POC demonstrated independent multi-ID routing through native Launch actions without custom JavaScript. A reusable Google gtag.js framework was also evaluated as a fallback where a third-party Launch extension is not approved. Both approaches demonstrate client-side technical feasibility for the tested patterns. Final production selection remains subject to governance, real tag mapping, consent, runtime findings and production validation.</w:t>
      </w:r>
    </w:p>
    <w:p>
      <w:pPr>
        <w:pStyle w:val="Heading2"/>
        <w:pageBreakBefore/>
      </w:pPr>
      <w:r>
        <w:t>References</w:t>
      </w:r>
    </w:p>
    <w:p>
      <w:r>
        <w:rPr>
          <w:b w:val="0"/>
        </w:rPr>
        <w:t>Public documentation reviewed on 6 October 2026. The community reference is historical context, not a current maintenance guarantee.</w:t>
      </w:r>
    </w:p>
    <w:p>
      <w:r>
        <w:rPr>
          <w:b/>
        </w:rPr>
        <w:t>[1] Adobe — Discontinuation of Adobe-developed Google extensions</w:t>
      </w:r>
    </w:p>
    <w:p>
      <w:r>
        <w:rPr>
          <w:b w:val="0"/>
        </w:rPr>
      </w:r>
      <w:hyperlink r:id="rId29">
        <w:r>
          <w:rPr>
            <w:color w:val="176099"/>
            <w:u w:val="single"/>
          </w:rPr>
          <w:t>https://experienceleague.adobe.com/en/docs/experience-cloud-kcs/kbarticles/ka-17256</w:t>
        </w:r>
      </w:hyperlink>
    </w:p>
    <w:p>
      <w:r>
        <w:rPr>
          <w:b/>
        </w:rPr>
        <w:t>[2] Adobe — DoubleClick Floodlight (Beta)</w:t>
      </w:r>
    </w:p>
    <w:p>
      <w:r>
        <w:rPr>
          <w:b w:val="0"/>
        </w:rPr>
      </w:r>
      <w:hyperlink r:id="rId30">
        <w:r>
          <w:rPr>
            <w:color w:val="176099"/>
            <w:u w:val="single"/>
          </w:rPr>
          <w:t>https://experienceleague.adobe.com/en/docs/experience-platform/destinations/catalog/advertising/doubleclick-floodlight</w:t>
        </w:r>
      </w:hyperlink>
    </w:p>
    <w:p>
      <w:r>
        <w:rPr>
          <w:b/>
        </w:rPr>
        <w:t>[3] Acronym — Google Global Site Tag documentation</w:t>
      </w:r>
    </w:p>
    <w:p>
      <w:r>
        <w:rPr>
          <w:b w:val="0"/>
        </w:rPr>
      </w:r>
      <w:hyperlink r:id="rId31">
        <w:r>
          <w:rPr>
            <w:color w:val="176099"/>
            <w:u w:val="single"/>
          </w:rPr>
          <w:t>https://docs.acronym.com/analytics/adobe-launch/gtag</w:t>
        </w:r>
      </w:hyperlink>
    </w:p>
    <w:p>
      <w:r>
        <w:rPr>
          <w:b/>
        </w:rPr>
        <w:t>[4] Acronym — Preload the gtag.js library</w:t>
      </w:r>
    </w:p>
    <w:p>
      <w:r>
        <w:rPr>
          <w:b w:val="0"/>
        </w:rPr>
      </w:r>
      <w:hyperlink r:id="rId32">
        <w:r>
          <w:rPr>
            <w:color w:val="176099"/>
            <w:u w:val="single"/>
          </w:rPr>
          <w:t>https://docs.acronym.com/analytics/adobe-launch/gtag/actions/load</w:t>
        </w:r>
      </w:hyperlink>
    </w:p>
    <w:p>
      <w:r>
        <w:rPr>
          <w:b/>
        </w:rPr>
        <w:t>[5] Acronym — Send an event</w:t>
      </w:r>
    </w:p>
    <w:p>
      <w:r>
        <w:rPr>
          <w:b w:val="0"/>
        </w:rPr>
      </w:r>
      <w:hyperlink r:id="rId33">
        <w:r>
          <w:rPr>
            <w:color w:val="176099"/>
            <w:u w:val="single"/>
          </w:rPr>
          <w:t>https://docs.acronym.com/analytics/adobe-launch/gtag/actions/event</w:t>
        </w:r>
      </w:hyperlink>
    </w:p>
    <w:p>
      <w:r>
        <w:rPr>
          <w:b/>
        </w:rPr>
        <w:t>[6] Google Campaign Manager 360 — Use the Google tag for Floodlight conversions</w:t>
      </w:r>
    </w:p>
    <w:p>
      <w:r>
        <w:rPr>
          <w:b w:val="0"/>
        </w:rPr>
      </w:r>
      <w:hyperlink r:id="rId34">
        <w:r>
          <w:rPr>
            <w:color w:val="176099"/>
            <w:u w:val="single"/>
          </w:rPr>
          <w:t>https://support.google.com/campaignmanager/answer/7554821</w:t>
        </w:r>
      </w:hyperlink>
    </w:p>
    <w:p>
      <w:r>
        <w:rPr>
          <w:b/>
        </w:rPr>
        <w:t>[7] Adobe Experience League community — Launch API DoubleClick Floodlight Extension</w:t>
      </w:r>
    </w:p>
    <w:p>
      <w:r>
        <w:rPr>
          <w:b w:val="0"/>
        </w:rPr>
      </w:r>
      <w:hyperlink r:id="rId35">
        <w:r>
          <w:rPr>
            <w:color w:val="176099"/>
            <w:u w:val="single"/>
          </w:rPr>
          <w:t>https://experienceleaguecommunities.adobe.com/adobe-experience-platform-18/launch-api-doubleclick-floodlight-extension-112920</w:t>
        </w:r>
      </w:hyperlink>
    </w:p>
    <w:p>
      <w:pPr>
        <w:pStyle w:val="Heading2"/>
      </w:pPr>
      <w:r>
        <w:t>Investigation evidence</w:t>
      </w:r>
    </w:p>
    <w:p>
      <w:r>
        <w:rPr>
          <w:b w:val="0"/>
        </w:rPr>
        <w:t xml:space="preserve">Primary working document: </w:t>
      </w:r>
      <w:hyperlink r:id="rId36">
        <w:r>
          <w:rPr>
            <w:color w:val="176099"/>
            <w:u w:val="single"/>
          </w:rPr>
          <w:t>Floodlight Analysis</w:t>
        </w:r>
      </w:hyperlink>
    </w:p>
    <w:tbl>
      <w:tblPr>
        <w:tblW w:type="auto" w:w="0"/>
        <w:jc w:val="center"/>
        <w:tblLayout w:type="fixed"/>
        <w:tblLook w:firstColumn="1" w:firstRow="1" w:lastColumn="0" w:lastRow="0" w:noHBand="0" w:noVBand="1" w:val="04A0"/>
        <w:tblBorders>
          <w:top w:val="single" w:sz="4" w:color="CFDDE9"/>
          <w:bottom w:val="single" w:sz="4" w:color="CFDDE9"/>
          <w:left w:val="single" w:sz="4" w:color="CFDDE9"/>
          <w:right w:val="single" w:sz="4" w:color="CFDDE9"/>
          <w:insideH w:val="single" w:sz="4" w:color="CFDDE9"/>
          <w:insideV w:val="single" w:sz="4" w:color="CFDDE9"/>
        </w:tblBorders>
      </w:tblPr>
      <w:tblGrid>
        <w:gridCol w:w="4824"/>
        <w:gridCol w:w="5256"/>
      </w:tblGrid>
      <w:tr>
        <w:trPr>
          <w:tblHeader w:val="true"/>
          <w:cantSplit/>
        </w:trPr>
        <w:tc>
          <w:tcPr>
            <w:tcW w:type="dxa" w:w="4824"/>
            <w:vAlign w:val="top"/>
            <w:shd w:fill="DCEAF5"/>
            <w:tcMar>
              <w:top w:w="65" w:type="dxa"/>
              <w:bottom w:w="65" w:type="dxa"/>
              <w:left w:w="90" w:type="dxa"/>
              <w:right w:w="90" w:type="dxa"/>
            </w:tcMar>
          </w:tcPr>
          <w:p>
            <w:pPr>
              <w:spacing w:after="0" w:line="247" w:lineRule="auto"/>
            </w:pPr>
            <w:r>
              <w:rPr>
                <w:b/>
                <w:color w:val="133F69"/>
                <w:sz w:val="18"/>
              </w:rPr>
              <w:t>Retained source</w:t>
            </w:r>
          </w:p>
        </w:tc>
        <w:tc>
          <w:tcPr>
            <w:tcW w:type="dxa" w:w="5256"/>
            <w:vAlign w:val="top"/>
            <w:shd w:fill="DCEAF5"/>
            <w:tcMar>
              <w:top w:w="65" w:type="dxa"/>
              <w:bottom w:w="65" w:type="dxa"/>
              <w:left w:w="90" w:type="dxa"/>
              <w:right w:w="90" w:type="dxa"/>
            </w:tcMar>
          </w:tcPr>
          <w:p>
            <w:pPr>
              <w:spacing w:after="0" w:line="247" w:lineRule="auto"/>
            </w:pPr>
            <w:r>
              <w:rPr>
                <w:b/>
                <w:color w:val="133F69"/>
                <w:sz w:val="18"/>
              </w:rPr>
              <w:t>Use in this analysis</w:t>
            </w:r>
          </w:p>
        </w:tc>
      </w:tr>
      <w:tr>
        <w:trPr>
          <w:cantSplit/>
        </w:trPr>
        <w:tc>
          <w:tcPr>
            <w:tcW w:type="dxa" w:w="4824"/>
            <w:vAlign w:val="top"/>
            <w:shd w:fill="FFFFFF"/>
            <w:tcMar>
              <w:top w:w="65" w:type="dxa"/>
              <w:bottom w:w="65" w:type="dxa"/>
              <w:left w:w="90" w:type="dxa"/>
              <w:right w:w="90" w:type="dxa"/>
            </w:tcMar>
          </w:tcPr>
          <w:p>
            <w:pPr>
              <w:spacing w:after="0" w:line="247" w:lineRule="auto"/>
            </w:pPr>
            <w:r>
              <w:rPr>
                <w:sz w:val="18"/>
              </w:rPr>
              <w:t>Citi_Current_State_Findings.md and Citi_Ensighten_Tag_Management_Deep_Dive.md</w:t>
            </w:r>
          </w:p>
        </w:tc>
        <w:tc>
          <w:tcPr>
            <w:tcW w:type="dxa" w:w="5256"/>
            <w:vAlign w:val="top"/>
            <w:shd w:fill="FFFFFF"/>
            <w:tcMar>
              <w:top w:w="65" w:type="dxa"/>
              <w:bottom w:w="65" w:type="dxa"/>
              <w:left w:w="90" w:type="dxa"/>
              <w:right w:w="90" w:type="dxa"/>
            </w:tcMar>
          </w:tcPr>
          <w:p>
            <w:pPr>
              <w:spacing w:after="0" w:line="247" w:lineRule="auto"/>
            </w:pPr>
            <w:r>
              <w:rPr>
                <w:sz w:val="18"/>
              </w:rPr>
              <w:t>Confirmed five configuration IDs, 25 sampled activity bindings, journey scope and code-level limits.</w:t>
            </w:r>
          </w:p>
        </w:tc>
      </w:tr>
      <w:tr>
        <w:trPr>
          <w:cantSplit/>
        </w:trPr>
        <w:tc>
          <w:tcPr>
            <w:tcW w:type="dxa" w:w="4824"/>
            <w:vAlign w:val="top"/>
            <w:shd w:fill="F3F7FB"/>
            <w:tcMar>
              <w:top w:w="65" w:type="dxa"/>
              <w:bottom w:w="65" w:type="dxa"/>
              <w:left w:w="90" w:type="dxa"/>
              <w:right w:w="90" w:type="dxa"/>
            </w:tcMar>
          </w:tcPr>
          <w:p>
            <w:pPr>
              <w:spacing w:after="0" w:line="247" w:lineRule="auto"/>
            </w:pPr>
            <w:r>
              <w:rPr>
                <w:sz w:val="18"/>
              </w:rPr>
              <w:t>Citi_Acronym_Floodlight_Multi_ID_POC.md</w:t>
            </w:r>
          </w:p>
        </w:tc>
        <w:tc>
          <w:tcPr>
            <w:tcW w:type="dxa" w:w="5256"/>
            <w:vAlign w:val="top"/>
            <w:shd w:fill="F3F7FB"/>
            <w:tcMar>
              <w:top w:w="65" w:type="dxa"/>
              <w:bottom w:w="65" w:type="dxa"/>
              <w:left w:w="90" w:type="dxa"/>
              <w:right w:w="90" w:type="dxa"/>
            </w:tcMar>
          </w:tcPr>
          <w:p>
            <w:pPr>
              <w:spacing w:after="0" w:line="247" w:lineRule="auto"/>
            </w:pPr>
            <w:r>
              <w:rPr>
                <w:sz w:val="18"/>
              </w:rPr>
              <w:t>Confirmed native account/action configuration, Data Element substitution and client-side routing.</w:t>
            </w:r>
          </w:p>
        </w:tc>
      </w:tr>
      <w:tr>
        <w:trPr>
          <w:cantSplit/>
        </w:trPr>
        <w:tc>
          <w:tcPr>
            <w:tcW w:type="dxa" w:w="4824"/>
            <w:vAlign w:val="top"/>
            <w:shd w:fill="FFFFFF"/>
            <w:tcMar>
              <w:top w:w="65" w:type="dxa"/>
              <w:bottom w:w="65" w:type="dxa"/>
              <w:left w:w="90" w:type="dxa"/>
              <w:right w:w="90" w:type="dxa"/>
            </w:tcMar>
          </w:tcPr>
          <w:p>
            <w:pPr>
              <w:spacing w:after="0" w:line="247" w:lineRule="auto"/>
            </w:pPr>
            <w:r>
              <w:rPr>
                <w:sz w:val="18"/>
              </w:rPr>
              <w:t>Citi_Custom_Gtag_Floodlight_Framework_POC.md</w:t>
            </w:r>
          </w:p>
        </w:tc>
        <w:tc>
          <w:tcPr>
            <w:tcW w:type="dxa" w:w="5256"/>
            <w:vAlign w:val="top"/>
            <w:shd w:fill="FFFFFF"/>
            <w:tcMar>
              <w:top w:w="65" w:type="dxa"/>
              <w:bottom w:w="65" w:type="dxa"/>
              <w:left w:w="90" w:type="dxa"/>
              <w:right w:w="90" w:type="dxa"/>
            </w:tcMar>
          </w:tcPr>
          <w:p>
            <w:pPr>
              <w:spacing w:after="0" w:line="247" w:lineRule="auto"/>
            </w:pPr>
            <w:r>
              <w:rPr>
                <w:sz w:val="18"/>
              </w:rPr>
              <w:t>Confirmed generated Development code, additive revision preservation, state behaviour and coexistence/load-order tests.</w:t>
            </w:r>
          </w:p>
        </w:tc>
      </w:tr>
      <w:tr>
        <w:trPr>
          <w:cantSplit/>
        </w:trPr>
        <w:tc>
          <w:tcPr>
            <w:tcW w:type="dxa" w:w="4824"/>
            <w:vAlign w:val="top"/>
            <w:shd w:fill="F3F7FB"/>
            <w:tcMar>
              <w:top w:w="65" w:type="dxa"/>
              <w:bottom w:w="65" w:type="dxa"/>
              <w:left w:w="90" w:type="dxa"/>
              <w:right w:w="90" w:type="dxa"/>
            </w:tcMar>
          </w:tcPr>
          <w:p>
            <w:pPr>
              <w:spacing w:after="0" w:line="247" w:lineRule="auto"/>
            </w:pPr>
            <w:r>
              <w:rPr>
                <w:sz w:val="18"/>
              </w:rPr>
              <w:t>Isolated runtime review on 6 October</w:t>
            </w:r>
          </w:p>
        </w:tc>
        <w:tc>
          <w:tcPr>
            <w:tcW w:type="dxa" w:w="5256"/>
            <w:vAlign w:val="top"/>
            <w:shd w:fill="F3F7FB"/>
            <w:tcMar>
              <w:top w:w="65" w:type="dxa"/>
              <w:bottom w:w="65" w:type="dxa"/>
              <w:left w:w="90" w:type="dxa"/>
              <w:right w:w="90" w:type="dxa"/>
            </w:tcMar>
          </w:tcPr>
          <w:p>
            <w:pPr>
              <w:spacing w:after="0" w:line="247" w:lineRule="auto"/>
            </w:pPr>
            <w:r>
              <w:rPr>
                <w:sz w:val="18"/>
              </w:rPr>
              <w:t>Direct fire/event counts and Network Initiator evidence for standalone and preserved-build cases. Dummy collectors blocked.</w:t>
            </w:r>
          </w:p>
        </w:tc>
      </w:tr>
    </w:tbl>
    <w:p>
      <w:pPr>
        <w:spacing w:after="20"/>
      </w:pPr>
      <w:r>
        <w:rPr>
          <w:b w:val="0"/>
        </w:rPr>
      </w:r>
    </w:p>
    <w:p>
      <w:r>
        <w:rPr>
          <w:b w:val="0"/>
        </w:rPr>
        <w:t>All 18 distinct technical screenshots from the primary document are included. Its second occurrence of the two-account configuration image was excluded because it is an exact duplicate. Screenshots were cropped only to improve readability; technical values were not altered.</w:t>
      </w:r>
    </w:p>
    <w:p>
      <w:r>
        <w:rPr>
          <w:b w:val="0"/>
        </w:rPr>
        <w:t>The source screenshots show browser evidence on a Citi page. The isolated runtime checks used fresh test pages and the preserved build bytes. Neither type of evidence is treated as proof of valid backend conversion counting.</w:t>
      </w:r>
    </w:p>
    <w:p>
      <w:pPr>
        <w:pStyle w:val="Heading2"/>
        <w:pageBreakBefore/>
      </w:pPr>
      <w:r>
        <w:t>Appendix A Complete framework source</w:t>
      </w:r>
    </w:p>
    <w:p>
      <w:r>
        <w:rPr>
          <w:b w:val="0"/>
        </w:rPr>
        <w:t>TEST IDs only: DC-1003 and DC-1004. Reproduced from Floodlight Analysis and verified against the unchanged POC source. The complete 375-line ES5 source below retains its original indentation, brace style and blank lines.</w:t>
      </w:r>
    </w:p>
    <w:p>
      <w:pPr>
        <w:keepNext w:val="0"/>
        <w:widowControl w:val="0"/>
        <w:spacing w:before="0" w:after="0" w:line="170" w:lineRule="exact"/>
      </w:pPr>
      <w:r>
        <w:rPr>
          <w:rFonts w:ascii="DejaVu Sans Mono" w:hAnsi="DejaVu Sans Mono"/>
          <w:sz w:val="14"/>
          <w:noProof/>
        </w:rPr>
        <w:t>/* Citi Floodlight account and activity configuration */</w:t>
      </w:r>
    </w:p>
    <w:p>
      <w:pPr>
        <w:keepNext w:val="0"/>
        <w:widowControl w:val="0"/>
        <w:spacing w:before="0" w:after="0" w:line="170" w:lineRule="exact"/>
      </w:pPr>
      <w:r>
        <w:rPr>
          <w:rFonts w:ascii="DejaVu Sans Mono" w:hAnsi="DejaVu Sans Mono"/>
          <w:sz w:val="14"/>
          <w:noProof/>
        </w:rPr>
        <w:t>window.CitiFloodlightConfig = {</w:t>
      </w:r>
    </w:p>
    <w:p>
      <w:pPr>
        <w:keepNext w:val="0"/>
        <w:widowControl w:val="0"/>
        <w:spacing w:before="0" w:after="0" w:line="170" w:lineRule="exact"/>
      </w:pPr>
      <w:r>
        <w:rPr>
          <w:rFonts w:ascii="DejaVu Sans Mono" w:hAnsi="DejaVu Sans Mono"/>
          <w:sz w:val="14"/>
          <w:noProof/>
        </w:rPr>
        <w:t xml:space="preserve">    accounts: {</w:t>
      </w:r>
    </w:p>
    <w:p>
      <w:pPr>
        <w:keepNext w:val="0"/>
        <w:widowControl w:val="0"/>
        <w:spacing w:before="0" w:after="0" w:line="170" w:lineRule="exact"/>
      </w:pPr>
      <w:r>
        <w:rPr>
          <w:rFonts w:ascii="DejaVu Sans Mono" w:hAnsi="DejaVu Sans Mono"/>
          <w:sz w:val="14"/>
          <w:noProof/>
        </w:rPr>
        <w:t xml:space="preserve">        accountC: {</w:t>
      </w:r>
    </w:p>
    <w:p>
      <w:pPr>
        <w:keepNext w:val="0"/>
        <w:widowControl w:val="0"/>
        <w:spacing w:before="0" w:after="0" w:line="170" w:lineRule="exact"/>
      </w:pPr>
      <w:r>
        <w:rPr>
          <w:rFonts w:ascii="DejaVu Sans Mono" w:hAnsi="DejaVu Sans Mono"/>
          <w:sz w:val="14"/>
          <w:noProof/>
        </w:rPr>
        <w:t xml:space="preserve">            id: "DC-1003",</w:t>
      </w:r>
    </w:p>
    <w:p>
      <w:pPr>
        <w:keepNext w:val="0"/>
        <w:widowControl w:val="0"/>
        <w:spacing w:before="0" w:after="0" w:line="170" w:lineRule="exact"/>
      </w:pPr>
      <w:r>
        <w:rPr>
          <w:rFonts w:ascii="DejaVu Sans Mono" w:hAnsi="DejaVu Sans Mono"/>
          <w:sz w:val="14"/>
          <w:noProof/>
        </w:rPr>
        <w:t xml:space="preserve">            config: {</w:t>
      </w:r>
    </w:p>
    <w:p>
      <w:pPr>
        <w:keepNext w:val="0"/>
        <w:widowControl w:val="0"/>
        <w:spacing w:before="0" w:after="0" w:line="170" w:lineRule="exact"/>
      </w:pPr>
      <w:r>
        <w:rPr>
          <w:rFonts w:ascii="DejaVu Sans Mono" w:hAnsi="DejaVu Sans Mono"/>
          <w:sz w:val="14"/>
          <w:noProof/>
        </w:rPr>
        <w:t xml:space="preserve">                send_page_view: false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accountD: {</w:t>
      </w:r>
    </w:p>
    <w:p>
      <w:pPr>
        <w:keepNext w:val="0"/>
        <w:widowControl w:val="0"/>
        <w:spacing w:before="0" w:after="0" w:line="170" w:lineRule="exact"/>
      </w:pPr>
      <w:r>
        <w:rPr>
          <w:rFonts w:ascii="DejaVu Sans Mono" w:hAnsi="DejaVu Sans Mono"/>
          <w:sz w:val="14"/>
          <w:noProof/>
        </w:rPr>
        <w:t xml:space="preserve">            id: "DC-1004",</w:t>
      </w:r>
    </w:p>
    <w:p>
      <w:pPr>
        <w:keepNext w:val="0"/>
        <w:widowControl w:val="0"/>
        <w:spacing w:before="0" w:after="0" w:line="170" w:lineRule="exact"/>
      </w:pPr>
      <w:r>
        <w:rPr>
          <w:rFonts w:ascii="DejaVu Sans Mono" w:hAnsi="DejaVu Sans Mono"/>
          <w:sz w:val="14"/>
          <w:noProof/>
        </w:rPr>
        <w:t xml:space="preserve">            config: {</w:t>
      </w:r>
    </w:p>
    <w:p>
      <w:pPr>
        <w:keepNext w:val="0"/>
        <w:widowControl w:val="0"/>
        <w:spacing w:before="0" w:after="0" w:line="170" w:lineRule="exact"/>
      </w:pPr>
      <w:r>
        <w:rPr>
          <w:rFonts w:ascii="DejaVu Sans Mono" w:hAnsi="DejaVu Sans Mono"/>
          <w:sz w:val="14"/>
          <w:noProof/>
        </w:rPr>
        <w:t xml:space="preserve">                send_page_view: false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activities: {</w:t>
      </w:r>
    </w:p>
    <w:p>
      <w:pPr>
        <w:keepNext w:val="0"/>
        <w:widowControl w:val="0"/>
        <w:spacing w:before="0" w:after="0" w:line="170" w:lineRule="exact"/>
      </w:pPr>
      <w:r>
        <w:rPr>
          <w:rFonts w:ascii="DejaVu Sans Mono" w:hAnsi="DejaVu Sans Mono"/>
          <w:sz w:val="14"/>
          <w:noProof/>
        </w:rPr>
        <w:t xml:space="preserve">        tagC: {</w:t>
      </w:r>
    </w:p>
    <w:p>
      <w:pPr>
        <w:keepNext w:val="0"/>
        <w:widowControl w:val="0"/>
        <w:spacing w:before="0" w:after="0" w:line="170" w:lineRule="exact"/>
      </w:pPr>
      <w:r>
        <w:rPr>
          <w:rFonts w:ascii="DejaVu Sans Mono" w:hAnsi="DejaVu Sans Mono"/>
          <w:sz w:val="14"/>
          <w:noProof/>
        </w:rPr>
        <w:t xml:space="preserve">            account: "accountC",</w:t>
      </w:r>
    </w:p>
    <w:p>
      <w:pPr>
        <w:keepNext w:val="0"/>
        <w:widowControl w:val="0"/>
        <w:spacing w:before="0" w:after="0" w:line="170" w:lineRule="exact"/>
      </w:pPr>
      <w:r>
        <w:rPr>
          <w:rFonts w:ascii="DejaVu Sans Mono" w:hAnsi="DejaVu Sans Mono"/>
          <w:sz w:val="14"/>
          <w:noProof/>
        </w:rPr>
        <w:t xml:space="preserve">            eventName: "conversion",</w:t>
      </w:r>
    </w:p>
    <w:p>
      <w:pPr>
        <w:keepNext w:val="0"/>
        <w:widowControl w:val="0"/>
        <w:spacing w:before="0" w:after="0" w:line="170" w:lineRule="exact"/>
      </w:pPr>
      <w:r>
        <w:rPr>
          <w:rFonts w:ascii="DejaVu Sans Mono" w:hAnsi="DejaVu Sans Mono"/>
          <w:sz w:val="14"/>
          <w:noProof/>
        </w:rPr>
        <w:t xml:space="preserve">            group: "pocc0",</w:t>
      </w:r>
    </w:p>
    <w:p>
      <w:pPr>
        <w:keepNext w:val="0"/>
        <w:widowControl w:val="0"/>
        <w:spacing w:before="0" w:after="0" w:line="170" w:lineRule="exact"/>
      </w:pPr>
      <w:r>
        <w:rPr>
          <w:rFonts w:ascii="DejaVu Sans Mono" w:hAnsi="DejaVu Sans Mono"/>
          <w:sz w:val="14"/>
          <w:noProof/>
        </w:rPr>
        <w:t xml:space="preserve">            activity: "start3",</w:t>
      </w:r>
    </w:p>
    <w:p>
      <w:pPr>
        <w:keepNext w:val="0"/>
        <w:widowControl w:val="0"/>
        <w:spacing w:before="0" w:after="0" w:line="170" w:lineRule="exact"/>
      </w:pPr>
      <w:r>
        <w:rPr>
          <w:rFonts w:ascii="DejaVu Sans Mono" w:hAnsi="DejaVu Sans Mono"/>
          <w:sz w:val="14"/>
          <w:noProof/>
        </w:rPr>
        <w:t xml:space="preserve">            countingMethod: "standard",</w:t>
      </w:r>
    </w:p>
    <w:p>
      <w:pPr>
        <w:keepNext w:val="0"/>
        <w:widowControl w:val="0"/>
        <w:spacing w:before="0" w:after="0" w:line="170" w:lineRule="exact"/>
      </w:pPr>
      <w:r>
        <w:rPr>
          <w:rFonts w:ascii="DejaVu Sans Mono" w:hAnsi="DejaVu Sans Mono"/>
          <w:sz w:val="14"/>
          <w:noProof/>
        </w:rPr>
        <w:t xml:space="preserve">            allowCustomScripts: true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tagD: {</w:t>
      </w:r>
    </w:p>
    <w:p>
      <w:pPr>
        <w:keepNext w:val="0"/>
        <w:widowControl w:val="0"/>
        <w:spacing w:before="0" w:after="0" w:line="170" w:lineRule="exact"/>
      </w:pPr>
      <w:r>
        <w:rPr>
          <w:rFonts w:ascii="DejaVu Sans Mono" w:hAnsi="DejaVu Sans Mono"/>
          <w:sz w:val="14"/>
          <w:noProof/>
        </w:rPr>
        <w:t xml:space="preserve">            account: "accountD",</w:t>
      </w:r>
    </w:p>
    <w:p>
      <w:pPr>
        <w:keepNext w:val="0"/>
        <w:widowControl w:val="0"/>
        <w:spacing w:before="0" w:after="0" w:line="170" w:lineRule="exact"/>
      </w:pPr>
      <w:r>
        <w:rPr>
          <w:rFonts w:ascii="DejaVu Sans Mono" w:hAnsi="DejaVu Sans Mono"/>
          <w:sz w:val="14"/>
          <w:noProof/>
        </w:rPr>
        <w:t xml:space="preserve">            eventName: "purchase",</w:t>
      </w:r>
    </w:p>
    <w:p>
      <w:pPr>
        <w:keepNext w:val="0"/>
        <w:widowControl w:val="0"/>
        <w:spacing w:before="0" w:after="0" w:line="170" w:lineRule="exact"/>
      </w:pPr>
      <w:r>
        <w:rPr>
          <w:rFonts w:ascii="DejaVu Sans Mono" w:hAnsi="DejaVu Sans Mono"/>
          <w:sz w:val="14"/>
          <w:noProof/>
        </w:rPr>
        <w:t xml:space="preserve">            group: "pocd0",</w:t>
      </w:r>
    </w:p>
    <w:p>
      <w:pPr>
        <w:keepNext w:val="0"/>
        <w:widowControl w:val="0"/>
        <w:spacing w:before="0" w:after="0" w:line="170" w:lineRule="exact"/>
      </w:pPr>
      <w:r>
        <w:rPr>
          <w:rFonts w:ascii="DejaVu Sans Mono" w:hAnsi="DejaVu Sans Mono"/>
          <w:sz w:val="14"/>
          <w:noProof/>
        </w:rPr>
        <w:t xml:space="preserve">            activity: "compl4",</w:t>
      </w:r>
    </w:p>
    <w:p>
      <w:pPr>
        <w:keepNext w:val="0"/>
        <w:widowControl w:val="0"/>
        <w:spacing w:before="0" w:after="0" w:line="170" w:lineRule="exact"/>
      </w:pPr>
      <w:r>
        <w:rPr>
          <w:rFonts w:ascii="DejaVu Sans Mono" w:hAnsi="DejaVu Sans Mono"/>
          <w:sz w:val="14"/>
          <w:noProof/>
        </w:rPr>
        <w:t xml:space="preserve">            countingMethod: "transactions",</w:t>
      </w:r>
    </w:p>
    <w:p>
      <w:pPr>
        <w:keepNext w:val="0"/>
        <w:widowControl w:val="0"/>
        <w:spacing w:before="0" w:after="0" w:line="170" w:lineRule="exact"/>
      </w:pPr>
      <w:r>
        <w:rPr>
          <w:rFonts w:ascii="DejaVu Sans Mono" w:hAnsi="DejaVu Sans Mono"/>
          <w:sz w:val="14"/>
          <w:noProof/>
        </w:rPr>
        <w:t xml:space="preserve">            allowCustomScripts: true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Persistent runtime state survives repeated framework execution */</w:t>
      </w:r>
    </w:p>
    <w:p>
      <w:pPr>
        <w:keepNext w:val="0"/>
        <w:widowControl w:val="0"/>
        <w:spacing w:before="0" w:after="0" w:line="170" w:lineRule="exact"/>
      </w:pPr>
      <w:r>
        <w:rPr>
          <w:rFonts w:ascii="DejaVu Sans Mono" w:hAnsi="DejaVu Sans Mono"/>
          <w:sz w:val="14"/>
          <w:noProof/>
        </w:rPr>
        <w:t>window.CitiFloodlightState = window.CitiFloodlightState || {</w:t>
      </w:r>
    </w:p>
    <w:p>
      <w:pPr>
        <w:keepNext w:val="0"/>
        <w:widowControl w:val="0"/>
        <w:spacing w:before="0" w:after="0" w:line="170" w:lineRule="exact"/>
      </w:pPr>
      <w:r>
        <w:rPr>
          <w:rFonts w:ascii="DejaVu Sans Mono" w:hAnsi="DejaVu Sans Mono"/>
          <w:sz w:val="14"/>
          <w:noProof/>
        </w:rPr>
        <w:t xml:space="preserve">    jsCommandSent: false,</w:t>
      </w:r>
    </w:p>
    <w:p>
      <w:pPr>
        <w:keepNext w:val="0"/>
        <w:widowControl w:val="0"/>
        <w:spacing w:before="0" w:after="0" w:line="170" w:lineRule="exact"/>
      </w:pPr>
      <w:r>
        <w:rPr>
          <w:rFonts w:ascii="DejaVu Sans Mono" w:hAnsi="DejaVu Sans Mono"/>
          <w:sz w:val="14"/>
          <w:noProof/>
        </w:rPr>
        <w:t xml:space="preserve">    scriptRequested: false,</w:t>
      </w:r>
    </w:p>
    <w:p>
      <w:pPr>
        <w:keepNext w:val="0"/>
        <w:widowControl w:val="0"/>
        <w:spacing w:before="0" w:after="0" w:line="170" w:lineRule="exact"/>
      </w:pPr>
      <w:r>
        <w:rPr>
          <w:rFonts w:ascii="DejaVu Sans Mono" w:hAnsi="DejaVu Sans Mono"/>
          <w:sz w:val="14"/>
          <w:noProof/>
        </w:rPr>
        <w:t xml:space="preserve">    scriptLoaded: false,</w:t>
      </w:r>
    </w:p>
    <w:p>
      <w:pPr>
        <w:keepNext w:val="0"/>
        <w:widowControl w:val="0"/>
        <w:spacing w:before="0" w:after="0" w:line="170" w:lineRule="exact"/>
      </w:pPr>
      <w:r>
        <w:rPr>
          <w:rFonts w:ascii="DejaVu Sans Mono" w:hAnsi="DejaVu Sans Mono"/>
          <w:sz w:val="14"/>
          <w:noProof/>
        </w:rPr>
        <w:t xml:space="preserve">    scriptError: false,</w:t>
      </w:r>
    </w:p>
    <w:p>
      <w:pPr>
        <w:keepNext w:val="0"/>
        <w:widowControl w:val="0"/>
        <w:spacing w:before="0" w:after="0" w:line="170" w:lineRule="exact"/>
      </w:pPr>
      <w:r>
        <w:rPr>
          <w:rFonts w:ascii="DejaVu Sans Mono" w:hAnsi="DejaVu Sans Mono"/>
          <w:sz w:val="14"/>
          <w:noProof/>
        </w:rPr>
        <w:t xml:space="preserve">    configuredAccounts: {}</w:t>
      </w:r>
    </w:p>
    <w:p>
      <w:pPr>
        <w:keepNext w:val="0"/>
        <w:widowControl w:val="0"/>
        <w:spacing w:before="0" w:after="0" w:line="170" w:lineRule="exact"/>
      </w:pPr>
      <w:r>
        <w:rPr>
          <w:rFonts w:ascii="DejaVu Sans Mono" w:hAnsi="DejaVu Sans Mono"/>
          <w:sz w:val="14"/>
          <w:noProof/>
        </w:rPr>
        <w:t>};</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function citiFloodlightEnsureQueue() {</w:t>
      </w:r>
    </w:p>
    <w:p>
      <w:pPr>
        <w:keepNext w:val="0"/>
        <w:widowControl w:val="0"/>
        <w:spacing w:before="0" w:after="0" w:line="170" w:lineRule="exact"/>
      </w:pPr>
      <w:r>
        <w:rPr>
          <w:rFonts w:ascii="DejaVu Sans Mono" w:hAnsi="DejaVu Sans Mono"/>
          <w:sz w:val="14"/>
          <w:noProof/>
        </w:rPr>
        <w:t xml:space="preserve">    window.dataLayer = window.dataLayer ||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(typeof window.gtag !== "function") {</w:t>
      </w:r>
    </w:p>
    <w:p>
      <w:pPr>
        <w:keepNext w:val="0"/>
        <w:widowControl w:val="0"/>
        <w:spacing w:before="0" w:after="0" w:line="170" w:lineRule="exact"/>
      </w:pPr>
      <w:r>
        <w:rPr>
          <w:rFonts w:ascii="DejaVu Sans Mono" w:hAnsi="DejaVu Sans Mono"/>
          <w:sz w:val="14"/>
          <w:noProof/>
        </w:rPr>
        <w:t xml:space="preserve">        window.gtag = function () {</w:t>
      </w:r>
    </w:p>
    <w:p>
      <w:pPr>
        <w:keepNext w:val="0"/>
        <w:widowControl w:val="0"/>
        <w:spacing w:before="0" w:after="0" w:line="170" w:lineRule="exact"/>
      </w:pPr>
      <w:r>
        <w:rPr>
          <w:rFonts w:ascii="DejaVu Sans Mono" w:hAnsi="DejaVu Sans Mono"/>
          <w:sz w:val="14"/>
          <w:noProof/>
        </w:rPr>
        <w:t xml:space="preserve">            window.dataLayer.push(arguments);</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function citiFloodlightHasCommand(command, id) {</w:t>
      </w:r>
    </w:p>
    <w:p>
      <w:pPr>
        <w:keepNext w:val="0"/>
        <w:widowControl w:val="0"/>
        <w:spacing w:before="0" w:after="0" w:line="170" w:lineRule="exact"/>
      </w:pPr>
      <w:r>
        <w:rPr>
          <w:rFonts w:ascii="DejaVu Sans Mono" w:hAnsi="DejaVu Sans Mono"/>
          <w:sz w:val="14"/>
          <w:noProof/>
        </w:rPr>
        <w:t xml:space="preserve">    var dataLayer = window.dataLayer ||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for (var i = 0; i &lt; dataLayer.length; i++) {</w:t>
      </w:r>
    </w:p>
    <w:p>
      <w:pPr>
        <w:keepNext w:val="0"/>
        <w:widowControl w:val="0"/>
        <w:spacing w:before="0" w:after="0" w:line="170" w:lineRule="exact"/>
      </w:pPr>
      <w:r>
        <w:rPr>
          <w:rFonts w:ascii="DejaVu Sans Mono" w:hAnsi="DejaVu Sans Mono"/>
          <w:sz w:val="14"/>
          <w:noProof/>
        </w:rPr>
        <w:t xml:space="preserve">        var item = dataLayer[i];</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w:t>
      </w:r>
    </w:p>
    <w:p>
      <w:pPr>
        <w:keepNext w:val="0"/>
        <w:widowControl w:val="0"/>
        <w:spacing w:before="0" w:after="0" w:line="170" w:lineRule="exact"/>
      </w:pPr>
      <w:r>
        <w:rPr>
          <w:rFonts w:ascii="DejaVu Sans Mono" w:hAnsi="DejaVu Sans Mono"/>
          <w:sz w:val="14"/>
          <w:noProof/>
        </w:rPr>
        <w:t xml:space="preserve">            item &amp;&amp;</w:t>
      </w:r>
    </w:p>
    <w:p>
      <w:pPr>
        <w:keepNext w:val="0"/>
        <w:widowControl w:val="0"/>
        <w:spacing w:before="0" w:after="0" w:line="170" w:lineRule="exact"/>
      </w:pPr>
      <w:r>
        <w:rPr>
          <w:rFonts w:ascii="DejaVu Sans Mono" w:hAnsi="DejaVu Sans Mono"/>
          <w:sz w:val="14"/>
          <w:noProof/>
        </w:rPr>
        <w:t xml:space="preserve">            item[0] === command &amp;&amp;</w:t>
      </w:r>
    </w:p>
    <w:p>
      <w:pPr>
        <w:keepNext w:val="0"/>
        <w:widowControl w:val="0"/>
        <w:spacing w:before="0" w:after="0" w:line="170" w:lineRule="exact"/>
      </w:pPr>
      <w:r>
        <w:rPr>
          <w:rFonts w:ascii="DejaVu Sans Mono" w:hAnsi="DejaVu Sans Mono"/>
          <w:sz w:val="14"/>
          <w:noProof/>
        </w:rPr>
        <w:t xml:space="preserve">            (id === undefined || item[1] === id)</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return true;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return false;</w:t>
      </w:r>
    </w:p>
    <w:p>
      <w:pPr>
        <w:keepNext w:val="0"/>
        <w:widowControl w:val="0"/>
        <w:spacing w:before="0" w:after="0" w:line="170" w:lineRule="exact"/>
      </w:pPr>
      <w:r>
        <w:rPr>
          <w:rFonts w:ascii="DejaVu Sans Mono" w:hAnsi="DejaVu Sans Mono"/>
          <w:sz w:val="14"/>
          <w:noProof/>
        </w:rPr>
        <w:t>}</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function citiFloodlightHasCompatibleScript() {</w:t>
      </w:r>
    </w:p>
    <w:p>
      <w:pPr>
        <w:keepNext w:val="0"/>
        <w:widowControl w:val="0"/>
        <w:spacing w:before="0" w:after="0" w:line="170" w:lineRule="exact"/>
      </w:pPr>
      <w:r>
        <w:rPr>
          <w:rFonts w:ascii="DejaVu Sans Mono" w:hAnsi="DejaVu Sans Mono"/>
          <w:sz w:val="14"/>
          <w:noProof/>
        </w:rPr>
        <w:t xml:space="preserve">    var scripts = document.getElementsByTagName("script");</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for (var i = 0; i &lt; scripts.length; i++) {</w:t>
      </w:r>
    </w:p>
    <w:p>
      <w:pPr>
        <w:keepNext w:val="0"/>
        <w:widowControl w:val="0"/>
        <w:spacing w:before="0" w:after="0" w:line="170" w:lineRule="exact"/>
      </w:pPr>
      <w:r>
        <w:rPr>
          <w:rFonts w:ascii="DejaVu Sans Mono" w:hAnsi="DejaVu Sans Mono"/>
          <w:sz w:val="14"/>
          <w:noProof/>
        </w:rPr>
        <w:t xml:space="preserve">        var src = scripts[i].src ||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w:t>
      </w:r>
    </w:p>
    <w:p>
      <w:pPr>
        <w:keepNext w:val="0"/>
        <w:widowControl w:val="0"/>
        <w:spacing w:before="0" w:after="0" w:line="170" w:lineRule="exact"/>
      </w:pPr>
      <w:r>
        <w:rPr>
          <w:rFonts w:ascii="DejaVu Sans Mono" w:hAnsi="DejaVu Sans Mono"/>
          <w:sz w:val="14"/>
          <w:noProof/>
        </w:rPr>
        <w:t xml:space="preserve">            src.indexOf("googletagmanager.com/gtag/js") !== -1</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var layerMatch = src.match(/[?&amp;]l=([^&amp;]+)/);</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w:t>
      </w:r>
    </w:p>
    <w:p>
      <w:pPr>
        <w:keepNext w:val="0"/>
        <w:widowControl w:val="0"/>
        <w:spacing w:before="0" w:after="0" w:line="170" w:lineRule="exact"/>
      </w:pPr>
      <w:r>
        <w:rPr>
          <w:rFonts w:ascii="DejaVu Sans Mono" w:hAnsi="DejaVu Sans Mono"/>
          <w:sz w:val="14"/>
          <w:noProof/>
        </w:rPr>
        <w:t xml:space="preserve">                !layerMatch ||</w:t>
      </w:r>
    </w:p>
    <w:p>
      <w:pPr>
        <w:keepNext w:val="0"/>
        <w:widowControl w:val="0"/>
        <w:spacing w:before="0" w:after="0" w:line="170" w:lineRule="exact"/>
      </w:pPr>
      <w:r>
        <w:rPr>
          <w:rFonts w:ascii="DejaVu Sans Mono" w:hAnsi="DejaVu Sans Mono"/>
          <w:sz w:val="14"/>
          <w:noProof/>
        </w:rPr>
        <w:t xml:space="preserve">                decodeURIComponent(layerMatch[1]) === "dataLayer"</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return true;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return false;</w:t>
      </w:r>
    </w:p>
    <w:p>
      <w:pPr>
        <w:keepNext w:val="0"/>
        <w:widowControl w:val="0"/>
        <w:spacing w:before="0" w:after="0" w:line="170" w:lineRule="exact"/>
      </w:pPr>
      <w:r>
        <w:rPr>
          <w:rFonts w:ascii="DejaVu Sans Mono" w:hAnsi="DejaVu Sans Mono"/>
          <w:sz w:val="14"/>
          <w:noProof/>
        </w:rPr>
        <w:t>}</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Load the Google tag only when a compatible one is not already present */</w:t>
      </w:r>
    </w:p>
    <w:p>
      <w:pPr>
        <w:keepNext w:val="0"/>
        <w:widowControl w:val="0"/>
        <w:spacing w:before="0" w:after="0" w:line="170" w:lineRule="exact"/>
      </w:pPr>
      <w:r>
        <w:rPr>
          <w:rFonts w:ascii="DejaVu Sans Mono" w:hAnsi="DejaVu Sans Mono"/>
          <w:sz w:val="14"/>
          <w:noProof/>
        </w:rPr>
        <w:t>function citiFloodlightEnsureGoogleTag(accountId) {</w:t>
      </w:r>
    </w:p>
    <w:p>
      <w:pPr>
        <w:keepNext w:val="0"/>
        <w:widowControl w:val="0"/>
        <w:spacing w:before="0" w:after="0" w:line="170" w:lineRule="exact"/>
      </w:pPr>
      <w:r>
        <w:rPr>
          <w:rFonts w:ascii="DejaVu Sans Mono" w:hAnsi="DejaVu Sans Mono"/>
          <w:sz w:val="14"/>
          <w:noProof/>
        </w:rPr>
        <w:t xml:space="preserve">    var state = window.CitiFloodlightState;</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citiFloodlightEnsureQueue();</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w:t>
      </w:r>
    </w:p>
    <w:p>
      <w:pPr>
        <w:keepNext w:val="0"/>
        <w:widowControl w:val="0"/>
        <w:spacing w:before="0" w:after="0" w:line="170" w:lineRule="exact"/>
      </w:pPr>
      <w:r>
        <w:rPr>
          <w:rFonts w:ascii="DejaVu Sans Mono" w:hAnsi="DejaVu Sans Mono"/>
          <w:sz w:val="14"/>
          <w:noProof/>
        </w:rPr>
        <w:t xml:space="preserve">        !state.jsCommandSent &amp;&amp;</w:t>
      </w:r>
    </w:p>
    <w:p>
      <w:pPr>
        <w:keepNext w:val="0"/>
        <w:widowControl w:val="0"/>
        <w:spacing w:before="0" w:after="0" w:line="170" w:lineRule="exact"/>
      </w:pPr>
      <w:r>
        <w:rPr>
          <w:rFonts w:ascii="DejaVu Sans Mono" w:hAnsi="DejaVu Sans Mono"/>
          <w:sz w:val="14"/>
          <w:noProof/>
        </w:rPr>
        <w:t xml:space="preserve">        !citiFloodlightHasCommand("js")</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window.gtag("js", new Date());</w:t>
      </w:r>
    </w:p>
    <w:p>
      <w:pPr>
        <w:keepNext w:val="0"/>
        <w:widowControl w:val="0"/>
        <w:spacing w:before="0" w:after="0" w:line="170" w:lineRule="exact"/>
      </w:pPr>
      <w:r>
        <w:rPr>
          <w:rFonts w:ascii="DejaVu Sans Mono" w:hAnsi="DejaVu Sans Mono"/>
          <w:sz w:val="14"/>
          <w:noProof/>
        </w:rPr>
        <w:t xml:space="preserve">        state.jsCommandSent = true;</w:t>
      </w:r>
    </w:p>
    <w:p>
      <w:pPr>
        <w:keepNext w:val="0"/>
        <w:widowControl w:val="0"/>
        <w:spacing w:before="0" w:after="0" w:line="170" w:lineRule="exact"/>
      </w:pPr>
      <w:r>
        <w:rPr>
          <w:rFonts w:ascii="DejaVu Sans Mono" w:hAnsi="DejaVu Sans Mono"/>
          <w:sz w:val="14"/>
          <w:noProof/>
        </w:rPr>
        <w:t xml:space="preserve">    } else if (citiFloodlightHasCommand("js")) {</w:t>
      </w:r>
    </w:p>
    <w:p>
      <w:pPr>
        <w:keepNext w:val="0"/>
        <w:widowControl w:val="0"/>
        <w:spacing w:before="0" w:after="0" w:line="170" w:lineRule="exact"/>
      </w:pPr>
      <w:r>
        <w:rPr>
          <w:rFonts w:ascii="DejaVu Sans Mono" w:hAnsi="DejaVu Sans Mono"/>
          <w:sz w:val="14"/>
          <w:noProof/>
        </w:rPr>
        <w:t xml:space="preserve">        state.jsCommandSent = true;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w:t>
      </w:r>
    </w:p>
    <w:p>
      <w:pPr>
        <w:keepNext w:val="0"/>
        <w:widowControl w:val="0"/>
        <w:spacing w:before="0" w:after="0" w:line="170" w:lineRule="exact"/>
      </w:pPr>
      <w:r>
        <w:rPr>
          <w:rFonts w:ascii="DejaVu Sans Mono" w:hAnsi="DejaVu Sans Mono"/>
          <w:sz w:val="14"/>
          <w:noProof/>
        </w:rPr>
        <w:t xml:space="preserve">        state.scriptRequested ||</w:t>
      </w:r>
    </w:p>
    <w:p>
      <w:pPr>
        <w:keepNext w:val="0"/>
        <w:widowControl w:val="0"/>
        <w:spacing w:before="0" w:after="0" w:line="170" w:lineRule="exact"/>
      </w:pPr>
      <w:r>
        <w:rPr>
          <w:rFonts w:ascii="DejaVu Sans Mono" w:hAnsi="DejaVu Sans Mono"/>
          <w:sz w:val="14"/>
          <w:noProof/>
        </w:rPr>
        <w:t xml:space="preserve">        citiFloodlightHasCompatibleScript()</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state.scriptRequested = true;</w:t>
      </w:r>
    </w:p>
    <w:p>
      <w:pPr>
        <w:keepNext w:val="0"/>
        <w:widowControl w:val="0"/>
        <w:spacing w:before="0" w:after="0" w:line="170" w:lineRule="exact"/>
      </w:pPr>
      <w:r>
        <w:rPr>
          <w:rFonts w:ascii="DejaVu Sans Mono" w:hAnsi="DejaVu Sans Mono"/>
          <w:sz w:val="14"/>
          <w:noProof/>
        </w:rPr>
        <w:t xml:space="preserve">        return;</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state.scriptRequested = true;</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var script = document.createElement("script");</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script.async = true;</w:t>
      </w:r>
    </w:p>
    <w:p>
      <w:pPr>
        <w:keepNext w:val="0"/>
        <w:widowControl w:val="0"/>
        <w:spacing w:before="0" w:after="0" w:line="170" w:lineRule="exact"/>
      </w:pPr>
      <w:r>
        <w:rPr>
          <w:rFonts w:ascii="DejaVu Sans Mono" w:hAnsi="DejaVu Sans Mono"/>
          <w:sz w:val="14"/>
          <w:noProof/>
        </w:rPr>
        <w:t xml:space="preserve">    script.src =</w:t>
      </w:r>
    </w:p>
    <w:p>
      <w:pPr>
        <w:keepNext w:val="0"/>
        <w:widowControl w:val="0"/>
        <w:spacing w:before="0" w:after="0" w:line="170" w:lineRule="exact"/>
      </w:pPr>
      <w:r>
        <w:rPr>
          <w:rFonts w:ascii="DejaVu Sans Mono" w:hAnsi="DejaVu Sans Mono"/>
          <w:sz w:val="14"/>
          <w:noProof/>
        </w:rPr>
        <w:t xml:space="preserve">        "https://www.googletagmanager.com/gtag/js?id=" +</w:t>
      </w:r>
    </w:p>
    <w:p>
      <w:pPr>
        <w:keepNext w:val="0"/>
        <w:widowControl w:val="0"/>
        <w:spacing w:before="0" w:after="0" w:line="170" w:lineRule="exact"/>
      </w:pPr>
      <w:r>
        <w:rPr>
          <w:rFonts w:ascii="DejaVu Sans Mono" w:hAnsi="DejaVu Sans Mono"/>
          <w:sz w:val="14"/>
          <w:noProof/>
        </w:rPr>
        <w:t xml:space="preserve">        encodeURIComponent(accountId);</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script.setAttribute(</w:t>
      </w:r>
    </w:p>
    <w:p>
      <w:pPr>
        <w:keepNext w:val="0"/>
        <w:widowControl w:val="0"/>
        <w:spacing w:before="0" w:after="0" w:line="170" w:lineRule="exact"/>
      </w:pPr>
      <w:r>
        <w:rPr>
          <w:rFonts w:ascii="DejaVu Sans Mono" w:hAnsi="DejaVu Sans Mono"/>
          <w:sz w:val="14"/>
          <w:noProof/>
        </w:rPr>
        <w:t xml:space="preserve">        "data-citi-floodlight",</w:t>
      </w:r>
    </w:p>
    <w:p>
      <w:pPr>
        <w:keepNext w:val="0"/>
        <w:widowControl w:val="0"/>
        <w:spacing w:before="0" w:after="0" w:line="170" w:lineRule="exact"/>
      </w:pPr>
      <w:r>
        <w:rPr>
          <w:rFonts w:ascii="DejaVu Sans Mono" w:hAnsi="DejaVu Sans Mono"/>
          <w:sz w:val="14"/>
          <w:noProof/>
        </w:rPr>
        <w:t xml:space="preserve">        "true"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script.onload = function () {</w:t>
      </w:r>
    </w:p>
    <w:p>
      <w:pPr>
        <w:keepNext w:val="0"/>
        <w:widowControl w:val="0"/>
        <w:spacing w:before="0" w:after="0" w:line="170" w:lineRule="exact"/>
      </w:pPr>
      <w:r>
        <w:rPr>
          <w:rFonts w:ascii="DejaVu Sans Mono" w:hAnsi="DejaVu Sans Mono"/>
          <w:sz w:val="14"/>
          <w:noProof/>
        </w:rPr>
        <w:t xml:space="preserve">        state.scriptLoaded = true;</w:t>
      </w:r>
    </w:p>
    <w:p>
      <w:pPr>
        <w:keepNext w:val="0"/>
        <w:widowControl w:val="0"/>
        <w:spacing w:before="0" w:after="0" w:line="170" w:lineRule="exact"/>
      </w:pPr>
      <w:r>
        <w:rPr>
          <w:rFonts w:ascii="DejaVu Sans Mono" w:hAnsi="DejaVu Sans Mono"/>
          <w:sz w:val="14"/>
          <w:noProof/>
        </w:rPr>
        <w:t xml:space="preserve">        state.scriptError = false;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script.onerror = function () {</w:t>
      </w:r>
    </w:p>
    <w:p>
      <w:pPr>
        <w:keepNext w:val="0"/>
        <w:widowControl w:val="0"/>
        <w:spacing w:before="0" w:after="0" w:line="170" w:lineRule="exact"/>
      </w:pPr>
      <w:r>
        <w:rPr>
          <w:rFonts w:ascii="DejaVu Sans Mono" w:hAnsi="DejaVu Sans Mono"/>
          <w:sz w:val="14"/>
          <w:noProof/>
        </w:rPr>
        <w:t xml:space="preserve">        state.scriptLoaded = false;</w:t>
      </w:r>
    </w:p>
    <w:p>
      <w:pPr>
        <w:keepNext w:val="0"/>
        <w:widowControl w:val="0"/>
        <w:spacing w:before="0" w:after="0" w:line="170" w:lineRule="exact"/>
      </w:pPr>
      <w:r>
        <w:rPr>
          <w:rFonts w:ascii="DejaVu Sans Mono" w:hAnsi="DejaVu Sans Mono"/>
          <w:sz w:val="14"/>
          <w:noProof/>
        </w:rPr>
        <w:t xml:space="preserve">        state.scriptError = true;</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console.error(</w:t>
      </w:r>
    </w:p>
    <w:p>
      <w:pPr>
        <w:keepNext w:val="0"/>
        <w:widowControl w:val="0"/>
        <w:spacing w:before="0" w:after="0" w:line="170" w:lineRule="exact"/>
      </w:pPr>
      <w:r>
        <w:rPr>
          <w:rFonts w:ascii="DejaVu Sans Mono" w:hAnsi="DejaVu Sans Mono"/>
          <w:sz w:val="14"/>
          <w:noProof/>
        </w:rPr>
        <w:t xml:space="preserve">            "Citi Floodlight: Google tag could not be loaded."</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(document.head || document.documentElement)</w:t>
      </w:r>
    </w:p>
    <w:p>
      <w:pPr>
        <w:keepNext w:val="0"/>
        <w:widowControl w:val="0"/>
        <w:spacing w:before="0" w:after="0" w:line="170" w:lineRule="exact"/>
      </w:pPr>
      <w:r>
        <w:rPr>
          <w:rFonts w:ascii="DejaVu Sans Mono" w:hAnsi="DejaVu Sans Mono"/>
          <w:sz w:val="14"/>
          <w:noProof/>
        </w:rPr>
        <w:t xml:space="preserve">        .appendChild(script);</w:t>
      </w:r>
    </w:p>
    <w:p>
      <w:pPr>
        <w:keepNext w:val="0"/>
        <w:widowControl w:val="0"/>
        <w:spacing w:before="0" w:after="0" w:line="170" w:lineRule="exact"/>
      </w:pPr>
      <w:r>
        <w:rPr>
          <w:rFonts w:ascii="DejaVu Sans Mono" w:hAnsi="DejaVu Sans Mono"/>
          <w:sz w:val="14"/>
          <w:noProof/>
        </w:rPr>
        <w:t>}</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function citiFloodlightCopyObject(source) {</w:t>
      </w:r>
    </w:p>
    <w:p>
      <w:pPr>
        <w:keepNext w:val="0"/>
        <w:widowControl w:val="0"/>
        <w:spacing w:before="0" w:after="0" w:line="170" w:lineRule="exact"/>
      </w:pPr>
      <w:r>
        <w:rPr>
          <w:rFonts w:ascii="DejaVu Sans Mono" w:hAnsi="DejaVu Sans Mono"/>
          <w:sz w:val="14"/>
          <w:noProof/>
        </w:rPr>
        <w:t xml:space="preserve">    var target =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(!source) {</w:t>
      </w:r>
    </w:p>
    <w:p>
      <w:pPr>
        <w:keepNext w:val="0"/>
        <w:widowControl w:val="0"/>
        <w:spacing w:before="0" w:after="0" w:line="170" w:lineRule="exact"/>
      </w:pPr>
      <w:r>
        <w:rPr>
          <w:rFonts w:ascii="DejaVu Sans Mono" w:hAnsi="DejaVu Sans Mono"/>
          <w:sz w:val="14"/>
          <w:noProof/>
        </w:rPr>
        <w:t xml:space="preserve">        return target;</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for (var key in source) {</w:t>
      </w:r>
    </w:p>
    <w:p>
      <w:pPr>
        <w:keepNext w:val="0"/>
        <w:widowControl w:val="0"/>
        <w:spacing w:before="0" w:after="0" w:line="170" w:lineRule="exact"/>
      </w:pPr>
      <w:r>
        <w:rPr>
          <w:rFonts w:ascii="DejaVu Sans Mono" w:hAnsi="DejaVu Sans Mono"/>
          <w:sz w:val="14"/>
          <w:noProof/>
        </w:rPr>
        <w:t xml:space="preserve">        if (</w:t>
      </w:r>
    </w:p>
    <w:p>
      <w:pPr>
        <w:keepNext w:val="0"/>
        <w:widowControl w:val="0"/>
        <w:spacing w:before="0" w:after="0" w:line="170" w:lineRule="exact"/>
      </w:pPr>
      <w:r>
        <w:rPr>
          <w:rFonts w:ascii="DejaVu Sans Mono" w:hAnsi="DejaVu Sans Mono"/>
          <w:sz w:val="14"/>
          <w:noProof/>
        </w:rPr>
        <w:t xml:space="preserve">            Object.prototype.hasOwnProperty.call(source, key) &amp;&amp;</w:t>
      </w:r>
    </w:p>
    <w:p>
      <w:pPr>
        <w:keepNext w:val="0"/>
        <w:widowControl w:val="0"/>
        <w:spacing w:before="0" w:after="0" w:line="170" w:lineRule="exact"/>
      </w:pPr>
      <w:r>
        <w:rPr>
          <w:rFonts w:ascii="DejaVu Sans Mono" w:hAnsi="DejaVu Sans Mono"/>
          <w:sz w:val="14"/>
          <w:noProof/>
        </w:rPr>
        <w:t xml:space="preserve">            source[key] !== undefined &amp;&amp;</w:t>
      </w:r>
    </w:p>
    <w:p>
      <w:pPr>
        <w:keepNext w:val="0"/>
        <w:widowControl w:val="0"/>
        <w:spacing w:before="0" w:after="0" w:line="170" w:lineRule="exact"/>
      </w:pPr>
      <w:r>
        <w:rPr>
          <w:rFonts w:ascii="DejaVu Sans Mono" w:hAnsi="DejaVu Sans Mono"/>
          <w:sz w:val="14"/>
          <w:noProof/>
        </w:rPr>
        <w:t xml:space="preserve">            source[key] !== null</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target[key] = source[key];</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return target;</w:t>
      </w:r>
    </w:p>
    <w:p>
      <w:pPr>
        <w:keepNext w:val="0"/>
        <w:widowControl w:val="0"/>
        <w:spacing w:before="0" w:after="0" w:line="170" w:lineRule="exact"/>
      </w:pPr>
      <w:r>
        <w:rPr>
          <w:rFonts w:ascii="DejaVu Sans Mono" w:hAnsi="DejaVu Sans Mono"/>
          <w:sz w:val="14"/>
          <w:noProof/>
        </w:rPr>
        <w:t>}</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Configure each Floodlight account only once per document */</w:t>
      </w:r>
    </w:p>
    <w:p>
      <w:pPr>
        <w:keepNext w:val="0"/>
        <w:widowControl w:val="0"/>
        <w:spacing w:before="0" w:after="0" w:line="170" w:lineRule="exact"/>
      </w:pPr>
      <w:r>
        <w:rPr>
          <w:rFonts w:ascii="DejaVu Sans Mono" w:hAnsi="DejaVu Sans Mono"/>
          <w:sz w:val="14"/>
          <w:noProof/>
        </w:rPr>
        <w:t>function citiFloodlightConfigureAccount(accountName) {</w:t>
      </w:r>
    </w:p>
    <w:p>
      <w:pPr>
        <w:keepNext w:val="0"/>
        <w:widowControl w:val="0"/>
        <w:spacing w:before="0" w:after="0" w:line="170" w:lineRule="exact"/>
      </w:pPr>
      <w:r>
        <w:rPr>
          <w:rFonts w:ascii="DejaVu Sans Mono" w:hAnsi="DejaVu Sans Mono"/>
          <w:sz w:val="14"/>
          <w:noProof/>
        </w:rPr>
        <w:t xml:space="preserve">    var config = window.CitiFloodlightConfig;</w:t>
      </w:r>
    </w:p>
    <w:p>
      <w:pPr>
        <w:keepNext w:val="0"/>
        <w:widowControl w:val="0"/>
        <w:spacing w:before="0" w:after="0" w:line="170" w:lineRule="exact"/>
      </w:pPr>
      <w:r>
        <w:rPr>
          <w:rFonts w:ascii="DejaVu Sans Mono" w:hAnsi="DejaVu Sans Mono"/>
          <w:sz w:val="14"/>
          <w:noProof/>
        </w:rPr>
        <w:t xml:space="preserve">    var state = window.CitiFloodlightState;</w:t>
      </w:r>
    </w:p>
    <w:p>
      <w:pPr>
        <w:keepNext w:val="0"/>
        <w:widowControl w:val="0"/>
        <w:spacing w:before="0" w:after="0" w:line="170" w:lineRule="exact"/>
      </w:pPr>
      <w:r>
        <w:rPr>
          <w:rFonts w:ascii="DejaVu Sans Mono" w:hAnsi="DejaVu Sans Mono"/>
          <w:sz w:val="14"/>
          <w:noProof/>
        </w:rPr>
        <w:t xml:space="preserve">    var account = config.accounts[accountName];</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(!account) {</w:t>
      </w:r>
    </w:p>
    <w:p>
      <w:pPr>
        <w:keepNext w:val="0"/>
        <w:widowControl w:val="0"/>
        <w:spacing w:before="0" w:after="0" w:line="170" w:lineRule="exact"/>
      </w:pPr>
      <w:r>
        <w:rPr>
          <w:rFonts w:ascii="DejaVu Sans Mono" w:hAnsi="DejaVu Sans Mono"/>
          <w:sz w:val="14"/>
          <w:noProof/>
        </w:rPr>
        <w:t xml:space="preserve">        console.error(</w:t>
      </w:r>
    </w:p>
    <w:p>
      <w:pPr>
        <w:keepNext w:val="0"/>
        <w:widowControl w:val="0"/>
        <w:spacing w:before="0" w:after="0" w:line="170" w:lineRule="exact"/>
      </w:pPr>
      <w:r>
        <w:rPr>
          <w:rFonts w:ascii="DejaVu Sans Mono" w:hAnsi="DejaVu Sans Mono"/>
          <w:sz w:val="14"/>
          <w:noProof/>
        </w:rPr>
        <w:t xml:space="preserve">            "Citi Floodlight: unknown account:",</w:t>
      </w:r>
    </w:p>
    <w:p>
      <w:pPr>
        <w:keepNext w:val="0"/>
        <w:widowControl w:val="0"/>
        <w:spacing w:before="0" w:after="0" w:line="170" w:lineRule="exact"/>
      </w:pPr>
      <w:r>
        <w:rPr>
          <w:rFonts w:ascii="DejaVu Sans Mono" w:hAnsi="DejaVu Sans Mono"/>
          <w:sz w:val="14"/>
          <w:noProof/>
        </w:rPr>
        <w:t xml:space="preserve">            accountName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return null;</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w:t>
      </w:r>
    </w:p>
    <w:p>
      <w:pPr>
        <w:keepNext w:val="0"/>
        <w:widowControl w:val="0"/>
        <w:spacing w:before="0" w:after="0" w:line="170" w:lineRule="exact"/>
      </w:pPr>
      <w:r>
        <w:rPr>
          <w:rFonts w:ascii="DejaVu Sans Mono" w:hAnsi="DejaVu Sans Mono"/>
          <w:sz w:val="14"/>
          <w:noProof/>
        </w:rPr>
        <w:t xml:space="preserve">        !account.id ||</w:t>
      </w:r>
    </w:p>
    <w:p>
      <w:pPr>
        <w:keepNext w:val="0"/>
        <w:widowControl w:val="0"/>
        <w:spacing w:before="0" w:after="0" w:line="170" w:lineRule="exact"/>
      </w:pPr>
      <w:r>
        <w:rPr>
          <w:rFonts w:ascii="DejaVu Sans Mono" w:hAnsi="DejaVu Sans Mono"/>
          <w:sz w:val="14"/>
          <w:noProof/>
        </w:rPr>
        <w:t xml:space="preserve">        account.id.indexOf("DC-") !== 0</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console.error(</w:t>
      </w:r>
    </w:p>
    <w:p>
      <w:pPr>
        <w:keepNext w:val="0"/>
        <w:widowControl w:val="0"/>
        <w:spacing w:before="0" w:after="0" w:line="170" w:lineRule="exact"/>
      </w:pPr>
      <w:r>
        <w:rPr>
          <w:rFonts w:ascii="DejaVu Sans Mono" w:hAnsi="DejaVu Sans Mono"/>
          <w:sz w:val="14"/>
          <w:noProof/>
        </w:rPr>
        <w:t xml:space="preserve">            "Citi Floodlight: invalid Floodlight ID:",</w:t>
      </w:r>
    </w:p>
    <w:p>
      <w:pPr>
        <w:keepNext w:val="0"/>
        <w:widowControl w:val="0"/>
        <w:spacing w:before="0" w:after="0" w:line="170" w:lineRule="exact"/>
      </w:pPr>
      <w:r>
        <w:rPr>
          <w:rFonts w:ascii="DejaVu Sans Mono" w:hAnsi="DejaVu Sans Mono"/>
          <w:sz w:val="14"/>
          <w:noProof/>
        </w:rPr>
        <w:t xml:space="preserve">            account.id</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return null;</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citiFloodlightEnsureGoogleTag(account.id);</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w:t>
      </w:r>
    </w:p>
    <w:p>
      <w:pPr>
        <w:keepNext w:val="0"/>
        <w:widowControl w:val="0"/>
        <w:spacing w:before="0" w:after="0" w:line="170" w:lineRule="exact"/>
      </w:pPr>
      <w:r>
        <w:rPr>
          <w:rFonts w:ascii="DejaVu Sans Mono" w:hAnsi="DejaVu Sans Mono"/>
          <w:sz w:val="14"/>
          <w:noProof/>
        </w:rPr>
        <w:t xml:space="preserve">        !state.configuredAccounts[account.id] &amp;&amp;</w:t>
      </w:r>
    </w:p>
    <w:p>
      <w:pPr>
        <w:keepNext w:val="0"/>
        <w:widowControl w:val="0"/>
        <w:spacing w:before="0" w:after="0" w:line="170" w:lineRule="exact"/>
      </w:pPr>
      <w:r>
        <w:rPr>
          <w:rFonts w:ascii="DejaVu Sans Mono" w:hAnsi="DejaVu Sans Mono"/>
          <w:sz w:val="14"/>
          <w:noProof/>
        </w:rPr>
        <w:t xml:space="preserve">        !citiFloodlightHasCommand("config", account.id)</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window.gtag(</w:t>
      </w:r>
    </w:p>
    <w:p>
      <w:pPr>
        <w:keepNext w:val="0"/>
        <w:widowControl w:val="0"/>
        <w:spacing w:before="0" w:after="0" w:line="170" w:lineRule="exact"/>
      </w:pPr>
      <w:r>
        <w:rPr>
          <w:rFonts w:ascii="DejaVu Sans Mono" w:hAnsi="DejaVu Sans Mono"/>
          <w:sz w:val="14"/>
          <w:noProof/>
        </w:rPr>
        <w:t xml:space="preserve">            "config",</w:t>
      </w:r>
    </w:p>
    <w:p>
      <w:pPr>
        <w:keepNext w:val="0"/>
        <w:widowControl w:val="0"/>
        <w:spacing w:before="0" w:after="0" w:line="170" w:lineRule="exact"/>
      </w:pPr>
      <w:r>
        <w:rPr>
          <w:rFonts w:ascii="DejaVu Sans Mono" w:hAnsi="DejaVu Sans Mono"/>
          <w:sz w:val="14"/>
          <w:noProof/>
        </w:rPr>
        <w:t xml:space="preserve">            account.id,</w:t>
      </w:r>
    </w:p>
    <w:p>
      <w:pPr>
        <w:keepNext w:val="0"/>
        <w:widowControl w:val="0"/>
        <w:spacing w:before="0" w:after="0" w:line="170" w:lineRule="exact"/>
      </w:pPr>
      <w:r>
        <w:rPr>
          <w:rFonts w:ascii="DejaVu Sans Mono" w:hAnsi="DejaVu Sans Mono"/>
          <w:sz w:val="14"/>
          <w:noProof/>
        </w:rPr>
        <w:t xml:space="preserve">            citiFloodlightCopyObject(account.config)</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state.configuredAccounts[account.id] = true;</w:t>
      </w:r>
    </w:p>
    <w:p>
      <w:pPr>
        <w:keepNext w:val="0"/>
        <w:widowControl w:val="0"/>
        <w:spacing w:before="0" w:after="0" w:line="170" w:lineRule="exact"/>
      </w:pPr>
      <w:r>
        <w:rPr>
          <w:rFonts w:ascii="DejaVu Sans Mono" w:hAnsi="DejaVu Sans Mono"/>
          <w:sz w:val="14"/>
          <w:noProof/>
        </w:rPr>
        <w:t xml:space="preserve">    } else {</w:t>
      </w:r>
    </w:p>
    <w:p>
      <w:pPr>
        <w:keepNext w:val="0"/>
        <w:widowControl w:val="0"/>
        <w:spacing w:before="0" w:after="0" w:line="170" w:lineRule="exact"/>
      </w:pPr>
      <w:r>
        <w:rPr>
          <w:rFonts w:ascii="DejaVu Sans Mono" w:hAnsi="DejaVu Sans Mono"/>
          <w:sz w:val="14"/>
          <w:noProof/>
        </w:rPr>
        <w:t xml:space="preserve">        state.configuredAccounts[account.id] = true;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return account;</w:t>
      </w:r>
    </w:p>
    <w:p>
      <w:pPr>
        <w:keepNext w:val="0"/>
        <w:widowControl w:val="0"/>
        <w:spacing w:before="0" w:after="0" w:line="170" w:lineRule="exact"/>
      </w:pPr>
      <w:r>
        <w:rPr>
          <w:rFonts w:ascii="DejaVu Sans Mono" w:hAnsi="DejaVu Sans Mono"/>
          <w:sz w:val="14"/>
          <w:noProof/>
        </w:rPr>
        <w:t>}</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function citiFloodlightValidateActivity(</w:t>
      </w:r>
    </w:p>
    <w:p>
      <w:pPr>
        <w:keepNext w:val="0"/>
        <w:widowControl w:val="0"/>
        <w:spacing w:before="0" w:after="0" w:line="170" w:lineRule="exact"/>
      </w:pPr>
      <w:r>
        <w:rPr>
          <w:rFonts w:ascii="DejaVu Sans Mono" w:hAnsi="DejaVu Sans Mono"/>
          <w:sz w:val="14"/>
          <w:noProof/>
        </w:rPr>
        <w:t xml:space="preserve">    activityName,</w:t>
      </w:r>
    </w:p>
    <w:p>
      <w:pPr>
        <w:keepNext w:val="0"/>
        <w:widowControl w:val="0"/>
        <w:spacing w:before="0" w:after="0" w:line="170" w:lineRule="exact"/>
      </w:pPr>
      <w:r>
        <w:rPr>
          <w:rFonts w:ascii="DejaVu Sans Mono" w:hAnsi="DejaVu Sans Mono"/>
          <w:sz w:val="14"/>
          <w:noProof/>
        </w:rPr>
        <w:t xml:space="preserve">    activity</w:t>
      </w:r>
    </w:p>
    <w:p>
      <w:pPr>
        <w:keepNext w:val="0"/>
        <w:widowControl w:val="0"/>
        <w:spacing w:before="0" w:after="0" w:line="170" w:lineRule="exact"/>
      </w:pPr>
      <w:r>
        <w:rPr>
          <w:rFonts w:ascii="DejaVu Sans Mono" w:hAnsi="DejaVu Sans Mono"/>
          <w:sz w:val="14"/>
          <w:noProof/>
        </w:rPr>
        <w:t>) {</w:t>
      </w:r>
    </w:p>
    <w:p>
      <w:pPr>
        <w:keepNext w:val="0"/>
        <w:widowControl w:val="0"/>
        <w:spacing w:before="0" w:after="0" w:line="170" w:lineRule="exact"/>
      </w:pPr>
      <w:r>
        <w:rPr>
          <w:rFonts w:ascii="DejaVu Sans Mono" w:hAnsi="DejaVu Sans Mono"/>
          <w:sz w:val="14"/>
          <w:noProof/>
        </w:rPr>
        <w:t xml:space="preserve">    var validMethods = {</w:t>
      </w:r>
    </w:p>
    <w:p>
      <w:pPr>
        <w:keepNext w:val="0"/>
        <w:widowControl w:val="0"/>
        <w:spacing w:before="0" w:after="0" w:line="170" w:lineRule="exact"/>
      </w:pPr>
      <w:r>
        <w:rPr>
          <w:rFonts w:ascii="DejaVu Sans Mono" w:hAnsi="DejaVu Sans Mono"/>
          <w:sz w:val="14"/>
          <w:noProof/>
        </w:rPr>
        <w:t xml:space="preserve">        standard: true,</w:t>
      </w:r>
    </w:p>
    <w:p>
      <w:pPr>
        <w:keepNext w:val="0"/>
        <w:widowControl w:val="0"/>
        <w:spacing w:before="0" w:after="0" w:line="170" w:lineRule="exact"/>
      </w:pPr>
      <w:r>
        <w:rPr>
          <w:rFonts w:ascii="DejaVu Sans Mono" w:hAnsi="DejaVu Sans Mono"/>
          <w:sz w:val="14"/>
          <w:noProof/>
        </w:rPr>
        <w:t xml:space="preserve">        unique: true,</w:t>
      </w:r>
    </w:p>
    <w:p>
      <w:pPr>
        <w:keepNext w:val="0"/>
        <w:widowControl w:val="0"/>
        <w:spacing w:before="0" w:after="0" w:line="170" w:lineRule="exact"/>
      </w:pPr>
      <w:r>
        <w:rPr>
          <w:rFonts w:ascii="DejaVu Sans Mono" w:hAnsi="DejaVu Sans Mono"/>
          <w:sz w:val="14"/>
          <w:noProof/>
        </w:rPr>
        <w:t xml:space="preserve">        per_session: true,</w:t>
      </w:r>
    </w:p>
    <w:p>
      <w:pPr>
        <w:keepNext w:val="0"/>
        <w:widowControl w:val="0"/>
        <w:spacing w:before="0" w:after="0" w:line="170" w:lineRule="exact"/>
      </w:pPr>
      <w:r>
        <w:rPr>
          <w:rFonts w:ascii="DejaVu Sans Mono" w:hAnsi="DejaVu Sans Mono"/>
          <w:sz w:val="14"/>
          <w:noProof/>
        </w:rPr>
        <w:t xml:space="preserve">        transactions: true,</w:t>
      </w:r>
    </w:p>
    <w:p>
      <w:pPr>
        <w:keepNext w:val="0"/>
        <w:widowControl w:val="0"/>
        <w:spacing w:before="0" w:after="0" w:line="170" w:lineRule="exact"/>
      </w:pPr>
      <w:r>
        <w:rPr>
          <w:rFonts w:ascii="DejaVu Sans Mono" w:hAnsi="DejaVu Sans Mono"/>
          <w:sz w:val="14"/>
          <w:noProof/>
        </w:rPr>
        <w:t xml:space="preserve">        items_sold: true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(!activity) {</w:t>
      </w:r>
    </w:p>
    <w:p>
      <w:pPr>
        <w:keepNext w:val="0"/>
        <w:widowControl w:val="0"/>
        <w:spacing w:before="0" w:after="0" w:line="170" w:lineRule="exact"/>
      </w:pPr>
      <w:r>
        <w:rPr>
          <w:rFonts w:ascii="DejaVu Sans Mono" w:hAnsi="DejaVu Sans Mono"/>
          <w:sz w:val="14"/>
          <w:noProof/>
        </w:rPr>
        <w:t xml:space="preserve">        console.error(</w:t>
      </w:r>
    </w:p>
    <w:p>
      <w:pPr>
        <w:keepNext w:val="0"/>
        <w:widowControl w:val="0"/>
        <w:spacing w:before="0" w:after="0" w:line="170" w:lineRule="exact"/>
      </w:pPr>
      <w:r>
        <w:rPr>
          <w:rFonts w:ascii="DejaVu Sans Mono" w:hAnsi="DejaVu Sans Mono"/>
          <w:sz w:val="14"/>
          <w:noProof/>
        </w:rPr>
        <w:t xml:space="preserve">            "Citi Floodlight: unknown activity:",</w:t>
      </w:r>
    </w:p>
    <w:p>
      <w:pPr>
        <w:keepNext w:val="0"/>
        <w:widowControl w:val="0"/>
        <w:spacing w:before="0" w:after="0" w:line="170" w:lineRule="exact"/>
      </w:pPr>
      <w:r>
        <w:rPr>
          <w:rFonts w:ascii="DejaVu Sans Mono" w:hAnsi="DejaVu Sans Mono"/>
          <w:sz w:val="14"/>
          <w:noProof/>
        </w:rPr>
        <w:t xml:space="preserve">            activityName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return false;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w:t>
      </w:r>
    </w:p>
    <w:p>
      <w:pPr>
        <w:keepNext w:val="0"/>
        <w:widowControl w:val="0"/>
        <w:spacing w:before="0" w:after="0" w:line="170" w:lineRule="exact"/>
      </w:pPr>
      <w:r>
        <w:rPr>
          <w:rFonts w:ascii="DejaVu Sans Mono" w:hAnsi="DejaVu Sans Mono"/>
          <w:sz w:val="14"/>
          <w:noProof/>
        </w:rPr>
        <w:t xml:space="preserve">        !activity.account ||</w:t>
      </w:r>
    </w:p>
    <w:p>
      <w:pPr>
        <w:keepNext w:val="0"/>
        <w:widowControl w:val="0"/>
        <w:spacing w:before="0" w:after="0" w:line="170" w:lineRule="exact"/>
      </w:pPr>
      <w:r>
        <w:rPr>
          <w:rFonts w:ascii="DejaVu Sans Mono" w:hAnsi="DejaVu Sans Mono"/>
          <w:sz w:val="14"/>
          <w:noProof/>
        </w:rPr>
        <w:t xml:space="preserve">        !activity.group ||</w:t>
      </w:r>
    </w:p>
    <w:p>
      <w:pPr>
        <w:keepNext w:val="0"/>
        <w:widowControl w:val="0"/>
        <w:spacing w:before="0" w:after="0" w:line="170" w:lineRule="exact"/>
      </w:pPr>
      <w:r>
        <w:rPr>
          <w:rFonts w:ascii="DejaVu Sans Mono" w:hAnsi="DejaVu Sans Mono"/>
          <w:sz w:val="14"/>
          <w:noProof/>
        </w:rPr>
        <w:t xml:space="preserve">        !activity.activity ||</w:t>
      </w:r>
    </w:p>
    <w:p>
      <w:pPr>
        <w:keepNext w:val="0"/>
        <w:widowControl w:val="0"/>
        <w:spacing w:before="0" w:after="0" w:line="170" w:lineRule="exact"/>
      </w:pPr>
      <w:r>
        <w:rPr>
          <w:rFonts w:ascii="DejaVu Sans Mono" w:hAnsi="DejaVu Sans Mono"/>
          <w:sz w:val="14"/>
          <w:noProof/>
        </w:rPr>
        <w:t xml:space="preserve">        !activity.eventName ||</w:t>
      </w:r>
    </w:p>
    <w:p>
      <w:pPr>
        <w:keepNext w:val="0"/>
        <w:widowControl w:val="0"/>
        <w:spacing w:before="0" w:after="0" w:line="170" w:lineRule="exact"/>
      </w:pPr>
      <w:r>
        <w:rPr>
          <w:rFonts w:ascii="DejaVu Sans Mono" w:hAnsi="DejaVu Sans Mono"/>
          <w:sz w:val="14"/>
          <w:noProof/>
        </w:rPr>
        <w:t xml:space="preserve">        !validMethods[activity.countingMethod]</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console.error(</w:t>
      </w:r>
    </w:p>
    <w:p>
      <w:pPr>
        <w:keepNext w:val="0"/>
        <w:widowControl w:val="0"/>
        <w:spacing w:before="0" w:after="0" w:line="170" w:lineRule="exact"/>
      </w:pPr>
      <w:r>
        <w:rPr>
          <w:rFonts w:ascii="DejaVu Sans Mono" w:hAnsi="DejaVu Sans Mono"/>
          <w:sz w:val="14"/>
          <w:noProof/>
        </w:rPr>
        <w:t xml:space="preserve">            "Citi Floodlight: invalid activity configuration:",</w:t>
      </w:r>
    </w:p>
    <w:p>
      <w:pPr>
        <w:keepNext w:val="0"/>
        <w:widowControl w:val="0"/>
        <w:spacing w:before="0" w:after="0" w:line="170" w:lineRule="exact"/>
      </w:pPr>
      <w:r>
        <w:rPr>
          <w:rFonts w:ascii="DejaVu Sans Mono" w:hAnsi="DejaVu Sans Mono"/>
          <w:sz w:val="14"/>
          <w:noProof/>
        </w:rPr>
        <w:t xml:space="preserve">            activityName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return false;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return true;</w:t>
      </w:r>
    </w:p>
    <w:p>
      <w:pPr>
        <w:keepNext w:val="0"/>
        <w:widowControl w:val="0"/>
        <w:spacing w:before="0" w:after="0" w:line="170" w:lineRule="exact"/>
      </w:pPr>
      <w:r>
        <w:rPr>
          <w:rFonts w:ascii="DejaVu Sans Mono" w:hAnsi="DejaVu Sans Mono"/>
          <w:sz w:val="14"/>
          <w:noProof/>
        </w:rPr>
        <w:t>}</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function citiFloodlightValidateEventData(</w:t>
      </w:r>
    </w:p>
    <w:p>
      <w:pPr>
        <w:keepNext w:val="0"/>
        <w:widowControl w:val="0"/>
        <w:spacing w:before="0" w:after="0" w:line="170" w:lineRule="exact"/>
      </w:pPr>
      <w:r>
        <w:rPr>
          <w:rFonts w:ascii="DejaVu Sans Mono" w:hAnsi="DejaVu Sans Mono"/>
          <w:sz w:val="14"/>
          <w:noProof/>
        </w:rPr>
        <w:t xml:space="preserve">    activity,</w:t>
      </w:r>
    </w:p>
    <w:p>
      <w:pPr>
        <w:keepNext w:val="0"/>
        <w:widowControl w:val="0"/>
        <w:spacing w:before="0" w:after="0" w:line="170" w:lineRule="exact"/>
      </w:pPr>
      <w:r>
        <w:rPr>
          <w:rFonts w:ascii="DejaVu Sans Mono" w:hAnsi="DejaVu Sans Mono"/>
          <w:sz w:val="14"/>
          <w:noProof/>
        </w:rPr>
        <w:t xml:space="preserve">    eventData</w:t>
      </w:r>
    </w:p>
    <w:p>
      <w:pPr>
        <w:keepNext w:val="0"/>
        <w:widowControl w:val="0"/>
        <w:spacing w:before="0" w:after="0" w:line="170" w:lineRule="exact"/>
      </w:pPr>
      <w:r>
        <w:rPr>
          <w:rFonts w:ascii="DejaVu Sans Mono" w:hAnsi="DejaVu Sans Mono"/>
          <w:sz w:val="14"/>
          <w:noProof/>
        </w:rPr>
        <w:t>) {</w:t>
      </w:r>
    </w:p>
    <w:p>
      <w:pPr>
        <w:keepNext w:val="0"/>
        <w:widowControl w:val="0"/>
        <w:spacing w:before="0" w:after="0" w:line="170" w:lineRule="exact"/>
      </w:pPr>
      <w:r>
        <w:rPr>
          <w:rFonts w:ascii="DejaVu Sans Mono" w:hAnsi="DejaVu Sans Mono"/>
          <w:sz w:val="14"/>
          <w:noProof/>
        </w:rPr>
        <w:t xml:space="preserve">    if (</w:t>
      </w:r>
    </w:p>
    <w:p>
      <w:pPr>
        <w:keepNext w:val="0"/>
        <w:widowControl w:val="0"/>
        <w:spacing w:before="0" w:after="0" w:line="170" w:lineRule="exact"/>
      </w:pPr>
      <w:r>
        <w:rPr>
          <w:rFonts w:ascii="DejaVu Sans Mono" w:hAnsi="DejaVu Sans Mono"/>
          <w:sz w:val="14"/>
          <w:noProof/>
        </w:rPr>
        <w:t xml:space="preserve">        activity.countingMethod === "per_session" &amp;&amp;</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eventData.session_id === undefined ||</w:t>
      </w:r>
    </w:p>
    <w:p>
      <w:pPr>
        <w:keepNext w:val="0"/>
        <w:widowControl w:val="0"/>
        <w:spacing w:before="0" w:after="0" w:line="170" w:lineRule="exact"/>
      </w:pPr>
      <w:r>
        <w:rPr>
          <w:rFonts w:ascii="DejaVu Sans Mono" w:hAnsi="DejaVu Sans Mono"/>
          <w:sz w:val="14"/>
          <w:noProof/>
        </w:rPr>
        <w:t xml:space="preserve">            eventData.session_id ===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console.warn(</w:t>
      </w:r>
    </w:p>
    <w:p>
      <w:pPr>
        <w:keepNext w:val="0"/>
        <w:widowControl w:val="0"/>
        <w:spacing w:before="0" w:after="0" w:line="170" w:lineRule="exact"/>
      </w:pPr>
      <w:r>
        <w:rPr>
          <w:rFonts w:ascii="DejaVu Sans Mono" w:hAnsi="DejaVu Sans Mono"/>
          <w:sz w:val="14"/>
          <w:noProof/>
        </w:rPr>
        <w:t xml:space="preserve">            "Citi Floodlight: per_session activity has no session_id."</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activity.countingMethod === "transactions" ||</w:t>
      </w:r>
    </w:p>
    <w:p>
      <w:pPr>
        <w:keepNext w:val="0"/>
        <w:widowControl w:val="0"/>
        <w:spacing w:before="0" w:after="0" w:line="170" w:lineRule="exact"/>
      </w:pPr>
      <w:r>
        <w:rPr>
          <w:rFonts w:ascii="DejaVu Sans Mono" w:hAnsi="DejaVu Sans Mono"/>
          <w:sz w:val="14"/>
          <w:noProof/>
        </w:rPr>
        <w:t xml:space="preserve">            activity.countingMethod === "items_sold"</w:t>
      </w:r>
    </w:p>
    <w:p>
      <w:pPr>
        <w:keepNext w:val="0"/>
        <w:widowControl w:val="0"/>
        <w:spacing w:before="0" w:after="0" w:line="170" w:lineRule="exact"/>
      </w:pPr>
      <w:r>
        <w:rPr>
          <w:rFonts w:ascii="DejaVu Sans Mono" w:hAnsi="DejaVu Sans Mono"/>
          <w:sz w:val="14"/>
          <w:noProof/>
        </w:rPr>
        <w:t xml:space="preserve">        ) &amp;&amp;</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eventData.transaction_id === undefined ||</w:t>
      </w:r>
    </w:p>
    <w:p>
      <w:pPr>
        <w:keepNext w:val="0"/>
        <w:widowControl w:val="0"/>
        <w:spacing w:before="0" w:after="0" w:line="170" w:lineRule="exact"/>
      </w:pPr>
      <w:r>
        <w:rPr>
          <w:rFonts w:ascii="DejaVu Sans Mono" w:hAnsi="DejaVu Sans Mono"/>
          <w:sz w:val="14"/>
          <w:noProof/>
        </w:rPr>
        <w:t xml:space="preserve">            eventData.transaction_id ===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console.warn(</w:t>
      </w:r>
    </w:p>
    <w:p>
      <w:pPr>
        <w:keepNext w:val="0"/>
        <w:widowControl w:val="0"/>
        <w:spacing w:before="0" w:after="0" w:line="170" w:lineRule="exact"/>
      </w:pPr>
      <w:r>
        <w:rPr>
          <w:rFonts w:ascii="DejaVu Sans Mono" w:hAnsi="DejaVu Sans Mono"/>
          <w:sz w:val="14"/>
          <w:noProof/>
        </w:rPr>
        <w:t xml:space="preserve">            "Citi Floodlight: sales activity has no transaction_id."</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w:t>
      </w:r>
    </w:p>
    <w:p>
      <w:pPr>
        <w:keepNext w:val="0"/>
        <w:widowControl w:val="0"/>
        <w:spacing w:before="0" w:after="0" w:line="170" w:lineRule="exact"/>
      </w:pPr>
      <w:r>
        <w:rPr>
          <w:rFonts w:ascii="DejaVu Sans Mono" w:hAnsi="DejaVu Sans Mono"/>
          <w:sz w:val="14"/>
          <w:noProof/>
        </w:rPr>
        <w:t xml:space="preserve">        activity.countingMethod === "items_sold" &amp;&amp;</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eventData.quantity === undefined ||</w:t>
      </w:r>
    </w:p>
    <w:p>
      <w:pPr>
        <w:keepNext w:val="0"/>
        <w:widowControl w:val="0"/>
        <w:spacing w:before="0" w:after="0" w:line="170" w:lineRule="exact"/>
      </w:pPr>
      <w:r>
        <w:rPr>
          <w:rFonts w:ascii="DejaVu Sans Mono" w:hAnsi="DejaVu Sans Mono"/>
          <w:sz w:val="14"/>
          <w:noProof/>
        </w:rPr>
        <w:t xml:space="preserve">            eventData.quantity ===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console.warn(</w:t>
      </w:r>
    </w:p>
    <w:p>
      <w:pPr>
        <w:keepNext w:val="0"/>
        <w:widowControl w:val="0"/>
        <w:spacing w:before="0" w:after="0" w:line="170" w:lineRule="exact"/>
      </w:pPr>
      <w:r>
        <w:rPr>
          <w:rFonts w:ascii="DejaVu Sans Mono" w:hAnsi="DejaVu Sans Mono"/>
          <w:sz w:val="14"/>
          <w:noProof/>
        </w:rPr>
        <w:t xml:space="preserve">            "Citi Floodlight: items_sold activity has no quantity."</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Common function called from individual Launch rules */</w:t>
      </w:r>
    </w:p>
    <w:p>
      <w:pPr>
        <w:keepNext w:val="0"/>
        <w:widowControl w:val="0"/>
        <w:spacing w:before="0" w:after="0" w:line="170" w:lineRule="exact"/>
      </w:pPr>
      <w:r>
        <w:rPr>
          <w:rFonts w:ascii="DejaVu Sans Mono" w:hAnsi="DejaVu Sans Mono"/>
          <w:sz w:val="14"/>
          <w:noProof/>
        </w:rPr>
        <w:t>function citiFloodlightFire(</w:t>
      </w:r>
    </w:p>
    <w:p>
      <w:pPr>
        <w:keepNext w:val="0"/>
        <w:widowControl w:val="0"/>
        <w:spacing w:before="0" w:after="0" w:line="170" w:lineRule="exact"/>
      </w:pPr>
      <w:r>
        <w:rPr>
          <w:rFonts w:ascii="DejaVu Sans Mono" w:hAnsi="DejaVu Sans Mono"/>
          <w:sz w:val="14"/>
          <w:noProof/>
        </w:rPr>
        <w:t xml:space="preserve">    activityName,</w:t>
      </w:r>
    </w:p>
    <w:p>
      <w:pPr>
        <w:keepNext w:val="0"/>
        <w:widowControl w:val="0"/>
        <w:spacing w:before="0" w:after="0" w:line="170" w:lineRule="exact"/>
      </w:pPr>
      <w:r>
        <w:rPr>
          <w:rFonts w:ascii="DejaVu Sans Mono" w:hAnsi="DejaVu Sans Mono"/>
          <w:sz w:val="14"/>
          <w:noProof/>
        </w:rPr>
        <w:t xml:space="preserve">    parameters</w:t>
      </w:r>
    </w:p>
    <w:p>
      <w:pPr>
        <w:keepNext w:val="0"/>
        <w:widowControl w:val="0"/>
        <w:spacing w:before="0" w:after="0" w:line="170" w:lineRule="exact"/>
      </w:pPr>
      <w:r>
        <w:rPr>
          <w:rFonts w:ascii="DejaVu Sans Mono" w:hAnsi="DejaVu Sans Mono"/>
          <w:sz w:val="14"/>
          <w:noProof/>
        </w:rPr>
        <w:t>) {</w:t>
      </w:r>
    </w:p>
    <w:p>
      <w:pPr>
        <w:keepNext w:val="0"/>
        <w:widowControl w:val="0"/>
        <w:spacing w:before="0" w:after="0" w:line="170" w:lineRule="exact"/>
      </w:pPr>
      <w:r>
        <w:rPr>
          <w:rFonts w:ascii="DejaVu Sans Mono" w:hAnsi="DejaVu Sans Mono"/>
          <w:sz w:val="14"/>
          <w:noProof/>
        </w:rPr>
        <w:t xml:space="preserve">    var config = window.CitiFloodlightConfig;</w:t>
      </w:r>
    </w:p>
    <w:p>
      <w:pPr>
        <w:keepNext w:val="0"/>
        <w:widowControl w:val="0"/>
        <w:spacing w:before="0" w:after="0" w:line="170" w:lineRule="exact"/>
      </w:pPr>
      <w:r>
        <w:rPr>
          <w:rFonts w:ascii="DejaVu Sans Mono" w:hAnsi="DejaVu Sans Mono"/>
          <w:sz w:val="14"/>
          <w:noProof/>
        </w:rPr>
        <w:t xml:space="preserve">    var activity = config.activities[activityName];</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w:t>
      </w:r>
    </w:p>
    <w:p>
      <w:pPr>
        <w:keepNext w:val="0"/>
        <w:widowControl w:val="0"/>
        <w:spacing w:before="0" w:after="0" w:line="170" w:lineRule="exact"/>
      </w:pPr>
      <w:r>
        <w:rPr>
          <w:rFonts w:ascii="DejaVu Sans Mono" w:hAnsi="DejaVu Sans Mono"/>
          <w:sz w:val="14"/>
          <w:noProof/>
        </w:rPr>
        <w:t xml:space="preserve">        !citiFloodlightValidateActivity(</w:t>
      </w:r>
    </w:p>
    <w:p>
      <w:pPr>
        <w:keepNext w:val="0"/>
        <w:widowControl w:val="0"/>
        <w:spacing w:before="0" w:after="0" w:line="170" w:lineRule="exact"/>
      </w:pPr>
      <w:r>
        <w:rPr>
          <w:rFonts w:ascii="DejaVu Sans Mono" w:hAnsi="DejaVu Sans Mono"/>
          <w:sz w:val="14"/>
          <w:noProof/>
        </w:rPr>
        <w:t xml:space="preserve">            activityName,</w:t>
      </w:r>
    </w:p>
    <w:p>
      <w:pPr>
        <w:keepNext w:val="0"/>
        <w:widowControl w:val="0"/>
        <w:spacing w:before="0" w:after="0" w:line="170" w:lineRule="exact"/>
      </w:pPr>
      <w:r>
        <w:rPr>
          <w:rFonts w:ascii="DejaVu Sans Mono" w:hAnsi="DejaVu Sans Mono"/>
          <w:sz w:val="14"/>
          <w:noProof/>
        </w:rPr>
        <w:t xml:space="preserve">            activity</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return null;</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var account =</w:t>
      </w:r>
    </w:p>
    <w:p>
      <w:pPr>
        <w:keepNext w:val="0"/>
        <w:widowControl w:val="0"/>
        <w:spacing w:before="0" w:after="0" w:line="170" w:lineRule="exact"/>
      </w:pPr>
      <w:r>
        <w:rPr>
          <w:rFonts w:ascii="DejaVu Sans Mono" w:hAnsi="DejaVu Sans Mono"/>
          <w:sz w:val="14"/>
          <w:noProof/>
        </w:rPr>
        <w:t xml:space="preserve">        citiFloodlightConfigureAccount(</w:t>
      </w:r>
    </w:p>
    <w:p>
      <w:pPr>
        <w:keepNext w:val="0"/>
        <w:widowControl w:val="0"/>
        <w:spacing w:before="0" w:after="0" w:line="170" w:lineRule="exact"/>
      </w:pPr>
      <w:r>
        <w:rPr>
          <w:rFonts w:ascii="DejaVu Sans Mono" w:hAnsi="DejaVu Sans Mono"/>
          <w:sz w:val="14"/>
          <w:noProof/>
        </w:rPr>
        <w:t xml:space="preserve">            activity.account</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(!account) {</w:t>
      </w:r>
    </w:p>
    <w:p>
      <w:pPr>
        <w:keepNext w:val="0"/>
        <w:widowControl w:val="0"/>
        <w:spacing w:before="0" w:after="0" w:line="170" w:lineRule="exact"/>
      </w:pPr>
      <w:r>
        <w:rPr>
          <w:rFonts w:ascii="DejaVu Sans Mono" w:hAnsi="DejaVu Sans Mono"/>
          <w:sz w:val="14"/>
          <w:noProof/>
        </w:rPr>
        <w:t xml:space="preserve">        return null;</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var eventData =</w:t>
      </w:r>
    </w:p>
    <w:p>
      <w:pPr>
        <w:keepNext w:val="0"/>
        <w:widowControl w:val="0"/>
        <w:spacing w:before="0" w:after="0" w:line="170" w:lineRule="exact"/>
      </w:pPr>
      <w:r>
        <w:rPr>
          <w:rFonts w:ascii="DejaVu Sans Mono" w:hAnsi="DejaVu Sans Mono"/>
          <w:sz w:val="14"/>
          <w:noProof/>
        </w:rPr>
        <w:t xml:space="preserve">        citiFloodlightCopyObject(parameters);</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delete eventData.send_to;</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if (</w:t>
      </w:r>
    </w:p>
    <w:p>
      <w:pPr>
        <w:keepNext w:val="0"/>
        <w:widowControl w:val="0"/>
        <w:spacing w:before="0" w:after="0" w:line="170" w:lineRule="exact"/>
      </w:pPr>
      <w:r>
        <w:rPr>
          <w:rFonts w:ascii="DejaVu Sans Mono" w:hAnsi="DejaVu Sans Mono"/>
          <w:sz w:val="14"/>
          <w:noProof/>
        </w:rPr>
        <w:t xml:space="preserve">        typeof activity.allowCustomScripts ===</w:t>
      </w:r>
    </w:p>
    <w:p>
      <w:pPr>
        <w:keepNext w:val="0"/>
        <w:widowControl w:val="0"/>
        <w:spacing w:before="0" w:after="0" w:line="170" w:lineRule="exact"/>
      </w:pPr>
      <w:r>
        <w:rPr>
          <w:rFonts w:ascii="DejaVu Sans Mono" w:hAnsi="DejaVu Sans Mono"/>
          <w:sz w:val="14"/>
          <w:noProof/>
        </w:rPr>
        <w:t xml:space="preserve">            "boolean" &amp;&amp;</w:t>
      </w:r>
    </w:p>
    <w:p>
      <w:pPr>
        <w:keepNext w:val="0"/>
        <w:widowControl w:val="0"/>
        <w:spacing w:before="0" w:after="0" w:line="170" w:lineRule="exact"/>
      </w:pPr>
      <w:r>
        <w:rPr>
          <w:rFonts w:ascii="DejaVu Sans Mono" w:hAnsi="DejaVu Sans Mono"/>
          <w:sz w:val="14"/>
          <w:noProof/>
        </w:rPr>
        <w:t xml:space="preserve">        eventData.allow_custom_scripts === undefined</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eventData.allow_custom_scripts =</w:t>
      </w:r>
    </w:p>
    <w:p>
      <w:pPr>
        <w:keepNext w:val="0"/>
        <w:widowControl w:val="0"/>
        <w:spacing w:before="0" w:after="0" w:line="170" w:lineRule="exact"/>
      </w:pPr>
      <w:r>
        <w:rPr>
          <w:rFonts w:ascii="DejaVu Sans Mono" w:hAnsi="DejaVu Sans Mono"/>
          <w:sz w:val="14"/>
          <w:noProof/>
        </w:rPr>
        <w:t xml:space="preserve">            activity.allowCustomScripts;</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var destination =</w:t>
      </w:r>
    </w:p>
    <w:p>
      <w:pPr>
        <w:keepNext w:val="0"/>
        <w:widowControl w:val="0"/>
        <w:spacing w:before="0" w:after="0" w:line="170" w:lineRule="exact"/>
      </w:pPr>
      <w:r>
        <w:rPr>
          <w:rFonts w:ascii="DejaVu Sans Mono" w:hAnsi="DejaVu Sans Mono"/>
          <w:sz w:val="14"/>
          <w:noProof/>
        </w:rPr>
        <w:t xml:space="preserve">        account.id +</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activity.group +</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activity.activity +</w:t>
      </w:r>
    </w:p>
    <w:p>
      <w:pPr>
        <w:keepNext w:val="0"/>
        <w:widowControl w:val="0"/>
        <w:spacing w:before="0" w:after="0" w:line="170" w:lineRule="exact"/>
      </w:pPr>
      <w:r>
        <w:rPr>
          <w:rFonts w:ascii="DejaVu Sans Mono" w:hAnsi="DejaVu Sans Mono"/>
          <w:sz w:val="14"/>
          <w:noProof/>
        </w:rPr>
        <w:t xml:space="preserve">        "+" +</w:t>
      </w:r>
    </w:p>
    <w:p>
      <w:pPr>
        <w:keepNext w:val="0"/>
        <w:widowControl w:val="0"/>
        <w:spacing w:before="0" w:after="0" w:line="170" w:lineRule="exact"/>
      </w:pPr>
      <w:r>
        <w:rPr>
          <w:rFonts w:ascii="DejaVu Sans Mono" w:hAnsi="DejaVu Sans Mono"/>
          <w:sz w:val="14"/>
          <w:noProof/>
        </w:rPr>
        <w:t xml:space="preserve">        activity.countingMethod;</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eventData.send_to = destination;</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citiFloodlightValidateEventData(</w:t>
      </w:r>
    </w:p>
    <w:p>
      <w:pPr>
        <w:keepNext w:val="0"/>
        <w:widowControl w:val="0"/>
        <w:spacing w:before="0" w:after="0" w:line="170" w:lineRule="exact"/>
      </w:pPr>
      <w:r>
        <w:rPr>
          <w:rFonts w:ascii="DejaVu Sans Mono" w:hAnsi="DejaVu Sans Mono"/>
          <w:sz w:val="14"/>
          <w:noProof/>
        </w:rPr>
        <w:t xml:space="preserve">        activity,</w:t>
      </w:r>
    </w:p>
    <w:p>
      <w:pPr>
        <w:keepNext w:val="0"/>
        <w:widowControl w:val="0"/>
        <w:spacing w:before="0" w:after="0" w:line="170" w:lineRule="exact"/>
      </w:pPr>
      <w:r>
        <w:rPr>
          <w:rFonts w:ascii="DejaVu Sans Mono" w:hAnsi="DejaVu Sans Mono"/>
          <w:sz w:val="14"/>
          <w:noProof/>
        </w:rPr>
        <w:t xml:space="preserve">        eventData</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window.gtag(</w:t>
      </w:r>
    </w:p>
    <w:p>
      <w:pPr>
        <w:keepNext w:val="0"/>
        <w:widowControl w:val="0"/>
        <w:spacing w:before="0" w:after="0" w:line="170" w:lineRule="exact"/>
      </w:pPr>
      <w:r>
        <w:rPr>
          <w:rFonts w:ascii="DejaVu Sans Mono" w:hAnsi="DejaVu Sans Mono"/>
          <w:sz w:val="14"/>
          <w:noProof/>
        </w:rPr>
        <w:t xml:space="preserve">        "event",</w:t>
      </w:r>
    </w:p>
    <w:p>
      <w:pPr>
        <w:keepNext w:val="0"/>
        <w:widowControl w:val="0"/>
        <w:spacing w:before="0" w:after="0" w:line="170" w:lineRule="exact"/>
      </w:pPr>
      <w:r>
        <w:rPr>
          <w:rFonts w:ascii="DejaVu Sans Mono" w:hAnsi="DejaVu Sans Mono"/>
          <w:sz w:val="14"/>
          <w:noProof/>
        </w:rPr>
        <w:t xml:space="preserve">        activity.eventName,</w:t>
      </w:r>
    </w:p>
    <w:p>
      <w:pPr>
        <w:keepNext w:val="0"/>
        <w:widowControl w:val="0"/>
        <w:spacing w:before="0" w:after="0" w:line="170" w:lineRule="exact"/>
      </w:pPr>
      <w:r>
        <w:rPr>
          <w:rFonts w:ascii="DejaVu Sans Mono" w:hAnsi="DejaVu Sans Mono"/>
          <w:sz w:val="14"/>
          <w:noProof/>
        </w:rPr>
        <w:t xml:space="preserve">        eventData</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return destination;</w:t>
      </w:r>
    </w:p>
    <w:p>
      <w:pPr>
        <w:keepNext w:val="0"/>
        <w:widowControl w:val="0"/>
        <w:spacing w:before="0" w:after="0" w:line="170" w:lineRule="exact"/>
      </w:pPr>
      <w:r>
        <w:rPr>
          <w:rFonts w:ascii="DejaVu Sans Mono" w:hAnsi="DejaVu Sans Mono"/>
          <w:sz w:val="14"/>
          <w:noProof/>
        </w:rPr>
        <w:t>}</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window.CitiFloodlight = {</w:t>
      </w:r>
    </w:p>
    <w:p>
      <w:pPr>
        <w:keepNext w:val="0"/>
        <w:widowControl w:val="0"/>
        <w:spacing w:before="0" w:after="0" w:line="170" w:lineRule="exact"/>
      </w:pPr>
      <w:r>
        <w:rPr>
          <w:rFonts w:ascii="DejaVu Sans Mono" w:hAnsi="DejaVu Sans Mono"/>
          <w:sz w:val="14"/>
          <w:noProof/>
        </w:rPr>
        <w:t xml:space="preserve">    fire: citiFloodlightFire,</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getConfig: function () {</w:t>
      </w:r>
    </w:p>
    <w:p>
      <w:pPr>
        <w:keepNext w:val="0"/>
        <w:widowControl w:val="0"/>
        <w:spacing w:before="0" w:after="0" w:line="170" w:lineRule="exact"/>
      </w:pPr>
      <w:r>
        <w:rPr>
          <w:rFonts w:ascii="DejaVu Sans Mono" w:hAnsi="DejaVu Sans Mono"/>
          <w:sz w:val="14"/>
          <w:noProof/>
        </w:rPr>
        <w:t xml:space="preserve">        return window.CitiFloodlightConfig;</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r>
    </w:p>
    <w:p>
      <w:pPr>
        <w:keepNext w:val="0"/>
        <w:widowControl w:val="0"/>
        <w:spacing w:before="0" w:after="0" w:line="170" w:lineRule="exact"/>
      </w:pPr>
      <w:r>
        <w:rPr>
          <w:rFonts w:ascii="DejaVu Sans Mono" w:hAnsi="DejaVu Sans Mono"/>
          <w:sz w:val="14"/>
          <w:noProof/>
        </w:rPr>
        <w:t xml:space="preserve">    getState: function () {</w:t>
      </w:r>
    </w:p>
    <w:p>
      <w:pPr>
        <w:keepNext w:val="0"/>
        <w:widowControl w:val="0"/>
        <w:spacing w:before="0" w:after="0" w:line="170" w:lineRule="exact"/>
      </w:pPr>
      <w:r>
        <w:rPr>
          <w:rFonts w:ascii="DejaVu Sans Mono" w:hAnsi="DejaVu Sans Mono"/>
          <w:sz w:val="14"/>
          <w:noProof/>
        </w:rPr>
        <w:t xml:space="preserve">        return window.CitiFloodlightState;</w:t>
      </w:r>
    </w:p>
    <w:p>
      <w:pPr>
        <w:keepNext w:val="0"/>
        <w:widowControl w:val="0"/>
        <w:spacing w:before="0" w:after="0" w:line="170" w:lineRule="exact"/>
      </w:pPr>
      <w:r>
        <w:rPr>
          <w:rFonts w:ascii="DejaVu Sans Mono" w:hAnsi="DejaVu Sans Mono"/>
          <w:sz w:val="14"/>
          <w:noProof/>
        </w:rPr>
        <w:t xml:space="preserve">    }</w:t>
      </w:r>
    </w:p>
    <w:p>
      <w:pPr>
        <w:keepNext w:val="0"/>
        <w:widowControl w:val="0"/>
        <w:spacing w:before="0" w:after="0" w:line="170" w:lineRule="exact"/>
      </w:pPr>
      <w:r>
        <w:rPr>
          <w:rFonts w:ascii="DejaVu Sans Mono" w:hAnsi="DejaVu Sans Mono"/>
          <w:sz w:val="14"/>
          <w:noProof/>
        </w:rPr>
        <w:t>};</w:t>
      </w:r>
    </w:p>
    <w:sectPr w:rsidR="00FC693F" w:rsidRPr="0006063C" w:rsidSect="00034616">
      <w:footerReference w:type="default" r:id="rId26"/>
      <w:pgSz w:w="12240" w:h="15840"/>
      <w:pgMar w:top="979" w:right="1066" w:bottom="893"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68697"/>
        <w:sz w:val="15"/>
      </w:rPr>
      <w:t xml:space="preserve">Citi Floodlight migration analysis  |  6 Oct 2026  |  </w:t>
    </w:r>
    <w:r>
      <w:rPr>
        <w:color w:val="768697"/>
        <w:sz w:val="15"/>
      </w:rPr>
      <w:fldChar w:fldCharType="begin"/>
      <w:instrText xml:space="preserve"> PAGE </w:instrText>
      <w:fldChar w:fldCharType="end"/>
    </w:r>
    <w:r>
      <w:rPr>
        <w:color w:val="768697"/>
        <w:sz w:val="15"/>
      </w:rPr>
      <w:t xml:space="preserve"> of </w:t>
    </w:r>
    <w:r>
      <w:rPr>
        <w:color w:val="768697"/>
        <w:sz w:val="15"/>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30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33F69"/>
      <w:sz w:val="25"/>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33F6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before="6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26" Type="http://schemas.openxmlformats.org/officeDocument/2006/relationships/footer" Target="footer1.xml"/><Relationship Id="rId9" Type="http://schemas.openxmlformats.org/officeDocument/2006/relationships/image" Target="media/image15.png"/><Relationship Id="rId10" Type="http://schemas.openxmlformats.org/officeDocument/2006/relationships/image" Target="media/image16.png"/><Relationship Id="rId11" Type="http://schemas.openxmlformats.org/officeDocument/2006/relationships/image" Target="media/image17.png"/><Relationship Id="rId12" Type="http://schemas.openxmlformats.org/officeDocument/2006/relationships/image" Target="media/image18.png"/><Relationship Id="rId13" Type="http://schemas.openxmlformats.org/officeDocument/2006/relationships/image" Target="media/image19.png"/><Relationship Id="rId14" Type="http://schemas.openxmlformats.org/officeDocument/2006/relationships/image" Target="media/image20.png"/><Relationship Id="rId15" Type="http://schemas.openxmlformats.org/officeDocument/2006/relationships/image" Target="media/image21.png"/><Relationship Id="rId16" Type="http://schemas.openxmlformats.org/officeDocument/2006/relationships/image" Target="media/image22.png"/><Relationship Id="rId17" Type="http://schemas.openxmlformats.org/officeDocument/2006/relationships/image" Target="media/image23.png"/><Relationship Id="rId18" Type="http://schemas.openxmlformats.org/officeDocument/2006/relationships/image" Target="media/image24.png"/><Relationship Id="rId19" Type="http://schemas.openxmlformats.org/officeDocument/2006/relationships/image" Target="media/image25.png"/><Relationship Id="rId20" Type="http://schemas.openxmlformats.org/officeDocument/2006/relationships/image" Target="media/image26.png"/><Relationship Id="rId21" Type="http://schemas.openxmlformats.org/officeDocument/2006/relationships/image" Target="media/image27.png"/><Relationship Id="rId22" Type="http://schemas.openxmlformats.org/officeDocument/2006/relationships/image" Target="media/image28.png"/><Relationship Id="rId23" Type="http://schemas.openxmlformats.org/officeDocument/2006/relationships/image" Target="media/image29.png"/><Relationship Id="rId24" Type="http://schemas.openxmlformats.org/officeDocument/2006/relationships/image" Target="media/image30.png"/><Relationship Id="rId25" Type="http://schemas.openxmlformats.org/officeDocument/2006/relationships/image" Target="media/image31.png"/><Relationship Id="rId27" Type="http://schemas.openxmlformats.org/officeDocument/2006/relationships/image" Target="media/image32.png"/><Relationship Id="rId28" Type="http://schemas.openxmlformats.org/officeDocument/2006/relationships/image" Target="media/image33.png"/><Relationship Id="rId29" Type="http://schemas.openxmlformats.org/officeDocument/2006/relationships/hyperlink" Target="https://experienceleague.adobe.com/en/docs/experience-cloud-kcs/kbarticles/ka-17256" TargetMode="External"/><Relationship Id="rId30" Type="http://schemas.openxmlformats.org/officeDocument/2006/relationships/hyperlink" Target="https://experienceleague.adobe.com/en/docs/experience-platform/destinations/catalog/advertising/doubleclick-floodlight" TargetMode="External"/><Relationship Id="rId31" Type="http://schemas.openxmlformats.org/officeDocument/2006/relationships/hyperlink" Target="https://docs.acronym.com/analytics/adobe-launch/gtag" TargetMode="External"/><Relationship Id="rId32" Type="http://schemas.openxmlformats.org/officeDocument/2006/relationships/hyperlink" Target="https://docs.acronym.com/analytics/adobe-launch/gtag/actions/load" TargetMode="External"/><Relationship Id="rId33" Type="http://schemas.openxmlformats.org/officeDocument/2006/relationships/hyperlink" Target="https://docs.acronym.com/analytics/adobe-launch/gtag/actions/event" TargetMode="External"/><Relationship Id="rId34" Type="http://schemas.openxmlformats.org/officeDocument/2006/relationships/hyperlink" Target="https://support.google.com/campaignmanager/answer/7554821" TargetMode="External"/><Relationship Id="rId35" Type="http://schemas.openxmlformats.org/officeDocument/2006/relationships/hyperlink" Target="https://experienceleaguecommunities.adobe.com/adobe-experience-platform-18/launch-api-doubleclick-floodlight-extension-112920" TargetMode="External"/><Relationship Id="rId36" Type="http://schemas.openxmlformats.org/officeDocument/2006/relationships/hyperlink" Target="https://docs.google.com/document/d/1vrr3JJ2DmM37LeswDMy6JHX9i8DuwANC-0ReIknXts8/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Floodlight Migration Analysis and Launch Framework</dc:title>
  <dc:subject>Ensighten to Adobe Experience Platform Data Collection</dc:subject>
  <dc:creator>Engineering Analysis</dc:creator>
  <cp:keywords>Floodlight; Campaign Manager 360; Ensighten; Adobe Data Collection; Development POC</cp:keywords>
  <dc:description/>
  <cp:lastModifiedBy>Engineering Analysis</cp:lastModifiedBy>
  <cp:revision>1</cp:revision>
  <dcterms:created xsi:type="dcterms:W3CDTF">2026-10-06T00:00:00Z</dcterms:created>
  <dcterms:modified xsi:type="dcterms:W3CDTF">2026-10-06T00:00:00Z</dcterms:modified>
  <cp:category/>
</cp:coreProperties>
</file>