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Citi Analytics and Third Party Tagging Current State Architecture</w:t>
      </w:r>
    </w:p>
    <w:p>
      <w:pPr>
        <w:pStyle w:val="Subtitle"/>
      </w:pPr>
      <w:r>
        <w:t>Public production discovery  |  refreshed 29 September 2026</w:t>
      </w:r>
    </w:p>
    <w:p>
      <w:r>
        <w:t>This guide explains how the public Citi application, Adobe Data Collection library, Adobe Analytics payload and Ensighten tag layer connect. It helps an engineer trace a page view or interaction from the application call to the destination request, while showing which vendor details still require internal access.</w:t>
      </w:r>
    </w:p>
    <w:p>
      <w:r>
        <w:t>Evidence boundary: findings come from public unauthenticated pages, delivered JavaScript and selected browser requests. No administration console, customer account, completed application, payment or transfer was inspected. “Observed code” identifies a delivered implementation; “Observed network” means a request was captured; “Inferred” and “Unknown” retain their ordinary meanings here.</w:t>
      </w:r>
    </w:p>
    <w:p>
      <w:pPr>
        <w:pStyle w:val="Heading1"/>
      </w:pPr>
      <w:r>
        <w:t>1 Executive summary</w:t>
      </w:r>
    </w:p>
    <w:p>
      <w:pPr>
        <w:pStyle w:val="ListBullet"/>
      </w:pPr>
      <w:r>
        <w:t>Observed network: the homepage and several product pages load both the Ensighten production bootstrap and an Adobe Data Collection production library.</w:t>
      </w:r>
    </w:p>
    <w:p>
      <w:pPr>
        <w:pStyle w:val="ListBullet"/>
      </w:pPr>
      <w:r>
        <w:t>Observed code: the deployed Launch build is property AEM-CBOL-Web and contains seven rules, 199 data elements, Adobe Core, and Adobe Experience Platform Web SDK. The public build cannot reveal unpublished work or extension administration metadata.</w:t>
      </w:r>
    </w:p>
    <w:p>
      <w:pPr>
        <w:pStyle w:val="ListBullet"/>
      </w:pPr>
      <w:r>
        <w:t>Observed code: developers can pass a data object to window._trackAnalyticsLaunch. Launch copies it to window._dl and direct-call rules send page views or link interactions through Web SDK.</w:t>
      </w:r>
    </w:p>
    <w:p>
      <w:pPr>
        <w:pStyle w:val="ListBullet"/>
      </w:pPr>
      <w:r>
        <w:t>Observed code: Ensighten separately selects code modules by page and condition, dispatches its own events, and hosts vendor implementations including Floodlight, RFIhub, LiveRamp, Rezync, Amazon Ads and Qualtrics.</w:t>
      </w:r>
    </w:p>
    <w:p>
      <w:pPr>
        <w:pStyle w:val="ListBullet"/>
      </w:pPr>
      <w:r>
        <w:t>Correction to the original sample: Ensighten banking and mortgage modules expose three Microsoft UET tag IDs. The expanded modules contain 25 Floodlight activity bindings. Code delivery is established; conversion requests are not mapped.</w:t>
      </w:r>
    </w:p>
    <w:p>
      <w:pPr>
        <w:pStyle w:val="Heading1"/>
      </w:pPr>
      <w:r>
        <w:t>2 Current state architecture</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4968"/>
            <w:shd w:fill="0F355C"/>
            <w:vAlign w:val="center"/>
          </w:tcPr>
          <w:p>
            <w:r>
              <w:rPr>
                <w:rFonts w:ascii="Liberation Sans" w:hAnsi="Liberation Sans"/>
                <w:b/>
                <w:color w:val="FFFFFF"/>
                <w:sz w:val="16"/>
              </w:rPr>
              <w:t>Application and Adobe path</w:t>
            </w:r>
          </w:p>
        </w:tc>
        <w:tc>
          <w:tcPr>
            <w:tcW w:type="dxa" w:w="4968"/>
            <w:shd w:fill="0F355C"/>
            <w:vAlign w:val="center"/>
          </w:tcPr>
          <w:p>
            <w:r>
              <w:rPr>
                <w:rFonts w:ascii="Liberation Sans" w:hAnsi="Liberation Sans"/>
                <w:b/>
                <w:color w:val="FFFFFF"/>
                <w:sz w:val="16"/>
              </w:rPr>
              <w:t>Ensighten path</w:t>
            </w:r>
          </w:p>
        </w:tc>
      </w:tr>
      <w:tr>
        <w:trPr>
          <w:cantSplit/>
        </w:trPr>
        <w:tc>
          <w:tcPr>
            <w:tcW w:type="dxa" w:w="4968"/>
            <w:vAlign w:val="top"/>
            <w:shd w:fill="F0F5F8"/>
          </w:tcPr>
          <w:p>
            <w:pPr>
              <w:spacing w:after="40"/>
            </w:pPr>
            <w:r>
              <w:rPr>
                <w:rFonts w:ascii="Liberation Sans" w:hAnsi="Liberation Sans"/>
                <w:sz w:val="16"/>
              </w:rPr>
              <w:t>Application creates page or interaction object</w:t>
            </w:r>
          </w:p>
        </w:tc>
        <w:tc>
          <w:tcPr>
            <w:tcW w:type="dxa" w:w="4968"/>
            <w:vAlign w:val="top"/>
            <w:shd w:fill="F0F5F8"/>
          </w:tcPr>
          <w:p>
            <w:pPr>
              <w:spacing w:after="40"/>
            </w:pPr>
            <w:r>
              <w:rPr>
                <w:rFonts w:ascii="Liberation Sans" w:hAnsi="Liberation Sans"/>
                <w:sz w:val="16"/>
              </w:rPr>
              <w:t>Public page loads citi/na_prod/Bootstrap.js</w:t>
            </w:r>
          </w:p>
        </w:tc>
      </w:tr>
      <w:tr>
        <w:trPr>
          <w:cantSplit/>
        </w:trPr>
        <w:tc>
          <w:tcPr>
            <w:tcW w:type="dxa" w:w="4968"/>
            <w:vAlign w:val="top"/>
          </w:tcPr>
          <w:p>
            <w:pPr>
              <w:spacing w:after="40"/>
            </w:pPr>
            <w:r>
              <w:rPr>
                <w:rFonts w:ascii="Liberation Sans" w:hAnsi="Liberation Sans"/>
                <w:sz w:val="16"/>
              </w:rPr>
              <w:t>_trackAnalyticsLaunch(dataObj) assigns window._dl</w:t>
            </w:r>
          </w:p>
        </w:tc>
        <w:tc>
          <w:tcPr>
            <w:tcW w:type="dxa" w:w="4968"/>
            <w:vAlign w:val="top"/>
          </w:tcPr>
          <w:p>
            <w:pPr>
              <w:spacing w:after="40"/>
            </w:pPr>
            <w:r>
              <w:rPr>
                <w:rFonts w:ascii="Liberation Sans" w:hAnsi="Liberation Sans"/>
                <w:sz w:val="16"/>
              </w:rPr>
              <w:t>Bootstrap requests page-specific serverComponent manifest</w:t>
            </w:r>
          </w:p>
        </w:tc>
      </w:tr>
      <w:tr>
        <w:trPr>
          <w:cantSplit/>
        </w:trPr>
        <w:tc>
          <w:tcPr>
            <w:tcW w:type="dxa" w:w="4968"/>
            <w:vAlign w:val="top"/>
            <w:shd w:fill="F0F5F8"/>
          </w:tcPr>
          <w:p>
            <w:pPr>
              <w:spacing w:after="40"/>
            </w:pPr>
            <w:r>
              <w:rPr>
                <w:rFonts w:ascii="Liberation Sans" w:hAnsi="Liberation Sans"/>
                <w:sz w:val="16"/>
              </w:rPr>
              <w:t>action_type and ECID select _satellite.track direct call</w:t>
            </w:r>
          </w:p>
        </w:tc>
        <w:tc>
          <w:tcPr>
            <w:tcW w:type="dxa" w:w="4968"/>
            <w:vAlign w:val="top"/>
            <w:shd w:fill="F0F5F8"/>
          </w:tcPr>
          <w:p>
            <w:pPr>
              <w:spacing w:after="40"/>
            </w:pPr>
            <w:r>
              <w:rPr>
                <w:rFonts w:ascii="Liberation Sans" w:hAnsi="Liberation Sans"/>
                <w:sz w:val="16"/>
              </w:rPr>
              <w:t>Manifest selects conditional code modules</w:t>
            </w:r>
          </w:p>
        </w:tc>
      </w:tr>
      <w:tr>
        <w:trPr>
          <w:cantSplit/>
        </w:trPr>
        <w:tc>
          <w:tcPr>
            <w:tcW w:type="dxa" w:w="4968"/>
            <w:vAlign w:val="top"/>
          </w:tcPr>
          <w:p>
            <w:pPr>
              <w:spacing w:after="40"/>
            </w:pPr>
            <w:r>
              <w:rPr>
                <w:rFonts w:ascii="Liberation Sans" w:hAnsi="Liberation Sans"/>
                <w:sz w:val="16"/>
              </w:rPr>
              <w:t>Launch rule reads data elements and updates Web SDK variables</w:t>
            </w:r>
          </w:p>
        </w:tc>
        <w:tc>
          <w:tcPr>
            <w:tcW w:type="dxa" w:w="4968"/>
            <w:vAlign w:val="top"/>
          </w:tcPr>
          <w:p>
            <w:pPr>
              <w:spacing w:after="40"/>
            </w:pPr>
            <w:r>
              <w:rPr>
                <w:rFonts w:ascii="Liberation Sans" w:hAnsi="Liberation Sans"/>
                <w:sz w:val="16"/>
              </w:rPr>
              <w:t>DOM, data-definition and Ensighten event conditions execute rules</w:t>
            </w:r>
          </w:p>
        </w:tc>
      </w:tr>
      <w:tr>
        <w:trPr>
          <w:cantSplit/>
        </w:trPr>
        <w:tc>
          <w:tcPr>
            <w:tcW w:type="dxa" w:w="4968"/>
            <w:vAlign w:val="top"/>
            <w:shd w:fill="F0F5F8"/>
          </w:tcPr>
          <w:p>
            <w:pPr>
              <w:spacing w:after="40"/>
            </w:pPr>
            <w:r>
              <w:rPr>
                <w:rFonts w:ascii="Liberation Sans" w:hAnsi="Liberation Sans"/>
                <w:sz w:val="16"/>
              </w:rPr>
              <w:t>Web SDK sends page view or link-click event to Citi Edge endpoint</w:t>
            </w:r>
          </w:p>
        </w:tc>
        <w:tc>
          <w:tcPr>
            <w:tcW w:type="dxa" w:w="4968"/>
            <w:vAlign w:val="top"/>
            <w:shd w:fill="F0F5F8"/>
          </w:tcPr>
          <w:p>
            <w:pPr>
              <w:spacing w:after="40"/>
            </w:pPr>
            <w:r>
              <w:rPr>
                <w:rFonts w:ascii="Liberation Sans" w:hAnsi="Liberation Sans"/>
                <w:sz w:val="16"/>
              </w:rPr>
              <w:t>Vendor script, iframe, image or event call may run</w:t>
            </w:r>
          </w:p>
        </w:tc>
      </w:tr>
    </w:tbl>
    <w:p>
      <w:pPr>
        <w:spacing w:after="20"/>
      </w:pPr>
    </w:p>
    <w:p>
      <w:r>
        <w:t>The paths intersect at shared globals such as window._dl and, in some modules, citiData, cookies or Ensighten events. The code does not establish that every vendor depends on Adobe Analytics or that every delivered module actually executes.</w:t>
      </w:r>
    </w:p>
    <w:p>
      <w:pPr>
        <w:pStyle w:val="Heading1"/>
      </w:pPr>
      <w:r>
        <w:t>3 Developer integration contract</w:t>
      </w:r>
    </w:p>
    <w:p>
      <w:r>
        <w:t>The observed entry point receives one object. It replaces window._dl with that object, sets plat to browser, copies the cls_e cookie into _dl.cls_e, removes rf_response if present, and extracts transfer-related numeric fields from the pipe-delimited event string. It then tests action_type: a value containing “view” calls the page-view direct call and a value containing “event” calls the interaction direct call. A single action_type containing both substrings could call both; no such production payload was verified.</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872"/>
            <w:shd w:fill="0F355C"/>
            <w:vAlign w:val="center"/>
          </w:tcPr>
          <w:p>
            <w:r>
              <w:rPr>
                <w:rFonts w:ascii="Liberation Sans" w:hAnsi="Liberation Sans"/>
                <w:b/>
                <w:color w:val="FFFFFF"/>
                <w:sz w:val="16"/>
              </w:rPr>
              <w:t>Input or state</w:t>
            </w:r>
          </w:p>
        </w:tc>
        <w:tc>
          <w:tcPr>
            <w:tcW w:type="dxa" w:w="4248"/>
            <w:shd w:fill="0F355C"/>
            <w:vAlign w:val="center"/>
          </w:tcPr>
          <w:p>
            <w:r>
              <w:rPr>
                <w:rFonts w:ascii="Liberation Sans" w:hAnsi="Liberation Sans"/>
                <w:b/>
                <w:color w:val="FFFFFF"/>
                <w:sz w:val="16"/>
              </w:rPr>
              <w:t>Observed role</w:t>
            </w:r>
          </w:p>
        </w:tc>
        <w:tc>
          <w:tcPr>
            <w:tcW w:type="dxa" w:w="3816"/>
            <w:shd w:fill="0F355C"/>
            <w:vAlign w:val="center"/>
          </w:tcPr>
          <w:p>
            <w:r>
              <w:rPr>
                <w:rFonts w:ascii="Liberation Sans" w:hAnsi="Liberation Sans"/>
                <w:b/>
                <w:color w:val="FFFFFF"/>
                <w:sz w:val="16"/>
              </w:rPr>
              <w:t>Engineer check</w:t>
            </w:r>
          </w:p>
        </w:tc>
      </w:tr>
      <w:tr>
        <w:trPr>
          <w:cantSplit/>
        </w:trPr>
        <w:tc>
          <w:tcPr>
            <w:tcW w:type="dxa" w:w="1872"/>
            <w:vAlign w:val="top"/>
            <w:shd w:fill="F0F5F8"/>
          </w:tcPr>
          <w:p>
            <w:pPr>
              <w:spacing w:after="40"/>
            </w:pPr>
            <w:r>
              <w:rPr>
                <w:rFonts w:ascii="Liberation Sans" w:hAnsi="Liberation Sans"/>
                <w:sz w:val="16"/>
              </w:rPr>
              <w:t>action_type</w:t>
            </w:r>
          </w:p>
        </w:tc>
        <w:tc>
          <w:tcPr>
            <w:tcW w:type="dxa" w:w="4248"/>
            <w:vAlign w:val="top"/>
            <w:shd w:fill="F0F5F8"/>
          </w:tcPr>
          <w:p>
            <w:pPr>
              <w:spacing w:after="40"/>
            </w:pPr>
            <w:r>
              <w:rPr>
                <w:rFonts w:ascii="Liberation Sans" w:hAnsi="Liberation Sans"/>
                <w:sz w:val="16"/>
              </w:rPr>
              <w:t>Selects view and/or interaction direct call</w:t>
            </w:r>
          </w:p>
        </w:tc>
        <w:tc>
          <w:tcPr>
            <w:tcW w:type="dxa" w:w="3816"/>
            <w:vAlign w:val="top"/>
            <w:shd w:fill="F0F5F8"/>
          </w:tcPr>
          <w:p>
            <w:pPr>
              <w:spacing w:after="40"/>
            </w:pPr>
            <w:r>
              <w:rPr>
                <w:rFonts w:ascii="Liberation Sans" w:hAnsi="Liberation Sans"/>
                <w:sz w:val="16"/>
              </w:rPr>
              <w:t>Confirm exact vocabulary per application</w:t>
            </w:r>
          </w:p>
        </w:tc>
      </w:tr>
      <w:tr>
        <w:trPr>
          <w:cantSplit/>
        </w:trPr>
        <w:tc>
          <w:tcPr>
            <w:tcW w:type="dxa" w:w="1872"/>
            <w:vAlign w:val="top"/>
          </w:tcPr>
          <w:p>
            <w:pPr>
              <w:spacing w:after="40"/>
            </w:pPr>
            <w:r>
              <w:rPr>
                <w:rFonts w:ascii="Liberation Sans" w:hAnsi="Liberation Sans"/>
                <w:sz w:val="16"/>
              </w:rPr>
              <w:t>site_events</w:t>
            </w:r>
          </w:p>
        </w:tc>
        <w:tc>
          <w:tcPr>
            <w:tcW w:type="dxa" w:w="4248"/>
            <w:vAlign w:val="top"/>
          </w:tcPr>
          <w:p>
            <w:pPr>
              <w:spacing w:after="40"/>
            </w:pPr>
            <w:r>
              <w:rPr>
                <w:rFonts w:ascii="Liberation Sans" w:hAnsi="Liberation Sans"/>
                <w:sz w:val="16"/>
              </w:rPr>
              <w:t>Array or comma-separated names; Launch event mapper converts known names to event numbers</w:t>
            </w:r>
          </w:p>
        </w:tc>
        <w:tc>
          <w:tcPr>
            <w:tcW w:type="dxa" w:w="3816"/>
            <w:vAlign w:val="top"/>
          </w:tcPr>
          <w:p>
            <w:pPr>
              <w:spacing w:after="40"/>
            </w:pPr>
            <w:r>
              <w:rPr>
                <w:rFonts w:ascii="Liberation Sans" w:hAnsi="Liberation Sans"/>
                <w:sz w:val="16"/>
              </w:rPr>
              <w:t>Check spellings against Events logic</w:t>
            </w:r>
          </w:p>
        </w:tc>
      </w:tr>
      <w:tr>
        <w:trPr>
          <w:cantSplit/>
        </w:trPr>
        <w:tc>
          <w:tcPr>
            <w:tcW w:type="dxa" w:w="1872"/>
            <w:vAlign w:val="top"/>
            <w:shd w:fill="F0F5F8"/>
          </w:tcPr>
          <w:p>
            <w:pPr>
              <w:spacing w:after="40"/>
            </w:pPr>
            <w:r>
              <w:rPr>
                <w:rFonts w:ascii="Liberation Sans" w:hAnsi="Liberation Sans"/>
                <w:sz w:val="16"/>
              </w:rPr>
              <w:t>event</w:t>
            </w:r>
          </w:p>
        </w:tc>
        <w:tc>
          <w:tcPr>
            <w:tcW w:type="dxa" w:w="4248"/>
            <w:vAlign w:val="top"/>
            <w:shd w:fill="F0F5F8"/>
          </w:tcPr>
          <w:p>
            <w:pPr>
              <w:spacing w:after="40"/>
            </w:pPr>
            <w:r>
              <w:rPr>
                <w:rFonts w:ascii="Liberation Sans" w:hAnsi="Liberation Sans"/>
                <w:sz w:val="16"/>
              </w:rPr>
              <w:t>Legacy-looking pipe-delimited event string; transfer amounts are parsed from it</w:t>
            </w:r>
          </w:p>
        </w:tc>
        <w:tc>
          <w:tcPr>
            <w:tcW w:type="dxa" w:w="3816"/>
            <w:vAlign w:val="top"/>
            <w:shd w:fill="F0F5F8"/>
          </w:tcPr>
          <w:p>
            <w:pPr>
              <w:spacing w:after="40"/>
            </w:pPr>
            <w:r>
              <w:rPr>
                <w:rFonts w:ascii="Liberation Sans" w:hAnsi="Liberation Sans"/>
                <w:sz w:val="16"/>
              </w:rPr>
              <w:t>Do not equate it automatically with site_events</w:t>
            </w:r>
          </w:p>
        </w:tc>
      </w:tr>
      <w:tr>
        <w:trPr>
          <w:cantSplit/>
        </w:trPr>
        <w:tc>
          <w:tcPr>
            <w:tcW w:type="dxa" w:w="1872"/>
            <w:vAlign w:val="top"/>
          </w:tcPr>
          <w:p>
            <w:pPr>
              <w:spacing w:after="40"/>
            </w:pPr>
            <w:r>
              <w:rPr>
                <w:rFonts w:ascii="Liberation Sans" w:hAnsi="Liberation Sans"/>
                <w:sz w:val="16"/>
              </w:rPr>
              <w:t>evarPageName</w:t>
            </w:r>
          </w:p>
        </w:tc>
        <w:tc>
          <w:tcPr>
            <w:tcW w:type="dxa" w:w="4248"/>
            <w:vAlign w:val="top"/>
          </w:tcPr>
          <w:p>
            <w:pPr>
              <w:spacing w:after="40"/>
            </w:pPr>
            <w:r>
              <w:rPr>
                <w:rFonts w:ascii="Liberation Sans" w:hAnsi="Liberation Sans"/>
                <w:sz w:val="16"/>
              </w:rPr>
              <w:t>Source for page_name data element and Analytics pageName</w:t>
            </w:r>
          </w:p>
        </w:tc>
        <w:tc>
          <w:tcPr>
            <w:tcW w:type="dxa" w:w="3816"/>
            <w:vAlign w:val="top"/>
          </w:tcPr>
          <w:p>
            <w:pPr>
              <w:spacing w:after="40"/>
            </w:pPr>
            <w:r>
              <w:rPr>
                <w:rFonts w:ascii="Liberation Sans" w:hAnsi="Liberation Sans"/>
                <w:sz w:val="16"/>
              </w:rPr>
              <w:t>Validate casing and fallback behavior</w:t>
            </w:r>
          </w:p>
        </w:tc>
      </w:tr>
      <w:tr>
        <w:trPr>
          <w:cantSplit/>
        </w:trPr>
        <w:tc>
          <w:tcPr>
            <w:tcW w:type="dxa" w:w="1872"/>
            <w:vAlign w:val="top"/>
            <w:shd w:fill="F0F5F8"/>
          </w:tcPr>
          <w:p>
            <w:pPr>
              <w:spacing w:after="40"/>
            </w:pPr>
            <w:r>
              <w:rPr>
                <w:rFonts w:ascii="Liberation Sans" w:hAnsi="Liberation Sans"/>
                <w:sz w:val="16"/>
              </w:rPr>
              <w:t>products and related arrays</w:t>
            </w:r>
          </w:p>
        </w:tc>
        <w:tc>
          <w:tcPr>
            <w:tcW w:type="dxa" w:w="4248"/>
            <w:vAlign w:val="top"/>
            <w:shd w:fill="F0F5F8"/>
          </w:tcPr>
          <w:p>
            <w:pPr>
              <w:spacing w:after="40"/>
            </w:pPr>
            <w:r>
              <w:rPr>
                <w:rFonts w:ascii="Liberation Sans" w:hAnsi="Liberation Sans"/>
                <w:sz w:val="16"/>
              </w:rPr>
              <w:t>Product formatter builds Adobe products and product-level events</w:t>
            </w:r>
          </w:p>
        </w:tc>
        <w:tc>
          <w:tcPr>
            <w:tcW w:type="dxa" w:w="3816"/>
            <w:vAlign w:val="top"/>
            <w:shd w:fill="F0F5F8"/>
          </w:tcPr>
          <w:p>
            <w:pPr>
              <w:spacing w:after="40"/>
            </w:pPr>
            <w:r>
              <w:rPr>
                <w:rFonts w:ascii="Liberation Sans" w:hAnsi="Liberation Sans"/>
                <w:sz w:val="16"/>
              </w:rPr>
              <w:t>Check quantity, price and delimiters</w:t>
            </w:r>
          </w:p>
        </w:tc>
      </w:tr>
      <w:tr>
        <w:trPr>
          <w:cantSplit/>
        </w:trPr>
        <w:tc>
          <w:tcPr>
            <w:tcW w:type="dxa" w:w="1872"/>
            <w:vAlign w:val="top"/>
          </w:tcPr>
          <w:p>
            <w:pPr>
              <w:spacing w:after="40"/>
            </w:pPr>
            <w:r>
              <w:rPr>
                <w:rFonts w:ascii="Liberation Sans" w:hAnsi="Liberation Sans"/>
                <w:sz w:val="16"/>
              </w:rPr>
              <w:t>stored_analytics</w:t>
            </w:r>
          </w:p>
        </w:tc>
        <w:tc>
          <w:tcPr>
            <w:tcW w:type="dxa" w:w="4248"/>
            <w:vAlign w:val="top"/>
          </w:tcPr>
          <w:p>
            <w:pPr>
              <w:spacing w:after="40"/>
            </w:pPr>
            <w:r>
              <w:rPr>
                <w:rFonts w:ascii="Liberation Sans" w:hAnsi="Liberation Sans"/>
                <w:sz w:val="16"/>
              </w:rPr>
              <w:t>Mortgage-specific Launch replay queue; legacy Ensighten has separate replay code</w:t>
            </w:r>
          </w:p>
        </w:tc>
        <w:tc>
          <w:tcPr>
            <w:tcW w:type="dxa" w:w="3816"/>
            <w:vAlign w:val="top"/>
          </w:tcPr>
          <w:p>
            <w:pPr>
              <w:spacing w:after="40"/>
            </w:pPr>
            <w:r>
              <w:rPr>
                <w:rFonts w:ascii="Liberation Sans" w:hAnsi="Liberation Sans"/>
                <w:sz w:val="16"/>
              </w:rPr>
              <w:t>Test exact-once behavior on approved safe environment</w:t>
            </w:r>
          </w:p>
        </w:tc>
      </w:tr>
    </w:tbl>
    <w:p>
      <w:pPr>
        <w:spacing w:after="20"/>
      </w:pPr>
    </w:p>
    <w:p>
      <w:r>
        <w:t>If no ECID is present, fireLaunchEvent calls Alloy getIdentity, stores the ECID in a Launch variable, then fires the direct call. An identity failure logs an error and leaves the analytics event unsent in the observed helper. Launch dispatches a launchLoaded browser event after the setup code runs. The mortgage replay guard __mortgageReplayComplete prevents that Launch helper from replaying twice in one page lifetime; it does not establish end-to-end deduplication.</w:t>
      </w:r>
    </w:p>
    <w:p>
      <w:r>
        <w:t>A representative public page-view beacon was observed for Citi Personal Loan. It used pageName us|web|public|marketing|Citi Personal Loan|pdp, event8 and a products string. Public CTA, banner, conversion, application and payment object examples could not be validated safely; fabricated examples are intentionally omitted.</w:t>
      </w:r>
    </w:p>
    <w:p>
      <w:pPr>
        <w:pStyle w:val="Heading1"/>
      </w:pPr>
      <w:r>
        <w:t>4 Adobe Launch architecture</w:t>
      </w:r>
    </w:p>
    <w:p>
      <w:r>
        <w:t>The production file reports build date 22 September 2026. Its two packaged extensions are Adobe Core and Adobe Experience Platform Web SDK. Core supplies triggers, conditions, data elements and custom code. Web SDK supplies variable updates, Send Event and personalization actions. No Microsoft UET or Google extension appears in this deployed build. Extension package versions and enablement history are not exposed.</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376"/>
            <w:shd w:fill="0F355C"/>
            <w:vAlign w:val="center"/>
          </w:tcPr>
          <w:p>
            <w:r>
              <w:rPr>
                <w:rFonts w:ascii="Liberation Sans" w:hAnsi="Liberation Sans"/>
                <w:b/>
                <w:color w:val="FFFFFF"/>
                <w:sz w:val="16"/>
              </w:rPr>
              <w:t>Rule</w:t>
            </w:r>
          </w:p>
        </w:tc>
        <w:tc>
          <w:tcPr>
            <w:tcW w:type="dxa" w:w="3528"/>
            <w:shd w:fill="0F355C"/>
            <w:vAlign w:val="center"/>
          </w:tcPr>
          <w:p>
            <w:r>
              <w:rPr>
                <w:rFonts w:ascii="Liberation Sans" w:hAnsi="Liberation Sans"/>
                <w:b/>
                <w:color w:val="FFFFFF"/>
                <w:sz w:val="16"/>
              </w:rPr>
              <w:t>Trigger and condition</w:t>
            </w:r>
          </w:p>
        </w:tc>
        <w:tc>
          <w:tcPr>
            <w:tcW w:type="dxa" w:w="4032"/>
            <w:shd w:fill="0F355C"/>
            <w:vAlign w:val="center"/>
          </w:tcPr>
          <w:p>
            <w:r>
              <w:rPr>
                <w:rFonts w:ascii="Liberation Sans" w:hAnsi="Liberation Sans"/>
                <w:b/>
                <w:color w:val="FFFFFF"/>
                <w:sz w:val="16"/>
              </w:rPr>
              <w:t>Action</w:t>
            </w:r>
          </w:p>
        </w:tc>
      </w:tr>
      <w:tr>
        <w:trPr>
          <w:cantSplit/>
        </w:trPr>
        <w:tc>
          <w:tcPr>
            <w:tcW w:type="dxa" w:w="2376"/>
            <w:vAlign w:val="top"/>
            <w:shd w:fill="F0F5F8"/>
          </w:tcPr>
          <w:p>
            <w:pPr>
              <w:spacing w:after="40"/>
            </w:pPr>
            <w:r>
              <w:rPr>
                <w:rFonts w:ascii="Liberation Sans" w:hAnsi="Liberation Sans"/>
                <w:sz w:val="16"/>
              </w:rPr>
              <w:t>Library Loaded page top</w:t>
            </w:r>
          </w:p>
        </w:tc>
        <w:tc>
          <w:tcPr>
            <w:tcW w:type="dxa" w:w="3528"/>
            <w:vAlign w:val="top"/>
            <w:shd w:fill="F0F5F8"/>
          </w:tcPr>
          <w:p>
            <w:pPr>
              <w:spacing w:after="40"/>
            </w:pPr>
            <w:r>
              <w:rPr>
                <w:rFonts w:ascii="Liberation Sans" w:hAnsi="Liberation Sans"/>
                <w:sz w:val="16"/>
              </w:rPr>
              <w:t>All pages</w:t>
            </w:r>
          </w:p>
        </w:tc>
        <w:tc>
          <w:tcPr>
            <w:tcW w:type="dxa" w:w="4032"/>
            <w:vAlign w:val="top"/>
            <w:shd w:fill="F0F5F8"/>
          </w:tcPr>
          <w:p>
            <w:pPr>
              <w:spacing w:after="40"/>
            </w:pPr>
            <w:r>
              <w:rPr>
                <w:rFonts w:ascii="Liberation Sans" w:hAnsi="Liberation Sans"/>
                <w:sz w:val="16"/>
              </w:rPr>
              <w:t>Setup helpers, get ECID and Alloy, direct call targetLoad</w:t>
            </w:r>
          </w:p>
        </w:tc>
      </w:tr>
      <w:tr>
        <w:trPr>
          <w:cantSplit/>
        </w:trPr>
        <w:tc>
          <w:tcPr>
            <w:tcW w:type="dxa" w:w="2376"/>
            <w:vAlign w:val="top"/>
          </w:tcPr>
          <w:p>
            <w:pPr>
              <w:spacing w:after="40"/>
            </w:pPr>
            <w:r>
              <w:rPr>
                <w:rFonts w:ascii="Liberation Sans" w:hAnsi="Liberation Sans"/>
                <w:sz w:val="16"/>
              </w:rPr>
              <w:t>Window Loaded</w:t>
            </w:r>
          </w:p>
        </w:tc>
        <w:tc>
          <w:tcPr>
            <w:tcW w:type="dxa" w:w="3528"/>
            <w:vAlign w:val="top"/>
          </w:tcPr>
          <w:p>
            <w:pPr>
              <w:spacing w:after="40"/>
            </w:pPr>
            <w:r>
              <w:rPr>
                <w:rFonts w:ascii="Liberation Sans" w:hAnsi="Liberation Sans"/>
                <w:sz w:val="16"/>
              </w:rPr>
              <w:t>sessionStorage adobeLaunch=enabled</w:t>
            </w:r>
          </w:p>
        </w:tc>
        <w:tc>
          <w:tcPr>
            <w:tcW w:type="dxa" w:w="4032"/>
            <w:vAlign w:val="top"/>
          </w:tcPr>
          <w:p>
            <w:pPr>
              <w:spacing w:after="40"/>
            </w:pPr>
            <w:r>
              <w:rPr>
                <w:rFonts w:ascii="Liberation Sans" w:hAnsi="Liberation Sans"/>
                <w:sz w:val="16"/>
              </w:rPr>
              <w:t>Install _trackAnalyticsLaunch, fireLaunchEvent and replay helpers</w:t>
            </w:r>
          </w:p>
        </w:tc>
      </w:tr>
      <w:tr>
        <w:trPr>
          <w:cantSplit/>
        </w:trPr>
        <w:tc>
          <w:tcPr>
            <w:tcW w:type="dxa" w:w="2376"/>
            <w:vAlign w:val="top"/>
            <w:shd w:fill="F0F5F8"/>
          </w:tcPr>
          <w:p>
            <w:pPr>
              <w:spacing w:after="40"/>
            </w:pPr>
            <w:r>
              <w:rPr>
                <w:rFonts w:ascii="Liberation Sans" w:hAnsi="Liberation Sans"/>
                <w:sz w:val="16"/>
              </w:rPr>
              <w:t>na_launch_page_view</w:t>
            </w:r>
          </w:p>
        </w:tc>
        <w:tc>
          <w:tcPr>
            <w:tcW w:type="dxa" w:w="3528"/>
            <w:vAlign w:val="top"/>
            <w:shd w:fill="F0F5F8"/>
          </w:tcPr>
          <w:p>
            <w:pPr>
              <w:spacing w:after="40"/>
            </w:pPr>
            <w:r>
              <w:rPr>
                <w:rFonts w:ascii="Liberation Sans" w:hAnsi="Liberation Sans"/>
                <w:sz w:val="16"/>
              </w:rPr>
              <w:t>Direct call; enabled flag; Performance Analytics cookie value 1 or absent</w:t>
            </w:r>
          </w:p>
        </w:tc>
        <w:tc>
          <w:tcPr>
            <w:tcW w:type="dxa" w:w="4032"/>
            <w:vAlign w:val="top"/>
            <w:shd w:fill="F0F5F8"/>
          </w:tcPr>
          <w:p>
            <w:pPr>
              <w:spacing w:after="40"/>
            </w:pPr>
            <w:r>
              <w:rPr>
                <w:rFonts w:ascii="Liberation Sans" w:hAnsi="Liberation Sans"/>
                <w:sz w:val="16"/>
              </w:rPr>
              <w:t>Update dataObject; send web.webpagedetails.pageViews</w:t>
            </w:r>
          </w:p>
        </w:tc>
      </w:tr>
      <w:tr>
        <w:trPr>
          <w:cantSplit/>
        </w:trPr>
        <w:tc>
          <w:tcPr>
            <w:tcW w:type="dxa" w:w="2376"/>
            <w:vAlign w:val="top"/>
          </w:tcPr>
          <w:p>
            <w:pPr>
              <w:spacing w:after="40"/>
            </w:pPr>
            <w:r>
              <w:rPr>
                <w:rFonts w:ascii="Liberation Sans" w:hAnsi="Liberation Sans"/>
                <w:sz w:val="16"/>
              </w:rPr>
              <w:t>na_launch_interaction</w:t>
            </w:r>
          </w:p>
        </w:tc>
        <w:tc>
          <w:tcPr>
            <w:tcW w:type="dxa" w:w="3528"/>
            <w:vAlign w:val="top"/>
          </w:tcPr>
          <w:p>
            <w:pPr>
              <w:spacing w:after="40"/>
            </w:pPr>
            <w:r>
              <w:rPr>
                <w:rFonts w:ascii="Liberation Sans" w:hAnsi="Liberation Sans"/>
                <w:sz w:val="16"/>
              </w:rPr>
              <w:t>Direct call; same enabled and cookie condition</w:t>
            </w:r>
          </w:p>
        </w:tc>
        <w:tc>
          <w:tcPr>
            <w:tcW w:type="dxa" w:w="4032"/>
            <w:vAlign w:val="top"/>
          </w:tcPr>
          <w:p>
            <w:pPr>
              <w:spacing w:after="40"/>
            </w:pPr>
            <w:r>
              <w:rPr>
                <w:rFonts w:ascii="Liberation Sans" w:hAnsi="Liberation Sans"/>
                <w:sz w:val="16"/>
              </w:rPr>
              <w:t>Update dataObject and XDM; send web.webinteraction.linkClicks</w:t>
            </w:r>
          </w:p>
        </w:tc>
      </w:tr>
      <w:tr>
        <w:trPr>
          <w:cantSplit/>
        </w:trPr>
        <w:tc>
          <w:tcPr>
            <w:tcW w:type="dxa" w:w="2376"/>
            <w:vAlign w:val="top"/>
            <w:shd w:fill="F0F5F8"/>
          </w:tcPr>
          <w:p>
            <w:pPr>
              <w:spacing w:after="40"/>
            </w:pPr>
            <w:r>
              <w:rPr>
                <w:rFonts w:ascii="Liberation Sans" w:hAnsi="Liberation Sans"/>
                <w:sz w:val="16"/>
              </w:rPr>
              <w:t>targetLoad</w:t>
            </w:r>
          </w:p>
        </w:tc>
        <w:tc>
          <w:tcPr>
            <w:tcW w:type="dxa" w:w="3528"/>
            <w:vAlign w:val="top"/>
            <w:shd w:fill="F0F5F8"/>
          </w:tcPr>
          <w:p>
            <w:pPr>
              <w:spacing w:after="40"/>
            </w:pPr>
            <w:r>
              <w:rPr>
                <w:rFonts w:ascii="Liberation Sans" w:hAnsi="Liberation Sans"/>
                <w:sz w:val="16"/>
              </w:rPr>
              <w:t>Direct call; enabled flag; Targeting cookie value 1 or absent</w:t>
            </w:r>
          </w:p>
        </w:tc>
        <w:tc>
          <w:tcPr>
            <w:tcW w:type="dxa" w:w="4032"/>
            <w:vAlign w:val="top"/>
            <w:shd w:fill="F0F5F8"/>
          </w:tcPr>
          <w:p>
            <w:pPr>
              <w:spacing w:after="40"/>
            </w:pPr>
            <w:r>
              <w:rPr>
                <w:rFonts w:ascii="Liberation Sans" w:hAnsi="Liberation Sans"/>
                <w:sz w:val="16"/>
              </w:rPr>
              <w:t>Target proposition flow</w:t>
            </w:r>
          </w:p>
        </w:tc>
      </w:tr>
      <w:tr>
        <w:trPr>
          <w:cantSplit/>
        </w:trPr>
        <w:tc>
          <w:tcPr>
            <w:tcW w:type="dxa" w:w="2376"/>
            <w:vAlign w:val="top"/>
          </w:tcPr>
          <w:p>
            <w:pPr>
              <w:spacing w:after="40"/>
            </w:pPr>
            <w:r>
              <w:rPr>
                <w:rFonts w:ascii="Liberation Sans" w:hAnsi="Liberation Sans"/>
                <w:sz w:val="16"/>
              </w:rPr>
              <w:t>Zync Pixel Page Level</w:t>
            </w:r>
          </w:p>
        </w:tc>
        <w:tc>
          <w:tcPr>
            <w:tcW w:type="dxa" w:w="3528"/>
            <w:vAlign w:val="top"/>
          </w:tcPr>
          <w:p>
            <w:pPr>
              <w:spacing w:after="40"/>
            </w:pPr>
            <w:r>
              <w:rPr>
                <w:rFonts w:ascii="Liberation Sans" w:hAnsi="Liberation Sans"/>
                <w:sz w:val="16"/>
              </w:rPr>
              <w:t>Direct page-view call; Best Buy card path</w:t>
            </w:r>
          </w:p>
        </w:tc>
        <w:tc>
          <w:tcPr>
            <w:tcW w:type="dxa" w:w="4032"/>
            <w:vAlign w:val="top"/>
          </w:tcPr>
          <w:p>
            <w:pPr>
              <w:spacing w:after="40"/>
            </w:pPr>
            <w:r>
              <w:rPr>
                <w:rFonts w:ascii="Liberation Sans" w:hAnsi="Liberation Sans"/>
                <w:sz w:val="16"/>
              </w:rPr>
              <w:t>Custom Rezync script</w:t>
            </w:r>
          </w:p>
        </w:tc>
      </w:tr>
      <w:tr>
        <w:trPr>
          <w:cantSplit/>
        </w:trPr>
        <w:tc>
          <w:tcPr>
            <w:tcW w:type="dxa" w:w="2376"/>
            <w:vAlign w:val="top"/>
            <w:shd w:fill="F0F5F8"/>
          </w:tcPr>
          <w:p>
            <w:pPr>
              <w:spacing w:after="40"/>
            </w:pPr>
            <w:r>
              <w:rPr>
                <w:rFonts w:ascii="Liberation Sans" w:hAnsi="Liberation Sans"/>
                <w:sz w:val="16"/>
              </w:rPr>
              <w:t>FlexLoanVideo AnalyticsPageView</w:t>
            </w:r>
          </w:p>
        </w:tc>
        <w:tc>
          <w:tcPr>
            <w:tcW w:type="dxa" w:w="3528"/>
            <w:vAlign w:val="top"/>
            <w:shd w:fill="F0F5F8"/>
          </w:tcPr>
          <w:p>
            <w:pPr>
              <w:spacing w:after="40"/>
            </w:pPr>
            <w:r>
              <w:rPr>
                <w:rFonts w:ascii="Liberation Sans" w:hAnsi="Liberation Sans"/>
                <w:sz w:val="16"/>
              </w:rPr>
              <w:t>Custom pageviewDCR event</w:t>
            </w:r>
          </w:p>
        </w:tc>
        <w:tc>
          <w:tcPr>
            <w:tcW w:type="dxa" w:w="4032"/>
            <w:vAlign w:val="top"/>
            <w:shd w:fill="F0F5F8"/>
          </w:tcPr>
          <w:p>
            <w:pPr>
              <w:spacing w:after="40"/>
            </w:pPr>
            <w:r>
              <w:rPr>
                <w:rFonts w:ascii="Liberation Sans" w:hAnsi="Liberation Sans"/>
                <w:sz w:val="16"/>
              </w:rPr>
              <w:t>Web SDK Analytics page view</w:t>
            </w:r>
          </w:p>
        </w:tc>
      </w:tr>
    </w:tbl>
    <w:p>
      <w:pPr>
        <w:spacing w:after="20"/>
      </w:pPr>
    </w:p>
    <w:p>
      <w:r>
        <w:t>The public library contains 199 data elements. Most are direct JavaScript-variable reads from window._dl. Important custom elements include page_name, site_events, Events logic, Product flatDl Logic, Products logic, campaign aliases, ECID helpers, and Web SDK variable elements. The workbook lists all deployed elements and direct rule references.</w:t>
      </w:r>
    </w:p>
    <w:p>
      <w:pPr>
        <w:pStyle w:val="Heading1"/>
      </w:pPr>
      <w:r>
        <w:t>5 Adobe Analytics architecture</w:t>
      </w:r>
    </w:p>
    <w:p>
      <w:r>
        <w:t>For page views and interactions, the Launch rule sets data.__adobe.analytics fields on a Web SDK variable, then sends an Edge event. Common mapped fields include pageName, eVars, props, campaign, events and products. The interaction rule also sets linkType=o and linkName from page_interaction. SPA handling is partly signaled by _dl.spa_page and application calls into the same direct-call path; a site-wide route-change contract was not established.</w:t>
      </w:r>
    </w:p>
    <w:p>
      <w:r>
        <w:t>Events logic accepts site_events as an array or comma-separated string. Its object literal has 257 entries but 256 distinct names: offer_clicked appears twice, first as event121 and later as event88. In JavaScript the later key wins, so this lookup resolves offer_clicked to event88. The code also adds page/test-specific events, appends 11 numeric fields as eventNNN=value, and deduplicates the list. Examples: flow_step becomes event61; login_success becomes event2; transfer_amount becomes event94=value; payment_amount becomes event480=value. Product logic may add event133 for quantity and event138 for price. The browser beacon confirmed event8 on the personal-loan page, but did not prove every mapping in the library fires on a live page.</w:t>
      </w:r>
    </w:p>
    <w:p>
      <w:r>
        <w:t>The observed Analytics request is a POST to metrics1.citi.com/ee/ind1/v1/interact, the Citi-hosted Edge path used by Web SDK. A separate request contained decisioning.propositionFetch without an Analytics object. Neither the final report suite nor downstream Adobe processing can be determined from public browser traffic alone.</w:t>
      </w:r>
    </w:p>
    <w:p>
      <w:pPr>
        <w:pStyle w:val="Heading1"/>
      </w:pPr>
      <w:r>
        <w:t>6 Ensighten architecture</w:t>
      </w:r>
    </w:p>
    <w:p>
      <w:r>
        <w:t>Observed network and code: the bootstrap is nexus.ensighten.com/citi/na_prod/Bootstrap.js, client 1129 and production path na_prod. Its serverComponent.php call includes the current PageID and returns selected code modules and data-definition IDs. The five-page expanded sample contains ten distinct modules with 141 bind calls, including 40 data definitions. These counts include helpers and are not marketing-tag counts. The modules register immediate, DOM, dependency and named-event callbacks; a module can arrive without an inner rule executing.</w:t>
      </w:r>
    </w:p>
    <w:p>
      <w:r>
        <w:t>The shared 12885707 module embeds Adobe Target at.js 2.11.7 and legacy Adobe AppMeasurement 2.27.0. Rule 4257885 creates s_tms for citiuscombprod/dev. Rule 4293545 defines _trackAnalytics, assigns window._dl, builds legacy products/context data, and dispatches na_tms_page_view or na_tms_custom_event. The direct s_tms.t()/tl() send is gated by the absence of sessionStorage.adobeLaunch; the Ensighten event path has separate conditions. A second rule replays stored_analytics into this legacy helper. The Launch path also has replay code, so exact-once behavior remains unverified.</w:t>
      </w:r>
    </w:p>
    <w:p>
      <w:r>
        <w:t>Shared router rules interpret _dl, citiData, page names and URL state to emit mortgage, banking, travel and card signals. Some tms_floodlight_pixel_*, tms_meta_*, tms_rokt_pixel_* and tms_strataElite_* names are emitted without a matching destination handler in the sampled modules; these are event names, not observed vendor calls. Numeric IDs and all 141 binding rows are in the companion workbook and Ensighten deep-dive Markdown.</w:t>
      </w:r>
    </w:p>
    <w:p>
      <w:pPr>
        <w:pStyle w:val="Heading1"/>
      </w:pPr>
      <w:r>
        <w:t>7 Third party ecosystem</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728"/>
            <w:shd w:fill="0F355C"/>
            <w:vAlign w:val="center"/>
          </w:tcPr>
          <w:p>
            <w:r>
              <w:rPr>
                <w:rFonts w:ascii="Liberation Sans" w:hAnsi="Liberation Sans"/>
                <w:b/>
                <w:color w:val="FFFFFF"/>
                <w:sz w:val="16"/>
              </w:rPr>
              <w:t>Vendor</w:t>
            </w:r>
          </w:p>
        </w:tc>
        <w:tc>
          <w:tcPr>
            <w:tcW w:type="dxa" w:w="4392"/>
            <w:shd w:fill="0F355C"/>
            <w:vAlign w:val="center"/>
          </w:tcPr>
          <w:p>
            <w:r>
              <w:rPr>
                <w:rFonts w:ascii="Liberation Sans" w:hAnsi="Liberation Sans"/>
                <w:b/>
                <w:color w:val="FFFFFF"/>
                <w:sz w:val="16"/>
              </w:rPr>
              <w:t>Current public evidence</w:t>
            </w:r>
          </w:p>
        </w:tc>
        <w:tc>
          <w:tcPr>
            <w:tcW w:type="dxa" w:w="3816"/>
            <w:shd w:fill="0F355C"/>
            <w:vAlign w:val="center"/>
          </w:tcPr>
          <w:p>
            <w:r>
              <w:rPr>
                <w:rFonts w:ascii="Liberation Sans" w:hAnsi="Liberation Sans"/>
                <w:b/>
                <w:color w:val="FFFFFF"/>
                <w:sz w:val="16"/>
              </w:rPr>
              <w:t>Network validation</w:t>
            </w:r>
          </w:p>
        </w:tc>
      </w:tr>
      <w:tr>
        <w:trPr>
          <w:cantSplit/>
        </w:trPr>
        <w:tc>
          <w:tcPr>
            <w:tcW w:type="dxa" w:w="1728"/>
            <w:vAlign w:val="top"/>
            <w:shd w:fill="F0F5F8"/>
          </w:tcPr>
          <w:p>
            <w:pPr>
              <w:spacing w:after="40"/>
            </w:pPr>
            <w:r>
              <w:rPr>
                <w:rFonts w:ascii="Liberation Sans" w:hAnsi="Liberation Sans"/>
                <w:sz w:val="16"/>
              </w:rPr>
              <w:t>Floodlight</w:t>
            </w:r>
          </w:p>
        </w:tc>
        <w:tc>
          <w:tcPr>
            <w:tcW w:type="dxa" w:w="4392"/>
            <w:vAlign w:val="top"/>
            <w:shd w:fill="F0F5F8"/>
          </w:tcPr>
          <w:p>
            <w:pPr>
              <w:spacing w:after="40"/>
            </w:pPr>
            <w:r>
              <w:rPr>
                <w:rFonts w:ascii="Liberation Sans" w:hAnsi="Liberation Sans"/>
                <w:sz w:val="16"/>
              </w:rPr>
              <w:t>Five DC base IDs; 25 activity bindings across expanded modules</w:t>
            </w:r>
          </w:p>
        </w:tc>
        <w:tc>
          <w:tcPr>
            <w:tcW w:type="dxa" w:w="3816"/>
            <w:vAlign w:val="top"/>
            <w:shd w:fill="F0F5F8"/>
          </w:tcPr>
          <w:p>
            <w:pPr>
              <w:spacing w:after="40"/>
            </w:pPr>
            <w:r>
              <w:rPr>
                <w:rFonts w:ascii="Liberation Sans" w:hAnsi="Liberation Sans"/>
                <w:sz w:val="16"/>
              </w:rPr>
              <w:t>Five gtag scripts and Google collect; activity not resolved</w:t>
            </w:r>
          </w:p>
        </w:tc>
      </w:tr>
      <w:tr>
        <w:trPr>
          <w:cantSplit/>
        </w:trPr>
        <w:tc>
          <w:tcPr>
            <w:tcW w:type="dxa" w:w="1728"/>
            <w:vAlign w:val="top"/>
          </w:tcPr>
          <w:p>
            <w:pPr>
              <w:spacing w:after="40"/>
            </w:pPr>
            <w:r>
              <w:rPr>
                <w:rFonts w:ascii="Liberation Sans" w:hAnsi="Liberation Sans"/>
                <w:sz w:val="16"/>
              </w:rPr>
              <w:t>Microsoft UET</w:t>
            </w:r>
          </w:p>
        </w:tc>
        <w:tc>
          <w:tcPr>
            <w:tcW w:type="dxa" w:w="4392"/>
            <w:vAlign w:val="top"/>
          </w:tcPr>
          <w:p>
            <w:pPr>
              <w:spacing w:after="40"/>
            </w:pPr>
            <w:r>
              <w:rPr>
                <w:rFonts w:ascii="Liberation Sans" w:hAnsi="Liberation Sans"/>
                <w:sz w:val="16"/>
              </w:rPr>
              <w:t>Three public tag IDs in banking and mortgage modules</w:t>
            </w:r>
          </w:p>
        </w:tc>
        <w:tc>
          <w:tcPr>
            <w:tcW w:type="dxa" w:w="3816"/>
            <w:vAlign w:val="top"/>
          </w:tcPr>
          <w:p>
            <w:pPr>
              <w:spacing w:after="40"/>
            </w:pPr>
            <w:r>
              <w:rPr>
                <w:rFonts w:ascii="Liberation Sans" w:hAnsi="Liberation Sans"/>
                <w:sz w:val="16"/>
              </w:rPr>
              <w:t>No bat.bing.com request in untouched five-page capture</w:t>
            </w:r>
          </w:p>
        </w:tc>
      </w:tr>
      <w:tr>
        <w:trPr>
          <w:cantSplit/>
        </w:trPr>
        <w:tc>
          <w:tcPr>
            <w:tcW w:type="dxa" w:w="1728"/>
            <w:vAlign w:val="top"/>
            <w:shd w:fill="F0F5F8"/>
          </w:tcPr>
          <w:p>
            <w:pPr>
              <w:spacing w:after="40"/>
            </w:pPr>
            <w:r>
              <w:rPr>
                <w:rFonts w:ascii="Liberation Sans" w:hAnsi="Liberation Sans"/>
                <w:sz w:val="16"/>
              </w:rPr>
              <w:t>Meta and X</w:t>
            </w:r>
          </w:p>
        </w:tc>
        <w:tc>
          <w:tcPr>
            <w:tcW w:type="dxa" w:w="4392"/>
            <w:vAlign w:val="top"/>
            <w:shd w:fill="F0F5F8"/>
          </w:tcPr>
          <w:p>
            <w:pPr>
              <w:spacing w:after="40"/>
            </w:pPr>
            <w:r>
              <w:rPr>
                <w:rFonts w:ascii="Liberation Sans" w:hAnsi="Liberation Sans"/>
                <w:sz w:val="16"/>
              </w:rPr>
              <w:t>Card module: three Meta IDs and one X config</w:t>
            </w:r>
          </w:p>
        </w:tc>
        <w:tc>
          <w:tcPr>
            <w:tcW w:type="dxa" w:w="3816"/>
            <w:vAlign w:val="top"/>
            <w:shd w:fill="F0F5F8"/>
          </w:tcPr>
          <w:p>
            <w:pPr>
              <w:spacing w:after="40"/>
            </w:pPr>
            <w:r>
              <w:rPr>
                <w:rFonts w:ascii="Liberation Sans" w:hAnsi="Liberation Sans"/>
                <w:sz w:val="16"/>
              </w:rPr>
              <w:t>Module delivered; no matching requests captured</w:t>
            </w:r>
          </w:p>
        </w:tc>
      </w:tr>
      <w:tr>
        <w:trPr>
          <w:cantSplit/>
        </w:trPr>
        <w:tc>
          <w:tcPr>
            <w:tcW w:type="dxa" w:w="1728"/>
            <w:vAlign w:val="top"/>
          </w:tcPr>
          <w:p>
            <w:pPr>
              <w:spacing w:after="40"/>
            </w:pPr>
            <w:r>
              <w:rPr>
                <w:rFonts w:ascii="Liberation Sans" w:hAnsi="Liberation Sans"/>
                <w:sz w:val="16"/>
              </w:rPr>
              <w:t>Rakuten, Kenshoo, Tapper</w:t>
            </w:r>
          </w:p>
        </w:tc>
        <w:tc>
          <w:tcPr>
            <w:tcW w:type="dxa" w:w="4392"/>
            <w:vAlign w:val="top"/>
          </w:tcPr>
          <w:p>
            <w:pPr>
              <w:spacing w:after="40"/>
            </w:pPr>
            <w:r>
              <w:rPr>
                <w:rFonts w:ascii="Liberation Sans" w:hAnsi="Liberation Sans"/>
                <w:sz w:val="16"/>
              </w:rPr>
              <w:t>Mortgage event-bound affiliate/lead/monitor code</w:t>
            </w:r>
          </w:p>
        </w:tc>
        <w:tc>
          <w:tcPr>
            <w:tcW w:type="dxa" w:w="3816"/>
            <w:vAlign w:val="top"/>
          </w:tcPr>
          <w:p>
            <w:pPr>
              <w:spacing w:after="40"/>
            </w:pPr>
            <w:r>
              <w:rPr>
                <w:rFonts w:ascii="Liberation Sans" w:hAnsi="Liberation Sans"/>
                <w:sz w:val="16"/>
              </w:rPr>
              <w:t>No corresponding application event generated</w:t>
            </w:r>
          </w:p>
        </w:tc>
      </w:tr>
      <w:tr>
        <w:trPr>
          <w:cantSplit/>
        </w:trPr>
        <w:tc>
          <w:tcPr>
            <w:tcW w:type="dxa" w:w="1728"/>
            <w:vAlign w:val="top"/>
            <w:shd w:fill="F0F5F8"/>
          </w:tcPr>
          <w:p>
            <w:pPr>
              <w:spacing w:after="40"/>
            </w:pPr>
            <w:r>
              <w:rPr>
                <w:rFonts w:ascii="Liberation Sans" w:hAnsi="Liberation Sans"/>
                <w:sz w:val="16"/>
              </w:rPr>
              <w:t>Zeta RFIhub</w:t>
            </w:r>
          </w:p>
        </w:tc>
        <w:tc>
          <w:tcPr>
            <w:tcW w:type="dxa" w:w="4392"/>
            <w:vAlign w:val="top"/>
            <w:shd w:fill="F0F5F8"/>
          </w:tcPr>
          <w:p>
            <w:pPr>
              <w:spacing w:after="40"/>
            </w:pPr>
            <w:r>
              <w:rPr>
                <w:rFonts w:ascii="Liberation Sans" w:hAnsi="Liberation Sans"/>
                <w:sz w:val="16"/>
              </w:rPr>
              <w:t>_rfi code with _o=17169175 and page-dependent ca values</w:t>
            </w:r>
          </w:p>
        </w:tc>
        <w:tc>
          <w:tcPr>
            <w:tcW w:type="dxa" w:w="3816"/>
            <w:vAlign w:val="top"/>
            <w:shd w:fill="F0F5F8"/>
          </w:tcPr>
          <w:p>
            <w:pPr>
              <w:spacing w:after="40"/>
            </w:pPr>
            <w:r>
              <w:rPr>
                <w:rFonts w:ascii="Liberation Sans" w:hAnsi="Liberation Sans"/>
                <w:sz w:val="16"/>
              </w:rPr>
              <w:t>Script and RFIhub page requests observed</w:t>
            </w:r>
          </w:p>
        </w:tc>
      </w:tr>
      <w:tr>
        <w:trPr>
          <w:cantSplit/>
        </w:trPr>
        <w:tc>
          <w:tcPr>
            <w:tcW w:type="dxa" w:w="1728"/>
            <w:vAlign w:val="top"/>
          </w:tcPr>
          <w:p>
            <w:pPr>
              <w:spacing w:after="40"/>
            </w:pPr>
            <w:r>
              <w:rPr>
                <w:rFonts w:ascii="Liberation Sans" w:hAnsi="Liberation Sans"/>
                <w:sz w:val="16"/>
              </w:rPr>
              <w:t>LiveRamp</w:t>
            </w:r>
          </w:p>
        </w:tc>
        <w:tc>
          <w:tcPr>
            <w:tcW w:type="dxa" w:w="4392"/>
            <w:vAlign w:val="top"/>
          </w:tcPr>
          <w:p>
            <w:pPr>
              <w:spacing w:after="40"/>
            </w:pPr>
            <w:r>
              <w:rPr>
                <w:rFonts w:ascii="Liberation Sans" w:hAnsi="Liberation Sans"/>
                <w:sz w:val="16"/>
              </w:rPr>
              <w:t>tvpixel and hashed CCSID iframe code</w:t>
            </w:r>
          </w:p>
        </w:tc>
        <w:tc>
          <w:tcPr>
            <w:tcW w:type="dxa" w:w="3816"/>
            <w:vAlign w:val="top"/>
          </w:tcPr>
          <w:p>
            <w:pPr>
              <w:spacing w:after="40"/>
            </w:pPr>
            <w:r>
              <w:rPr>
                <w:rFonts w:ascii="Liberation Sans" w:hAnsi="Liberation Sans"/>
                <w:sz w:val="16"/>
              </w:rPr>
              <w:t>Identity endpoints observed on homepage</w:t>
            </w:r>
          </w:p>
        </w:tc>
      </w:tr>
      <w:tr>
        <w:trPr>
          <w:cantSplit/>
        </w:trPr>
        <w:tc>
          <w:tcPr>
            <w:tcW w:type="dxa" w:w="1728"/>
            <w:vAlign w:val="top"/>
            <w:shd w:fill="F0F5F8"/>
          </w:tcPr>
          <w:p>
            <w:pPr>
              <w:spacing w:after="40"/>
            </w:pPr>
            <w:r>
              <w:rPr>
                <w:rFonts w:ascii="Liberation Sans" w:hAnsi="Liberation Sans"/>
                <w:sz w:val="16"/>
              </w:rPr>
              <w:t>Zync Rezync</w:t>
            </w:r>
          </w:p>
        </w:tc>
        <w:tc>
          <w:tcPr>
            <w:tcW w:type="dxa" w:w="4392"/>
            <w:vAlign w:val="top"/>
            <w:shd w:fill="F0F5F8"/>
          </w:tcPr>
          <w:p>
            <w:pPr>
              <w:spacing w:after="40"/>
            </w:pPr>
            <w:r>
              <w:rPr>
                <w:rFonts w:ascii="Liberation Sans" w:hAnsi="Liberation Sans"/>
                <w:sz w:val="16"/>
              </w:rPr>
              <w:t>Ensighten sync code plus a Launch rule on Best Buy path</w:t>
            </w:r>
          </w:p>
        </w:tc>
        <w:tc>
          <w:tcPr>
            <w:tcW w:type="dxa" w:w="3816"/>
            <w:vAlign w:val="top"/>
            <w:shd w:fill="F0F5F8"/>
          </w:tcPr>
          <w:p>
            <w:pPr>
              <w:spacing w:after="40"/>
            </w:pPr>
            <w:r>
              <w:rPr>
                <w:rFonts w:ascii="Liberation Sans" w:hAnsi="Liberation Sans"/>
                <w:sz w:val="16"/>
              </w:rPr>
              <w:t>Shared Ensighten sync captured on personal loans and mortgage</w:t>
            </w:r>
          </w:p>
        </w:tc>
      </w:tr>
      <w:tr>
        <w:trPr>
          <w:cantSplit/>
        </w:trPr>
        <w:tc>
          <w:tcPr>
            <w:tcW w:type="dxa" w:w="1728"/>
            <w:vAlign w:val="top"/>
          </w:tcPr>
          <w:p>
            <w:pPr>
              <w:spacing w:after="40"/>
            </w:pPr>
            <w:r>
              <w:rPr>
                <w:rFonts w:ascii="Liberation Sans" w:hAnsi="Liberation Sans"/>
                <w:sz w:val="16"/>
              </w:rPr>
              <w:t>Amazon Ads</w:t>
            </w:r>
          </w:p>
        </w:tc>
        <w:tc>
          <w:tcPr>
            <w:tcW w:type="dxa" w:w="4392"/>
            <w:vAlign w:val="top"/>
          </w:tcPr>
          <w:p>
            <w:pPr>
              <w:spacing w:after="40"/>
            </w:pPr>
            <w:r>
              <w:rPr>
                <w:rFonts w:ascii="Liberation Sans" w:hAnsi="Liberation Sans"/>
                <w:sz w:val="16"/>
              </w:rPr>
              <w:t>Ensighten PageView image code</w:t>
            </w:r>
          </w:p>
        </w:tc>
        <w:tc>
          <w:tcPr>
            <w:tcW w:type="dxa" w:w="3816"/>
            <w:vAlign w:val="top"/>
          </w:tcPr>
          <w:p>
            <w:pPr>
              <w:spacing w:after="40"/>
            </w:pPr>
            <w:r>
              <w:rPr>
                <w:rFonts w:ascii="Liberation Sans" w:hAnsi="Liberation Sans"/>
                <w:sz w:val="16"/>
              </w:rPr>
              <w:t>Image captured on personal loans and mortgage</w:t>
            </w:r>
          </w:p>
        </w:tc>
      </w:tr>
      <w:tr>
        <w:trPr>
          <w:cantSplit/>
        </w:trPr>
        <w:tc>
          <w:tcPr>
            <w:tcW w:type="dxa" w:w="1728"/>
            <w:vAlign w:val="top"/>
            <w:shd w:fill="F0F5F8"/>
          </w:tcPr>
          <w:p>
            <w:pPr>
              <w:spacing w:after="40"/>
            </w:pPr>
            <w:r>
              <w:rPr>
                <w:rFonts w:ascii="Liberation Sans" w:hAnsi="Liberation Sans"/>
                <w:sz w:val="16"/>
              </w:rPr>
              <w:t>Qualtrics</w:t>
            </w:r>
          </w:p>
        </w:tc>
        <w:tc>
          <w:tcPr>
            <w:tcW w:type="dxa" w:w="4392"/>
            <w:vAlign w:val="top"/>
            <w:shd w:fill="F0F5F8"/>
          </w:tcPr>
          <w:p>
            <w:pPr>
              <w:spacing w:after="40"/>
            </w:pPr>
            <w:r>
              <w:rPr>
                <w:rFonts w:ascii="Liberation Sans" w:hAnsi="Liberation Sans"/>
                <w:sz w:val="16"/>
              </w:rPr>
              <w:t>Ensighten Site Intercept code</w:t>
            </w:r>
          </w:p>
        </w:tc>
        <w:tc>
          <w:tcPr>
            <w:tcW w:type="dxa" w:w="3816"/>
            <w:vAlign w:val="top"/>
            <w:shd w:fill="F0F5F8"/>
          </w:tcPr>
          <w:p>
            <w:pPr>
              <w:spacing w:after="40"/>
            </w:pPr>
            <w:r>
              <w:rPr>
                <w:rFonts w:ascii="Liberation Sans" w:hAnsi="Liberation Sans"/>
                <w:sz w:val="16"/>
              </w:rPr>
              <w:t>Loader captured on personal loans and mortgage</w:t>
            </w:r>
          </w:p>
        </w:tc>
      </w:tr>
      <w:tr>
        <w:trPr>
          <w:cantSplit/>
        </w:trPr>
        <w:tc>
          <w:tcPr>
            <w:tcW w:type="dxa" w:w="1728"/>
            <w:vAlign w:val="top"/>
          </w:tcPr>
          <w:p>
            <w:pPr>
              <w:spacing w:after="40"/>
            </w:pPr>
            <w:r>
              <w:rPr>
                <w:rFonts w:ascii="Liberation Sans" w:hAnsi="Liberation Sans"/>
                <w:sz w:val="16"/>
              </w:rPr>
              <w:t>Glassbox detector</w:t>
            </w:r>
          </w:p>
        </w:tc>
        <w:tc>
          <w:tcPr>
            <w:tcW w:type="dxa" w:w="4392"/>
            <w:vAlign w:val="top"/>
          </w:tcPr>
          <w:p>
            <w:pPr>
              <w:spacing w:after="40"/>
            </w:pPr>
            <w:r>
              <w:rPr>
                <w:rFonts w:ascii="Liberation Sans" w:hAnsi="Liberation Sans"/>
                <w:sz w:val="16"/>
              </w:rPr>
              <w:t>Ensighten injection of gbqofs detector</w:t>
            </w:r>
          </w:p>
        </w:tc>
        <w:tc>
          <w:tcPr>
            <w:tcW w:type="dxa" w:w="3816"/>
            <w:vAlign w:val="top"/>
          </w:tcPr>
          <w:p>
            <w:pPr>
              <w:spacing w:after="40"/>
            </w:pPr>
            <w:r>
              <w:rPr>
                <w:rFonts w:ascii="Liberation Sans" w:hAnsi="Liberation Sans"/>
                <w:sz w:val="16"/>
              </w:rPr>
              <w:t>Script request observed; vendor ownership inferred</w:t>
            </w:r>
          </w:p>
        </w:tc>
      </w:tr>
    </w:tbl>
    <w:p>
      <w:pPr>
        <w:spacing w:after="20"/>
      </w:pPr>
    </w:p>
    <w:p>
      <w:r>
        <w:t>The public code references CUUID, prospect, CCSID and other identity fields in some vendor implementations. This document records their field names and transformations, not any visitor values. Their actual consent behavior and destination payloads need owner review.</w:t>
      </w:r>
    </w:p>
    <w:p>
      <w:pPr>
        <w:pStyle w:val="Heading1"/>
      </w:pPr>
      <w:r>
        <w:t>8 Microsoft Advertising current state</w:t>
      </w:r>
    </w:p>
    <w:p>
      <w:r>
        <w:t>Correction to the first public sample: executable UET code is present in page-specific Ensighten modules. Banking module d612f181 contains tag IDs 5695784 and 331000549. Mortgage module 113f5951 contains tag ID 16005485 in six event bindings. These are three public tag IDs, not a verified account count. The second banking rule depends on the shared banking event rule; several mortgage rules recreate window.uetq, initialize UET, push pageLoad and sometimes a custom ec/ea event. No validated revenue/currency is set in the inspected snippets.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656"/>
            <w:shd w:fill="0F355C"/>
            <w:vAlign w:val="center"/>
          </w:tcPr>
          <w:p>
            <w:r>
              <w:rPr>
                <w:rFonts w:ascii="Liberation Sans" w:hAnsi="Liberation Sans"/>
                <w:b/>
                <w:color w:val="FFFFFF"/>
                <w:sz w:val="16"/>
              </w:rPr>
              <w:t>Module</w:t>
            </w:r>
          </w:p>
        </w:tc>
        <w:tc>
          <w:tcPr>
            <w:tcW w:type="dxa" w:w="3024"/>
            <w:shd w:fill="0F355C"/>
            <w:vAlign w:val="center"/>
          </w:tcPr>
          <w:p>
            <w:r>
              <w:rPr>
                <w:rFonts w:ascii="Liberation Sans" w:hAnsi="Liberation Sans"/>
                <w:b/>
                <w:color w:val="FFFFFF"/>
                <w:sz w:val="16"/>
              </w:rPr>
              <w:t>UET binding</w:t>
            </w:r>
          </w:p>
        </w:tc>
        <w:tc>
          <w:tcPr>
            <w:tcW w:type="dxa" w:w="5256"/>
            <w:shd w:fill="0F355C"/>
            <w:vAlign w:val="center"/>
          </w:tcPr>
          <w:p>
            <w:r>
              <w:rPr>
                <w:rFonts w:ascii="Liberation Sans" w:hAnsi="Liberation Sans"/>
                <w:b/>
                <w:color w:val="FFFFFF"/>
                <w:sz w:val="16"/>
              </w:rPr>
              <w:t>Observed code behavior</w:t>
            </w:r>
          </w:p>
        </w:tc>
      </w:tr>
      <w:tr>
        <w:trPr>
          <w:cantSplit/>
        </w:trPr>
        <w:tc>
          <w:tcPr>
            <w:tcW w:type="dxa" w:w="1656"/>
            <w:vAlign w:val="top"/>
            <w:shd w:fill="F0F5F8"/>
          </w:tcPr>
          <w:p>
            <w:pPr>
              <w:spacing w:after="40"/>
            </w:pPr>
            <w:r>
              <w:rPr>
                <w:rFonts w:ascii="Liberation Sans" w:hAnsi="Liberation Sans"/>
                <w:sz w:val="16"/>
              </w:rPr>
              <w:t>Banking</w:t>
            </w:r>
          </w:p>
        </w:tc>
        <w:tc>
          <w:tcPr>
            <w:tcW w:type="dxa" w:w="3024"/>
            <w:vAlign w:val="top"/>
            <w:shd w:fill="F0F5F8"/>
          </w:tcPr>
          <w:p>
            <w:pPr>
              <w:spacing w:after="40"/>
            </w:pPr>
            <w:r>
              <w:rPr>
                <w:rFonts w:ascii="Liberation Sans" w:hAnsi="Liberation Sans"/>
                <w:sz w:val="16"/>
              </w:rPr>
              <w:t>4127256/750588; 4127257/755905</w:t>
            </w:r>
          </w:p>
        </w:tc>
        <w:tc>
          <w:tcPr>
            <w:tcW w:type="dxa" w:w="5256"/>
            <w:vAlign w:val="top"/>
            <w:shd w:fill="F0F5F8"/>
          </w:tcPr>
          <w:p>
            <w:pPr>
              <w:spacing w:after="40"/>
            </w:pPr>
            <w:r>
              <w:rPr>
                <w:rFonts w:ascii="Liberation Sans" w:hAnsi="Liberation Sans"/>
                <w:sz w:val="16"/>
              </w:rPr>
              <w:t>Two IDs, bat.js loader and pageLoad; second rule depends on 4061763/692933</w:t>
            </w:r>
          </w:p>
        </w:tc>
      </w:tr>
      <w:tr>
        <w:trPr>
          <w:cantSplit/>
        </w:trPr>
        <w:tc>
          <w:tcPr>
            <w:tcW w:type="dxa" w:w="1656"/>
            <w:vAlign w:val="top"/>
          </w:tcPr>
          <w:p>
            <w:pPr>
              <w:spacing w:after="40"/>
            </w:pPr>
            <w:r>
              <w:rPr>
                <w:rFonts w:ascii="Liberation Sans" w:hAnsi="Liberation Sans"/>
                <w:sz w:val="16"/>
              </w:rPr>
              <w:t>Mortgage</w:t>
            </w:r>
          </w:p>
        </w:tc>
        <w:tc>
          <w:tcPr>
            <w:tcW w:type="dxa" w:w="3024"/>
            <w:vAlign w:val="top"/>
          </w:tcPr>
          <w:p>
            <w:pPr>
              <w:spacing w:after="40"/>
            </w:pPr>
            <w:r>
              <w:rPr>
                <w:rFonts w:ascii="Liberation Sans" w:hAnsi="Liberation Sans"/>
                <w:sz w:val="16"/>
              </w:rPr>
              <w:t>3854519/737752; five more</w:t>
            </w:r>
          </w:p>
        </w:tc>
        <w:tc>
          <w:tcPr>
            <w:tcW w:type="dxa" w:w="5256"/>
            <w:vAlign w:val="top"/>
          </w:tcPr>
          <w:p>
            <w:pPr>
              <w:spacing w:after="40"/>
            </w:pPr>
            <w:r>
              <w:rPr>
                <w:rFonts w:ascii="Liberation Sans" w:hAnsi="Liberation Sans"/>
                <w:sz w:val="16"/>
              </w:rPr>
              <w:t>One ID on Dragonfly, registration, VA and HELOC named events; repeated initialization</w:t>
            </w:r>
          </w:p>
        </w:tc>
      </w:tr>
    </w:tbl>
    <w:p>
      <w:pPr>
        <w:spacing w:after="20"/>
      </w:pPr>
    </w:p>
    <w:p>
      <w:r>
        <w:t>No bat.bing.com request or UET instance appeared in an untouched five-page browser capture. This does not establish behavior after application events or different consent states. The public Launch build has no UET extension. Account ownership, consent policy and conversion request values remain unknown.</w:t>
      </w:r>
    </w:p>
    <w:p>
      <w:pPr>
        <w:pStyle w:val="Heading1"/>
      </w:pPr>
      <w:r>
        <w:t>9 Floodlight current state</w:t>
      </w:r>
    </w:p>
    <w:p>
      <w:r>
        <w:t>Ensighten module 87cab71b9abb2c5fae0c515cadc946cc initializes dataLayer/gtag, configures DC-6260004, DC-6269322, DC-6256710, DC-6415812 and DC-6268858, and drains queued conversion callbacks. All five base Google tag scripts loaded on personal loans and mortgage. One Google collect request on each page was not mapped to a particular activity.</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3600"/>
            <w:shd w:fill="0F355C"/>
            <w:vAlign w:val="center"/>
          </w:tcPr>
          <w:p>
            <w:r>
              <w:rPr>
                <w:rFonts w:ascii="Liberation Sans" w:hAnsi="Liberation Sans"/>
                <w:b/>
                <w:color w:val="FFFFFF"/>
                <w:sz w:val="16"/>
              </w:rPr>
              <w:t>Config and activity</w:t>
            </w:r>
          </w:p>
        </w:tc>
        <w:tc>
          <w:tcPr>
            <w:tcW w:type="dxa" w:w="3168"/>
            <w:shd w:fill="0F355C"/>
            <w:vAlign w:val="center"/>
          </w:tcPr>
          <w:p>
            <w:r>
              <w:rPr>
                <w:rFonts w:ascii="Liberation Sans" w:hAnsi="Liberation Sans"/>
                <w:b/>
                <w:color w:val="FFFFFF"/>
                <w:sz w:val="16"/>
              </w:rPr>
              <w:t>Trigger in delivered code</w:t>
            </w:r>
          </w:p>
        </w:tc>
        <w:tc>
          <w:tcPr>
            <w:tcW w:type="dxa" w:w="3168"/>
            <w:shd w:fill="0F355C"/>
            <w:vAlign w:val="center"/>
          </w:tcPr>
          <w:p>
            <w:r>
              <w:rPr>
                <w:rFonts w:ascii="Liberation Sans" w:hAnsi="Liberation Sans"/>
                <w:b/>
                <w:color w:val="FFFFFF"/>
                <w:sz w:val="16"/>
              </w:rPr>
              <w:t>Value logic and status</w:t>
            </w:r>
          </w:p>
        </w:tc>
      </w:tr>
      <w:tr>
        <w:trPr>
          <w:cantSplit/>
        </w:trPr>
        <w:tc>
          <w:tcPr>
            <w:tcW w:type="dxa" w:w="3600"/>
            <w:vAlign w:val="top"/>
            <w:shd w:fill="F0F5F8"/>
          </w:tcPr>
          <w:p>
            <w:pPr>
              <w:spacing w:after="40"/>
            </w:pPr>
            <w:r>
              <w:rPr>
                <w:rFonts w:ascii="Liberation Sans" w:hAnsi="Liberation Sans"/>
                <w:sz w:val="16"/>
              </w:rPr>
              <w:t>DC-6260004 / citih0 / citih00 + transactions</w:t>
            </w:r>
          </w:p>
        </w:tc>
        <w:tc>
          <w:tcPr>
            <w:tcW w:type="dxa" w:w="3168"/>
            <w:vAlign w:val="top"/>
            <w:shd w:fill="F0F5F8"/>
          </w:tcPr>
          <w:p>
            <w:pPr>
              <w:spacing w:after="40"/>
            </w:pPr>
            <w:r>
              <w:rPr>
                <w:rFonts w:ascii="Liberation Sans" w:hAnsi="Liberation Sans"/>
                <w:sz w:val="16"/>
              </w:rPr>
              <w:t>Data definition 17006 contains Username Password, then DOM loaded</w:t>
            </w:r>
          </w:p>
        </w:tc>
        <w:tc>
          <w:tcPr>
            <w:tcW w:type="dxa" w:w="3168"/>
            <w:vAlign w:val="top"/>
            <w:shd w:fill="F0F5F8"/>
          </w:tcPr>
          <w:p>
            <w:pPr>
              <w:spacing w:after="40"/>
            </w:pPr>
            <w:r>
              <w:rPr>
                <w:rFonts w:ascii="Liberation Sans" w:hAnsi="Liberation Sans"/>
                <w:sz w:val="16"/>
              </w:rPr>
              <w:t>value="1"; random transaction_id; no conversion request mapped</w:t>
            </w:r>
          </w:p>
        </w:tc>
      </w:tr>
      <w:tr>
        <w:trPr>
          <w:cantSplit/>
        </w:trPr>
        <w:tc>
          <w:tcPr>
            <w:tcW w:type="dxa" w:w="3600"/>
            <w:vAlign w:val="top"/>
          </w:tcPr>
          <w:p>
            <w:pPr>
              <w:spacing w:after="40"/>
            </w:pPr>
            <w:r>
              <w:rPr>
                <w:rFonts w:ascii="Liberation Sans" w:hAnsi="Liberation Sans"/>
                <w:sz w:val="16"/>
              </w:rPr>
              <w:t>DC-6260004 / cardslp / trave000 + transactions</w:t>
            </w:r>
          </w:p>
        </w:tc>
        <w:tc>
          <w:tcPr>
            <w:tcW w:type="dxa" w:w="3168"/>
            <w:vAlign w:val="top"/>
          </w:tcPr>
          <w:p>
            <w:pPr>
              <w:spacing w:after="40"/>
            </w:pPr>
            <w:r>
              <w:rPr>
                <w:rFonts w:ascii="Liberation Sans" w:hAnsi="Liberation Sans"/>
                <w:sz w:val="16"/>
              </w:rPr>
              <w:t>TravelPortal Ensighten event</w:t>
            </w:r>
          </w:p>
        </w:tc>
        <w:tc>
          <w:tcPr>
            <w:tcW w:type="dxa" w:w="3168"/>
            <w:vAlign w:val="top"/>
          </w:tcPr>
          <w:p>
            <w:pPr>
              <w:spacing w:after="40"/>
            </w:pPr>
            <w:r>
              <w:rPr>
                <w:rFonts w:ascii="Liberation Sans" w:hAnsi="Liberation Sans"/>
                <w:sz w:val="16"/>
              </w:rPr>
              <w:t>value="1"; random transaction_id; u1=_dl.hcfa_flag; request unmapped</w:t>
            </w:r>
          </w:p>
        </w:tc>
      </w:tr>
      <w:tr>
        <w:trPr>
          <w:cantSplit/>
        </w:trPr>
        <w:tc>
          <w:tcPr>
            <w:tcW w:type="dxa" w:w="3600"/>
            <w:vAlign w:val="top"/>
            <w:shd w:fill="F0F5F8"/>
          </w:tcPr>
          <w:p>
            <w:pPr>
              <w:spacing w:after="40"/>
            </w:pPr>
            <w:r>
              <w:rPr>
                <w:rFonts w:ascii="Liberation Sans" w:hAnsi="Liberation Sans"/>
                <w:sz w:val="16"/>
              </w:rPr>
              <w:t>DC-6269322 / bankp00 / proje0 + unique</w:t>
            </w:r>
          </w:p>
        </w:tc>
        <w:tc>
          <w:tcPr>
            <w:tcW w:type="dxa" w:w="3168"/>
            <w:vAlign w:val="top"/>
            <w:shd w:fill="F0F5F8"/>
          </w:tcPr>
          <w:p>
            <w:pPr>
              <w:spacing w:after="40"/>
            </w:pPr>
            <w:r>
              <w:rPr>
                <w:rFonts w:ascii="Liberation Sans" w:hAnsi="Liberation Sans"/>
                <w:sz w:val="16"/>
              </w:rPr>
              <w:t>Banking module DOM loaded</w:t>
            </w:r>
          </w:p>
        </w:tc>
        <w:tc>
          <w:tcPr>
            <w:tcW w:type="dxa" w:w="3168"/>
            <w:vAlign w:val="top"/>
            <w:shd w:fill="F0F5F8"/>
          </w:tcPr>
          <w:p>
            <w:pPr>
              <w:spacing w:after="40"/>
            </w:pPr>
            <w:r>
              <w:rPr>
                <w:rFonts w:ascii="Liberation Sans" w:hAnsi="Liberation Sans"/>
                <w:sz w:val="16"/>
              </w:rPr>
              <w:t>Leading space in source ID; request unmapped</w:t>
            </w:r>
          </w:p>
        </w:tc>
      </w:tr>
      <w:tr>
        <w:trPr>
          <w:cantSplit/>
        </w:trPr>
        <w:tc>
          <w:tcPr>
            <w:tcW w:type="dxa" w:w="3600"/>
            <w:vAlign w:val="top"/>
          </w:tcPr>
          <w:p>
            <w:pPr>
              <w:spacing w:after="40"/>
            </w:pPr>
            <w:r>
              <w:rPr>
                <w:rFonts w:ascii="Liberation Sans" w:hAnsi="Liberation Sans"/>
                <w:sz w:val="16"/>
              </w:rPr>
              <w:t>DC-6260004 / misce0, cardslp, landi0</w:t>
            </w:r>
          </w:p>
        </w:tc>
        <w:tc>
          <w:tcPr>
            <w:tcW w:type="dxa" w:w="3168"/>
            <w:vAlign w:val="top"/>
          </w:tcPr>
          <w:p>
            <w:pPr>
              <w:spacing w:after="40"/>
            </w:pPr>
            <w:r>
              <w:rPr>
                <w:rFonts w:ascii="Liberation Sans" w:hAnsi="Liberation Sans"/>
                <w:sz w:val="16"/>
              </w:rPr>
              <w:t>Three card module DOM-loaded rules</w:t>
            </w:r>
          </w:p>
        </w:tc>
        <w:tc>
          <w:tcPr>
            <w:tcW w:type="dxa" w:w="3168"/>
            <w:vAlign w:val="top"/>
          </w:tcPr>
          <w:p>
            <w:pPr>
              <w:spacing w:after="40"/>
            </w:pPr>
            <w:r>
              <w:rPr>
                <w:rFonts w:ascii="Liberation Sans" w:hAnsi="Liberation Sans"/>
                <w:sz w:val="16"/>
              </w:rPr>
              <w:t>Literal value or 1; random transaction IDs; requests unmapped</w:t>
            </w:r>
          </w:p>
        </w:tc>
      </w:tr>
      <w:tr>
        <w:trPr>
          <w:cantSplit/>
        </w:trPr>
        <w:tc>
          <w:tcPr>
            <w:tcW w:type="dxa" w:w="3600"/>
            <w:vAlign w:val="top"/>
            <w:shd w:fill="F0F5F8"/>
          </w:tcPr>
          <w:p>
            <w:pPr>
              <w:spacing w:after="40"/>
            </w:pPr>
            <w:r>
              <w:rPr>
                <w:rFonts w:ascii="Liberation Sans" w:hAnsi="Liberation Sans"/>
                <w:sz w:val="16"/>
              </w:rPr>
              <w:t>DC-6256710 / newmo0 or globa0</w:t>
            </w:r>
          </w:p>
        </w:tc>
        <w:tc>
          <w:tcPr>
            <w:tcW w:type="dxa" w:w="3168"/>
            <w:vAlign w:val="top"/>
            <w:shd w:fill="F0F5F8"/>
          </w:tcPr>
          <w:p>
            <w:pPr>
              <w:spacing w:after="40"/>
            </w:pPr>
            <w:r>
              <w:rPr>
                <w:rFonts w:ascii="Liberation Sans" w:hAnsi="Liberation Sans"/>
                <w:sz w:val="16"/>
              </w:rPr>
              <w:t>19 mortgage named-event rules</w:t>
            </w:r>
          </w:p>
        </w:tc>
        <w:tc>
          <w:tcPr>
            <w:tcW w:type="dxa" w:w="3168"/>
            <w:vAlign w:val="top"/>
            <w:shd w:fill="F0F5F8"/>
          </w:tcPr>
          <w:p>
            <w:pPr>
              <w:spacing w:after="40"/>
            </w:pPr>
            <w:r>
              <w:rPr>
                <w:rFonts w:ascii="Liberation Sans" w:hAnsi="Liberation Sans"/>
                <w:sz w:val="16"/>
              </w:rPr>
              <w:t>Unique counting and selected u fields; application events not generated</w:t>
            </w:r>
          </w:p>
        </w:tc>
      </w:tr>
    </w:tbl>
    <w:p>
      <w:pPr>
        <w:spacing w:after="20"/>
      </w:pPr>
    </w:p>
    <w:p>
      <w:r>
        <w:t>The expanded sample contains 25 explicit Floodlight activity bindings: 19 mortgage, three card, one banking and two shared. Several DC source literals have a leading space and one mortgage literal contains DC- 6256710. Card rule 4241222 uses the literal string Manage.DD_citiData.citiData_dd_pageDef as value. These are code-level concerns requiring controlled event and payload checks. The companion workbook lists each rule, group, activity, count and custom field; the deep dive has the full mortgage table.</w:t>
      </w:r>
    </w:p>
    <w:p>
      <w:pPr>
        <w:pStyle w:val="Heading1"/>
      </w:pPr>
      <w:r>
        <w:t>10 Ensighten and Launch responsibilities</w:t>
      </w:r>
    </w:p>
    <w:tbl>
      <w:tblPr>
        <w:tblStyle w:val="TableGrid"/>
        <w:tblW w:type="auto" w:w="0"/>
        <w:jc w:val="center"/>
        <w:tblLayout w:type="fixed"/>
        <w:tblLook w:firstColumn="1" w:firstRow="1" w:lastColumn="0" w:lastRow="0" w:noHBand="0" w:noVBand="1" w:val="04A0"/>
      </w:tblPr>
      <w:tblGrid>
        <w:gridCol w:w="1694"/>
        <w:gridCol w:w="1694"/>
        <w:gridCol w:w="1694"/>
        <w:gridCol w:w="1694"/>
        <w:gridCol w:w="1694"/>
        <w:gridCol w:w="1694"/>
      </w:tblGrid>
      <w:tr>
        <w:trPr>
          <w:tblHeader w:val="true"/>
          <w:cantSplit/>
        </w:trPr>
        <w:tc>
          <w:tcPr>
            <w:tcW w:type="dxa" w:w="1512"/>
            <w:shd w:fill="0F355C"/>
            <w:vAlign w:val="center"/>
          </w:tcPr>
          <w:p>
            <w:r>
              <w:rPr>
                <w:rFonts w:ascii="Liberation Sans" w:hAnsi="Liberation Sans"/>
                <w:b/>
                <w:color w:val="FFFFFF"/>
                <w:sz w:val="16"/>
              </w:rPr>
              <w:t>Capability</w:t>
            </w:r>
          </w:p>
        </w:tc>
        <w:tc>
          <w:tcPr>
            <w:tcW w:type="dxa" w:w="1656"/>
            <w:shd w:fill="0F355C"/>
            <w:vAlign w:val="center"/>
          </w:tcPr>
          <w:p>
            <w:r>
              <w:rPr>
                <w:rFonts w:ascii="Liberation Sans" w:hAnsi="Liberation Sans"/>
                <w:b/>
                <w:color w:val="FFFFFF"/>
                <w:sz w:val="16"/>
              </w:rPr>
              <w:t>Ensighten</w:t>
            </w:r>
          </w:p>
        </w:tc>
        <w:tc>
          <w:tcPr>
            <w:tcW w:type="dxa" w:w="1656"/>
            <w:shd w:fill="0F355C"/>
            <w:vAlign w:val="center"/>
          </w:tcPr>
          <w:p>
            <w:r>
              <w:rPr>
                <w:rFonts w:ascii="Liberation Sans" w:hAnsi="Liberation Sans"/>
                <w:b/>
                <w:color w:val="FFFFFF"/>
                <w:sz w:val="16"/>
              </w:rPr>
              <w:t>Launch</w:t>
            </w:r>
          </w:p>
        </w:tc>
        <w:tc>
          <w:tcPr>
            <w:tcW w:type="dxa" w:w="1728"/>
            <w:shd w:fill="0F355C"/>
            <w:vAlign w:val="center"/>
          </w:tcPr>
          <w:p>
            <w:r>
              <w:rPr>
                <w:rFonts w:ascii="Liberation Sans" w:hAnsi="Liberation Sans"/>
                <w:b/>
                <w:color w:val="FFFFFF"/>
                <w:sz w:val="16"/>
              </w:rPr>
              <w:t>Application / developer</w:t>
            </w:r>
          </w:p>
        </w:tc>
        <w:tc>
          <w:tcPr>
            <w:tcW w:type="dxa" w:w="1872"/>
            <w:shd w:fill="0F355C"/>
            <w:vAlign w:val="center"/>
          </w:tcPr>
          <w:p>
            <w:r>
              <w:rPr>
                <w:rFonts w:ascii="Liberation Sans" w:hAnsi="Liberation Sans"/>
                <w:b/>
                <w:color w:val="FFFFFF"/>
                <w:sz w:val="16"/>
              </w:rPr>
              <w:t>Overlap</w:t>
            </w:r>
          </w:p>
        </w:tc>
        <w:tc>
          <w:tcPr>
            <w:tcW w:type="dxa" w:w="1512"/>
            <w:shd w:fill="0F355C"/>
            <w:vAlign w:val="center"/>
          </w:tcPr>
          <w:p>
            <w:r>
              <w:rPr>
                <w:rFonts w:ascii="Liberation Sans" w:hAnsi="Liberation Sans"/>
                <w:b/>
                <w:color w:val="FFFFFF"/>
                <w:sz w:val="16"/>
              </w:rPr>
              <w:t>Migration status</w:t>
            </w:r>
          </w:p>
        </w:tc>
      </w:tr>
      <w:tr>
        <w:trPr>
          <w:cantSplit/>
        </w:trPr>
        <w:tc>
          <w:tcPr>
            <w:tcW w:type="dxa" w:w="1512"/>
            <w:vAlign w:val="top"/>
            <w:shd w:fill="F0F5F8"/>
          </w:tcPr>
          <w:p>
            <w:pPr>
              <w:spacing w:after="40"/>
            </w:pPr>
            <w:r>
              <w:rPr>
                <w:rFonts w:ascii="Liberation Sans" w:hAnsi="Liberation Sans"/>
                <w:sz w:val="16"/>
              </w:rPr>
              <w:t>Page analytics</w:t>
            </w:r>
          </w:p>
        </w:tc>
        <w:tc>
          <w:tcPr>
            <w:tcW w:type="dxa" w:w="1656"/>
            <w:vAlign w:val="top"/>
            <w:shd w:fill="F0F5F8"/>
          </w:tcPr>
          <w:p>
            <w:pPr>
              <w:spacing w:after="40"/>
            </w:pPr>
            <w:r>
              <w:rPr>
                <w:rFonts w:ascii="Liberation Sans" w:hAnsi="Liberation Sans"/>
                <w:sz w:val="16"/>
              </w:rPr>
              <w:t>Legacy _trackAnalytics path and events in code</w:t>
            </w:r>
          </w:p>
        </w:tc>
        <w:tc>
          <w:tcPr>
            <w:tcW w:type="dxa" w:w="1656"/>
            <w:vAlign w:val="top"/>
            <w:shd w:fill="F0F5F8"/>
          </w:tcPr>
          <w:p>
            <w:pPr>
              <w:spacing w:after="40"/>
            </w:pPr>
            <w:r>
              <w:rPr>
                <w:rFonts w:ascii="Liberation Sans" w:hAnsi="Liberation Sans"/>
                <w:sz w:val="16"/>
              </w:rPr>
              <w:t>Direct-call Web SDK page view</w:t>
            </w:r>
          </w:p>
        </w:tc>
        <w:tc>
          <w:tcPr>
            <w:tcW w:type="dxa" w:w="1728"/>
            <w:vAlign w:val="top"/>
            <w:shd w:fill="F0F5F8"/>
          </w:tcPr>
          <w:p>
            <w:pPr>
              <w:spacing w:after="40"/>
            </w:pPr>
            <w:r>
              <w:rPr>
                <w:rFonts w:ascii="Liberation Sans" w:hAnsi="Liberation Sans"/>
                <w:sz w:val="16"/>
              </w:rPr>
              <w:t>Supplies object and action_type</w:t>
            </w:r>
          </w:p>
        </w:tc>
        <w:tc>
          <w:tcPr>
            <w:tcW w:type="dxa" w:w="1872"/>
            <w:vAlign w:val="top"/>
            <w:shd w:fill="F0F5F8"/>
          </w:tcPr>
          <w:p>
            <w:pPr>
              <w:spacing w:after="40"/>
            </w:pPr>
            <w:r>
              <w:rPr>
                <w:rFonts w:ascii="Liberation Sans" w:hAnsi="Liberation Sans"/>
                <w:sz w:val="16"/>
              </w:rPr>
              <w:t>Both paths in delivered code; firing untested</w:t>
            </w:r>
          </w:p>
        </w:tc>
        <w:tc>
          <w:tcPr>
            <w:tcW w:type="dxa" w:w="1512"/>
            <w:vAlign w:val="top"/>
            <w:shd w:fill="F0F5F8"/>
          </w:tcPr>
          <w:p>
            <w:pPr>
              <w:spacing w:after="40"/>
            </w:pPr>
            <w:r>
              <w:rPr>
                <w:rFonts w:ascii="Liberation Sans" w:hAnsi="Liberation Sans"/>
                <w:sz w:val="16"/>
              </w:rPr>
              <w:t>Unknown</w:t>
            </w:r>
          </w:p>
        </w:tc>
      </w:tr>
      <w:tr>
        <w:trPr>
          <w:cantSplit/>
        </w:trPr>
        <w:tc>
          <w:tcPr>
            <w:tcW w:type="dxa" w:w="1512"/>
            <w:vAlign w:val="top"/>
          </w:tcPr>
          <w:p>
            <w:pPr>
              <w:spacing w:after="40"/>
            </w:pPr>
            <w:r>
              <w:rPr>
                <w:rFonts w:ascii="Liberation Sans" w:hAnsi="Liberation Sans"/>
                <w:sz w:val="16"/>
              </w:rPr>
              <w:t>Interaction analytics</w:t>
            </w:r>
          </w:p>
        </w:tc>
        <w:tc>
          <w:tcPr>
            <w:tcW w:type="dxa" w:w="1656"/>
            <w:vAlign w:val="top"/>
          </w:tcPr>
          <w:p>
            <w:pPr>
              <w:spacing w:after="40"/>
            </w:pPr>
            <w:r>
              <w:rPr>
                <w:rFonts w:ascii="Liberation Sans" w:hAnsi="Liberation Sans"/>
                <w:sz w:val="16"/>
              </w:rPr>
              <w:t>Legacy custom events in code</w:t>
            </w:r>
          </w:p>
        </w:tc>
        <w:tc>
          <w:tcPr>
            <w:tcW w:type="dxa" w:w="1656"/>
            <w:vAlign w:val="top"/>
          </w:tcPr>
          <w:p>
            <w:pPr>
              <w:spacing w:after="40"/>
            </w:pPr>
            <w:r>
              <w:rPr>
                <w:rFonts w:ascii="Liberation Sans" w:hAnsi="Liberation Sans"/>
                <w:sz w:val="16"/>
              </w:rPr>
              <w:t>Direct-call Web SDK link click</w:t>
            </w:r>
          </w:p>
        </w:tc>
        <w:tc>
          <w:tcPr>
            <w:tcW w:type="dxa" w:w="1728"/>
            <w:vAlign w:val="top"/>
          </w:tcPr>
          <w:p>
            <w:pPr>
              <w:spacing w:after="40"/>
            </w:pPr>
            <w:r>
              <w:rPr>
                <w:rFonts w:ascii="Liberation Sans" w:hAnsi="Liberation Sans"/>
                <w:sz w:val="16"/>
              </w:rPr>
              <w:t>Supplies _dl interaction fields</w:t>
            </w:r>
          </w:p>
        </w:tc>
        <w:tc>
          <w:tcPr>
            <w:tcW w:type="dxa" w:w="1872"/>
            <w:vAlign w:val="top"/>
          </w:tcPr>
          <w:p>
            <w:pPr>
              <w:spacing w:after="40"/>
            </w:pPr>
            <w:r>
              <w:rPr>
                <w:rFonts w:ascii="Liberation Sans" w:hAnsi="Liberation Sans"/>
                <w:sz w:val="16"/>
              </w:rPr>
              <w:t>Both paths in delivered code; firing untested</w:t>
            </w:r>
          </w:p>
        </w:tc>
        <w:tc>
          <w:tcPr>
            <w:tcW w:type="dxa" w:w="1512"/>
            <w:vAlign w:val="top"/>
          </w:tcPr>
          <w:p>
            <w:pPr>
              <w:spacing w:after="40"/>
            </w:pPr>
            <w:r>
              <w:rPr>
                <w:rFonts w:ascii="Liberation Sans" w:hAnsi="Liberation Sans"/>
                <w:sz w:val="16"/>
              </w:rPr>
              <w:t>Unknown</w:t>
            </w:r>
          </w:p>
        </w:tc>
      </w:tr>
      <w:tr>
        <w:trPr>
          <w:cantSplit/>
        </w:trPr>
        <w:tc>
          <w:tcPr>
            <w:tcW w:type="dxa" w:w="1512"/>
            <w:vAlign w:val="top"/>
            <w:shd w:fill="F0F5F8"/>
          </w:tcPr>
          <w:p>
            <w:pPr>
              <w:spacing w:after="40"/>
            </w:pPr>
            <w:r>
              <w:rPr>
                <w:rFonts w:ascii="Liberation Sans" w:hAnsi="Liberation Sans"/>
                <w:sz w:val="16"/>
              </w:rPr>
              <w:t>Floodlight</w:t>
            </w:r>
          </w:p>
        </w:tc>
        <w:tc>
          <w:tcPr>
            <w:tcW w:type="dxa" w:w="1656"/>
            <w:vAlign w:val="top"/>
            <w:shd w:fill="F0F5F8"/>
          </w:tcPr>
          <w:p>
            <w:pPr>
              <w:spacing w:after="40"/>
            </w:pPr>
            <w:r>
              <w:rPr>
                <w:rFonts w:ascii="Liberation Sans" w:hAnsi="Liberation Sans"/>
                <w:sz w:val="16"/>
              </w:rPr>
              <w:t>Base and conversion code</w:t>
            </w:r>
          </w:p>
        </w:tc>
        <w:tc>
          <w:tcPr>
            <w:tcW w:type="dxa" w:w="1656"/>
            <w:vAlign w:val="top"/>
            <w:shd w:fill="F0F5F8"/>
          </w:tcPr>
          <w:p>
            <w:pPr>
              <w:spacing w:after="40"/>
            </w:pPr>
            <w:r>
              <w:rPr>
                <w:rFonts w:ascii="Liberation Sans" w:hAnsi="Liberation Sans"/>
                <w:sz w:val="16"/>
              </w:rPr>
              <w:t>No deployed Google rule</w:t>
            </w:r>
          </w:p>
        </w:tc>
        <w:tc>
          <w:tcPr>
            <w:tcW w:type="dxa" w:w="1728"/>
            <w:vAlign w:val="top"/>
            <w:shd w:fill="F0F5F8"/>
          </w:tcPr>
          <w:p>
            <w:pPr>
              <w:spacing w:after="40"/>
            </w:pPr>
            <w:r>
              <w:rPr>
                <w:rFonts w:ascii="Liberation Sans" w:hAnsi="Liberation Sans"/>
                <w:sz w:val="16"/>
              </w:rPr>
              <w:t>May emit tms_floodlight events</w:t>
            </w:r>
          </w:p>
        </w:tc>
        <w:tc>
          <w:tcPr>
            <w:tcW w:type="dxa" w:w="1872"/>
            <w:vAlign w:val="top"/>
            <w:shd w:fill="F0F5F8"/>
          </w:tcPr>
          <w:p>
            <w:pPr>
              <w:spacing w:after="40"/>
            </w:pPr>
            <w:r>
              <w:rPr>
                <w:rFonts w:ascii="Liberation Sans" w:hAnsi="Liberation Sans"/>
                <w:sz w:val="16"/>
              </w:rPr>
              <w:t>No overlap found</w:t>
            </w:r>
          </w:p>
        </w:tc>
        <w:tc>
          <w:tcPr>
            <w:tcW w:type="dxa" w:w="1512"/>
            <w:vAlign w:val="top"/>
            <w:shd w:fill="F0F5F8"/>
          </w:tcPr>
          <w:p>
            <w:pPr>
              <w:spacing w:after="40"/>
            </w:pPr>
            <w:r>
              <w:rPr>
                <w:rFonts w:ascii="Liberation Sans" w:hAnsi="Liberation Sans"/>
                <w:sz w:val="16"/>
              </w:rPr>
              <w:t>Ensighten current state</w:t>
            </w:r>
          </w:p>
        </w:tc>
      </w:tr>
      <w:tr>
        <w:trPr>
          <w:cantSplit/>
        </w:trPr>
        <w:tc>
          <w:tcPr>
            <w:tcW w:type="dxa" w:w="1512"/>
            <w:vAlign w:val="top"/>
          </w:tcPr>
          <w:p>
            <w:pPr>
              <w:spacing w:after="40"/>
            </w:pPr>
            <w:r>
              <w:rPr>
                <w:rFonts w:ascii="Liberation Sans" w:hAnsi="Liberation Sans"/>
                <w:sz w:val="16"/>
              </w:rPr>
              <w:t>Microsoft UET</w:t>
            </w:r>
          </w:p>
        </w:tc>
        <w:tc>
          <w:tcPr>
            <w:tcW w:type="dxa" w:w="1656"/>
            <w:vAlign w:val="top"/>
          </w:tcPr>
          <w:p>
            <w:pPr>
              <w:spacing w:after="40"/>
            </w:pPr>
            <w:r>
              <w:rPr>
                <w:rFonts w:ascii="Liberation Sans" w:hAnsi="Liberation Sans"/>
                <w:sz w:val="16"/>
              </w:rPr>
              <w:t>Three public IDs in banking/mortgage code</w:t>
            </w:r>
          </w:p>
        </w:tc>
        <w:tc>
          <w:tcPr>
            <w:tcW w:type="dxa" w:w="1656"/>
            <w:vAlign w:val="top"/>
          </w:tcPr>
          <w:p>
            <w:pPr>
              <w:spacing w:after="40"/>
            </w:pPr>
            <w:r>
              <w:rPr>
                <w:rFonts w:ascii="Liberation Sans" w:hAnsi="Liberation Sans"/>
                <w:sz w:val="16"/>
              </w:rPr>
              <w:t>No deployed UET rule</w:t>
            </w:r>
          </w:p>
        </w:tc>
        <w:tc>
          <w:tcPr>
            <w:tcW w:type="dxa" w:w="1728"/>
            <w:vAlign w:val="top"/>
          </w:tcPr>
          <w:p>
            <w:pPr>
              <w:spacing w:after="40"/>
            </w:pPr>
            <w:r>
              <w:rPr>
                <w:rFonts w:ascii="Liberation Sans" w:hAnsi="Liberation Sans"/>
                <w:sz w:val="16"/>
              </w:rPr>
              <w:t>Emits named banking/mortgage events</w:t>
            </w:r>
          </w:p>
        </w:tc>
        <w:tc>
          <w:tcPr>
            <w:tcW w:type="dxa" w:w="1872"/>
            <w:vAlign w:val="top"/>
          </w:tcPr>
          <w:p>
            <w:pPr>
              <w:spacing w:after="40"/>
            </w:pPr>
            <w:r>
              <w:rPr>
                <w:rFonts w:ascii="Liberation Sans" w:hAnsi="Liberation Sans"/>
                <w:sz w:val="16"/>
              </w:rPr>
              <w:t>No overlap found</w:t>
            </w:r>
          </w:p>
        </w:tc>
        <w:tc>
          <w:tcPr>
            <w:tcW w:type="dxa" w:w="1512"/>
            <w:vAlign w:val="top"/>
          </w:tcPr>
          <w:p>
            <w:pPr>
              <w:spacing w:after="40"/>
            </w:pPr>
            <w:r>
              <w:rPr>
                <w:rFonts w:ascii="Liberation Sans" w:hAnsi="Liberation Sans"/>
                <w:sz w:val="16"/>
              </w:rPr>
              <w:t>Delivered code; firing unknown</w:t>
            </w:r>
          </w:p>
        </w:tc>
      </w:tr>
      <w:tr>
        <w:trPr>
          <w:cantSplit/>
        </w:trPr>
        <w:tc>
          <w:tcPr>
            <w:tcW w:type="dxa" w:w="1512"/>
            <w:vAlign w:val="top"/>
            <w:shd w:fill="F0F5F8"/>
          </w:tcPr>
          <w:p>
            <w:pPr>
              <w:spacing w:after="40"/>
            </w:pPr>
            <w:r>
              <w:rPr>
                <w:rFonts w:ascii="Liberation Sans" w:hAnsi="Liberation Sans"/>
                <w:sz w:val="16"/>
              </w:rPr>
              <w:t>Zync</w:t>
            </w:r>
          </w:p>
        </w:tc>
        <w:tc>
          <w:tcPr>
            <w:tcW w:type="dxa" w:w="1656"/>
            <w:vAlign w:val="top"/>
            <w:shd w:fill="F0F5F8"/>
          </w:tcPr>
          <w:p>
            <w:pPr>
              <w:spacing w:after="40"/>
            </w:pPr>
            <w:r>
              <w:rPr>
                <w:rFonts w:ascii="Liberation Sans" w:hAnsi="Liberation Sans"/>
                <w:sz w:val="16"/>
              </w:rPr>
              <w:t>Rezync sync code</w:t>
            </w:r>
          </w:p>
        </w:tc>
        <w:tc>
          <w:tcPr>
            <w:tcW w:type="dxa" w:w="1656"/>
            <w:vAlign w:val="top"/>
            <w:shd w:fill="F0F5F8"/>
          </w:tcPr>
          <w:p>
            <w:pPr>
              <w:spacing w:after="40"/>
            </w:pPr>
            <w:r>
              <w:rPr>
                <w:rFonts w:ascii="Liberation Sans" w:hAnsi="Liberation Sans"/>
                <w:sz w:val="16"/>
              </w:rPr>
              <w:t>Best Buy path Zync rule</w:t>
            </w:r>
          </w:p>
        </w:tc>
        <w:tc>
          <w:tcPr>
            <w:tcW w:type="dxa" w:w="1728"/>
            <w:vAlign w:val="top"/>
            <w:shd w:fill="F0F5F8"/>
          </w:tcPr>
          <w:p>
            <w:pPr>
              <w:spacing w:after="40"/>
            </w:pPr>
            <w:r>
              <w:rPr>
                <w:rFonts w:ascii="Liberation Sans" w:hAnsi="Liberation Sans"/>
                <w:sz w:val="16"/>
              </w:rPr>
              <w:t>Supplies _dl values</w:t>
            </w:r>
          </w:p>
        </w:tc>
        <w:tc>
          <w:tcPr>
            <w:tcW w:type="dxa" w:w="1872"/>
            <w:vAlign w:val="top"/>
            <w:shd w:fill="F0F5F8"/>
          </w:tcPr>
          <w:p>
            <w:pPr>
              <w:spacing w:after="40"/>
            </w:pPr>
            <w:r>
              <w:rPr>
                <w:rFonts w:ascii="Liberation Sans" w:hAnsi="Liberation Sans"/>
                <w:sz w:val="16"/>
              </w:rPr>
              <w:t>Code in both; duplicate firing untested</w:t>
            </w:r>
          </w:p>
        </w:tc>
        <w:tc>
          <w:tcPr>
            <w:tcW w:type="dxa" w:w="1512"/>
            <w:vAlign w:val="top"/>
            <w:shd w:fill="F0F5F8"/>
          </w:tcPr>
          <w:p>
            <w:pPr>
              <w:spacing w:after="40"/>
            </w:pPr>
            <w:r>
              <w:rPr>
                <w:rFonts w:ascii="Liberation Sans" w:hAnsi="Liberation Sans"/>
                <w:sz w:val="16"/>
              </w:rPr>
              <w:t>Unknown</w:t>
            </w:r>
          </w:p>
        </w:tc>
      </w:tr>
      <w:tr>
        <w:trPr>
          <w:cantSplit/>
        </w:trPr>
        <w:tc>
          <w:tcPr>
            <w:tcW w:type="dxa" w:w="1512"/>
            <w:vAlign w:val="top"/>
          </w:tcPr>
          <w:p>
            <w:pPr>
              <w:spacing w:after="40"/>
            </w:pPr>
            <w:r>
              <w:rPr>
                <w:rFonts w:ascii="Liberation Sans" w:hAnsi="Liberation Sans"/>
                <w:sz w:val="16"/>
              </w:rPr>
              <w:t>Identity / audience</w:t>
            </w:r>
          </w:p>
        </w:tc>
        <w:tc>
          <w:tcPr>
            <w:tcW w:type="dxa" w:w="1656"/>
            <w:vAlign w:val="top"/>
          </w:tcPr>
          <w:p>
            <w:pPr>
              <w:spacing w:after="40"/>
            </w:pPr>
            <w:r>
              <w:rPr>
                <w:rFonts w:ascii="Liberation Sans" w:hAnsi="Liberation Sans"/>
                <w:sz w:val="16"/>
              </w:rPr>
              <w:t>LiveRamp and RFIhub code</w:t>
            </w:r>
          </w:p>
        </w:tc>
        <w:tc>
          <w:tcPr>
            <w:tcW w:type="dxa" w:w="1656"/>
            <w:vAlign w:val="top"/>
          </w:tcPr>
          <w:p>
            <w:pPr>
              <w:spacing w:after="40"/>
            </w:pPr>
            <w:r>
              <w:rPr>
                <w:rFonts w:ascii="Liberation Sans" w:hAnsi="Liberation Sans"/>
                <w:sz w:val="16"/>
              </w:rPr>
              <w:t>ECID and Adobe Edge</w:t>
            </w:r>
          </w:p>
        </w:tc>
        <w:tc>
          <w:tcPr>
            <w:tcW w:type="dxa" w:w="1728"/>
            <w:vAlign w:val="top"/>
          </w:tcPr>
          <w:p>
            <w:pPr>
              <w:spacing w:after="40"/>
            </w:pPr>
            <w:r>
              <w:rPr>
                <w:rFonts w:ascii="Liberation Sans" w:hAnsi="Liberation Sans"/>
                <w:sz w:val="16"/>
              </w:rPr>
              <w:t>Supplies identity fields in some flows</w:t>
            </w:r>
          </w:p>
        </w:tc>
        <w:tc>
          <w:tcPr>
            <w:tcW w:type="dxa" w:w="1872"/>
            <w:vAlign w:val="top"/>
          </w:tcPr>
          <w:p>
            <w:pPr>
              <w:spacing w:after="40"/>
            </w:pPr>
            <w:r>
              <w:rPr>
                <w:rFonts w:ascii="Liberation Sans" w:hAnsi="Liberation Sans"/>
                <w:sz w:val="16"/>
              </w:rPr>
              <w:t>Shared fields, different destinations</w:t>
            </w:r>
          </w:p>
        </w:tc>
        <w:tc>
          <w:tcPr>
            <w:tcW w:type="dxa" w:w="1512"/>
            <w:vAlign w:val="top"/>
          </w:tcPr>
          <w:p>
            <w:pPr>
              <w:spacing w:after="40"/>
            </w:pPr>
            <w:r>
              <w:rPr>
                <w:rFonts w:ascii="Liberation Sans" w:hAnsi="Liberation Sans"/>
                <w:sz w:val="16"/>
              </w:rPr>
              <w:t>Unknown</w:t>
            </w:r>
          </w:p>
        </w:tc>
      </w:tr>
      <w:tr>
        <w:trPr>
          <w:cantSplit/>
        </w:trPr>
        <w:tc>
          <w:tcPr>
            <w:tcW w:type="dxa" w:w="1512"/>
            <w:vAlign w:val="top"/>
            <w:shd w:fill="F0F5F8"/>
          </w:tcPr>
          <w:p>
            <w:pPr>
              <w:spacing w:after="40"/>
            </w:pPr>
            <w:r>
              <w:rPr>
                <w:rFonts w:ascii="Liberation Sans" w:hAnsi="Liberation Sans"/>
                <w:sz w:val="16"/>
              </w:rPr>
              <w:t>Consent</w:t>
            </w:r>
          </w:p>
        </w:tc>
        <w:tc>
          <w:tcPr>
            <w:tcW w:type="dxa" w:w="1656"/>
            <w:vAlign w:val="top"/>
            <w:shd w:fill="F0F5F8"/>
          </w:tcPr>
          <w:p>
            <w:pPr>
              <w:spacing w:after="40"/>
            </w:pPr>
            <w:r>
              <w:rPr>
                <w:rFonts w:ascii="Liberation Sans" w:hAnsi="Liberation Sans"/>
                <w:sz w:val="16"/>
              </w:rPr>
              <w:t>Privacy and vendor conditions</w:t>
            </w:r>
          </w:p>
        </w:tc>
        <w:tc>
          <w:tcPr>
            <w:tcW w:type="dxa" w:w="1656"/>
            <w:vAlign w:val="top"/>
            <w:shd w:fill="F0F5F8"/>
          </w:tcPr>
          <w:p>
            <w:pPr>
              <w:spacing w:after="40"/>
            </w:pPr>
            <w:r>
              <w:rPr>
                <w:rFonts w:ascii="Liberation Sans" w:hAnsi="Liberation Sans"/>
                <w:sz w:val="16"/>
              </w:rPr>
              <w:t>Analytics and Target cookie gates</w:t>
            </w:r>
          </w:p>
        </w:tc>
        <w:tc>
          <w:tcPr>
            <w:tcW w:type="dxa" w:w="1728"/>
            <w:vAlign w:val="top"/>
            <w:shd w:fill="F0F5F8"/>
          </w:tcPr>
          <w:p>
            <w:pPr>
              <w:spacing w:after="40"/>
            </w:pPr>
            <w:r>
              <w:rPr>
                <w:rFonts w:ascii="Liberation Sans" w:hAnsi="Liberation Sans"/>
                <w:sz w:val="16"/>
              </w:rPr>
              <w:t>Supplies state / cookies</w:t>
            </w:r>
          </w:p>
        </w:tc>
        <w:tc>
          <w:tcPr>
            <w:tcW w:type="dxa" w:w="1872"/>
            <w:vAlign w:val="top"/>
            <w:shd w:fill="F0F5F8"/>
          </w:tcPr>
          <w:p>
            <w:pPr>
              <w:spacing w:after="40"/>
            </w:pPr>
            <w:r>
              <w:rPr>
                <w:rFonts w:ascii="Liberation Sans" w:hAnsi="Liberation Sans"/>
                <w:sz w:val="16"/>
              </w:rPr>
              <w:t>Combinations untested</w:t>
            </w:r>
          </w:p>
        </w:tc>
        <w:tc>
          <w:tcPr>
            <w:tcW w:type="dxa" w:w="1512"/>
            <w:vAlign w:val="top"/>
            <w:shd w:fill="F0F5F8"/>
          </w:tcPr>
          <w:p>
            <w:pPr>
              <w:spacing w:after="40"/>
            </w:pPr>
            <w:r>
              <w:rPr>
                <w:rFonts w:ascii="Liberation Sans" w:hAnsi="Liberation Sans"/>
                <w:sz w:val="16"/>
              </w:rPr>
              <w:t>Unknown</w:t>
            </w:r>
          </w:p>
        </w:tc>
      </w:tr>
    </w:tbl>
    <w:p>
      <w:pPr>
        <w:spacing w:after="20"/>
      </w:pPr>
    </w:p>
    <w:p>
      <w:pPr>
        <w:pStyle w:val="Heading1"/>
      </w:pPr>
      <w:r>
        <w:t>11 Existing migration patterns</w:t>
      </w:r>
    </w:p>
    <w:p>
      <w:r>
        <w:t>A reusable public pattern is visible for Adobe Analytics: application object, _dl assignment, direct call, data-element and rule mapping, then Web SDK Send Event. Zync code appears in both Ensighten and Launch, showing at least a Launch implementation of one vendor path. Public evidence does not establish a completed replacement, parity or cutover. No other old-to-new vendor migration should be asserted from this sample.</w:t>
      </w:r>
    </w:p>
    <w:tbl>
      <w:tblPr>
        <w:tblStyle w:val="TableGrid"/>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cantSplit/>
        </w:trPr>
        <w:tc>
          <w:tcPr>
            <w:tcW w:type="dxa" w:w="1944"/>
            <w:shd w:fill="0F355C"/>
            <w:vAlign w:val="center"/>
          </w:tcPr>
          <w:p>
            <w:r>
              <w:rPr>
                <w:rFonts w:ascii="Liberation Sans" w:hAnsi="Liberation Sans"/>
                <w:b/>
                <w:color w:val="FFFFFF"/>
                <w:sz w:val="16"/>
              </w:rPr>
              <w:t>Old Ensighten pattern</w:t>
            </w:r>
          </w:p>
        </w:tc>
        <w:tc>
          <w:tcPr>
            <w:tcW w:type="dxa" w:w="1944"/>
            <w:shd w:fill="0F355C"/>
            <w:vAlign w:val="center"/>
          </w:tcPr>
          <w:p>
            <w:r>
              <w:rPr>
                <w:rFonts w:ascii="Liberation Sans" w:hAnsi="Liberation Sans"/>
                <w:b/>
                <w:color w:val="FFFFFF"/>
                <w:sz w:val="16"/>
              </w:rPr>
              <w:t>New Launch pattern</w:t>
            </w:r>
          </w:p>
        </w:tc>
        <w:tc>
          <w:tcPr>
            <w:tcW w:type="dxa" w:w="1944"/>
            <w:shd w:fill="0F355C"/>
            <w:vAlign w:val="center"/>
          </w:tcPr>
          <w:p>
            <w:r>
              <w:rPr>
                <w:rFonts w:ascii="Liberation Sans" w:hAnsi="Liberation Sans"/>
                <w:b/>
                <w:color w:val="FFFFFF"/>
                <w:sz w:val="16"/>
              </w:rPr>
              <w:t>What changed</w:t>
            </w:r>
          </w:p>
        </w:tc>
        <w:tc>
          <w:tcPr>
            <w:tcW w:type="dxa" w:w="1944"/>
            <w:shd w:fill="0F355C"/>
            <w:vAlign w:val="center"/>
          </w:tcPr>
          <w:p>
            <w:r>
              <w:rPr>
                <w:rFonts w:ascii="Liberation Sans" w:hAnsi="Liberation Sans"/>
                <w:b/>
                <w:color w:val="FFFFFF"/>
                <w:sz w:val="16"/>
              </w:rPr>
              <w:t>What remained</w:t>
            </w:r>
          </w:p>
        </w:tc>
        <w:tc>
          <w:tcPr>
            <w:tcW w:type="dxa" w:w="2160"/>
            <w:shd w:fill="0F355C"/>
            <w:vAlign w:val="center"/>
          </w:tcPr>
          <w:p>
            <w:r>
              <w:rPr>
                <w:rFonts w:ascii="Liberation Sans" w:hAnsi="Liberation Sans"/>
                <w:b/>
                <w:color w:val="FFFFFF"/>
                <w:sz w:val="16"/>
              </w:rPr>
              <w:t>Reusable pattern</w:t>
            </w:r>
          </w:p>
        </w:tc>
      </w:tr>
      <w:tr>
        <w:trPr>
          <w:cantSplit/>
        </w:trPr>
        <w:tc>
          <w:tcPr>
            <w:tcW w:type="dxa" w:w="1944"/>
            <w:vAlign w:val="top"/>
            <w:shd w:fill="F0F5F8"/>
          </w:tcPr>
          <w:p>
            <w:pPr>
              <w:spacing w:after="40"/>
            </w:pPr>
            <w:r>
              <w:rPr>
                <w:rFonts w:ascii="Liberation Sans" w:hAnsi="Liberation Sans"/>
                <w:sz w:val="16"/>
              </w:rPr>
              <w:t>Legacy _trackAnalytics event path in delivered module</w:t>
            </w:r>
          </w:p>
        </w:tc>
        <w:tc>
          <w:tcPr>
            <w:tcW w:type="dxa" w:w="1944"/>
            <w:vAlign w:val="top"/>
            <w:shd w:fill="F0F5F8"/>
          </w:tcPr>
          <w:p>
            <w:pPr>
              <w:spacing w:after="40"/>
            </w:pPr>
            <w:r>
              <w:rPr>
                <w:rFonts w:ascii="Liberation Sans" w:hAnsi="Liberation Sans"/>
                <w:sz w:val="16"/>
              </w:rPr>
              <w:t>Application object to _dl, direct call, Web SDK Send Event</w:t>
            </w:r>
          </w:p>
        </w:tc>
        <w:tc>
          <w:tcPr>
            <w:tcW w:type="dxa" w:w="1944"/>
            <w:vAlign w:val="top"/>
            <w:shd w:fill="F0F5F8"/>
          </w:tcPr>
          <w:p>
            <w:pPr>
              <w:spacing w:after="40"/>
            </w:pPr>
            <w:r>
              <w:rPr>
                <w:rFonts w:ascii="Liberation Sans" w:hAnsi="Liberation Sans"/>
                <w:sz w:val="16"/>
              </w:rPr>
              <w:t>Analytics mapping and transport visible in Launch</w:t>
            </w:r>
          </w:p>
        </w:tc>
        <w:tc>
          <w:tcPr>
            <w:tcW w:type="dxa" w:w="1944"/>
            <w:vAlign w:val="top"/>
            <w:shd w:fill="F0F5F8"/>
          </w:tcPr>
          <w:p>
            <w:pPr>
              <w:spacing w:after="40"/>
            </w:pPr>
            <w:r>
              <w:rPr>
                <w:rFonts w:ascii="Liberation Sans" w:hAnsi="Liberation Sans"/>
                <w:sz w:val="16"/>
              </w:rPr>
              <w:t>Application analytics object and shared globals</w:t>
            </w:r>
          </w:p>
        </w:tc>
        <w:tc>
          <w:tcPr>
            <w:tcW w:type="dxa" w:w="2160"/>
            <w:vAlign w:val="top"/>
            <w:shd w:fill="F0F5F8"/>
          </w:tcPr>
          <w:p>
            <w:pPr>
              <w:spacing w:after="40"/>
            </w:pPr>
            <w:r>
              <w:rPr>
                <w:rFonts w:ascii="Liberation Sans" w:hAnsi="Liberation Sans"/>
                <w:sz w:val="16"/>
              </w:rPr>
              <w:t>Application call → named rule → mapped destination; cutover unknown</w:t>
            </w:r>
          </w:p>
        </w:tc>
      </w:tr>
      <w:tr>
        <w:trPr>
          <w:cantSplit/>
        </w:trPr>
        <w:tc>
          <w:tcPr>
            <w:tcW w:type="dxa" w:w="1944"/>
            <w:vAlign w:val="top"/>
          </w:tcPr>
          <w:p>
            <w:pPr>
              <w:spacing w:after="40"/>
            </w:pPr>
            <w:r>
              <w:rPr>
                <w:rFonts w:ascii="Liberation Sans" w:hAnsi="Liberation Sans"/>
                <w:sz w:val="16"/>
              </w:rPr>
              <w:t>Rezync sync URL assembled in Ensighten</w:t>
            </w:r>
          </w:p>
        </w:tc>
        <w:tc>
          <w:tcPr>
            <w:tcW w:type="dxa" w:w="1944"/>
            <w:vAlign w:val="top"/>
          </w:tcPr>
          <w:p>
            <w:pPr>
              <w:spacing w:after="40"/>
            </w:pPr>
            <w:r>
              <w:rPr>
                <w:rFonts w:ascii="Liberation Sans" w:hAnsi="Liberation Sans"/>
                <w:sz w:val="16"/>
              </w:rPr>
              <w:t>Best Buy page rule assembles Rezync URL in Launch</w:t>
            </w:r>
          </w:p>
        </w:tc>
        <w:tc>
          <w:tcPr>
            <w:tcW w:type="dxa" w:w="1944"/>
            <w:vAlign w:val="top"/>
          </w:tcPr>
          <w:p>
            <w:pPr>
              <w:spacing w:after="40"/>
            </w:pPr>
            <w:r>
              <w:rPr>
                <w:rFonts w:ascii="Liberation Sans" w:hAnsi="Liberation Sans"/>
                <w:sz w:val="16"/>
              </w:rPr>
              <w:t>A specific vendor path also exists in Launch</w:t>
            </w:r>
          </w:p>
        </w:tc>
        <w:tc>
          <w:tcPr>
            <w:tcW w:type="dxa" w:w="1944"/>
            <w:vAlign w:val="top"/>
          </w:tcPr>
          <w:p>
            <w:pPr>
              <w:spacing w:after="40"/>
            </w:pPr>
            <w:r>
              <w:rPr>
                <w:rFonts w:ascii="Liberation Sans" w:hAnsi="Liberation Sans"/>
                <w:sz w:val="16"/>
              </w:rPr>
              <w:t>_dl values and same sync endpoint</w:t>
            </w:r>
          </w:p>
        </w:tc>
        <w:tc>
          <w:tcPr>
            <w:tcW w:type="dxa" w:w="2160"/>
            <w:vAlign w:val="top"/>
          </w:tcPr>
          <w:p>
            <w:pPr>
              <w:spacing w:after="40"/>
            </w:pPr>
            <w:r>
              <w:rPr>
                <w:rFonts w:ascii="Liberation Sans" w:hAnsi="Liberation Sans"/>
                <w:sz w:val="16"/>
              </w:rPr>
              <w:t>Only implementation structure observed; parity and migration status unknown</w:t>
            </w:r>
          </w:p>
        </w:tc>
      </w:tr>
    </w:tbl>
    <w:p>
      <w:pPr>
        <w:spacing w:after="20"/>
      </w:pPr>
    </w:p>
    <w:p>
      <w:pPr>
        <w:pStyle w:val="Heading1"/>
      </w:pPr>
      <w:r>
        <w:t>12 Complexity and maintainability findings</w:t>
      </w:r>
    </w:p>
    <w:p>
      <w:pPr>
        <w:pStyle w:val="ListBullet"/>
      </w:pPr>
      <w:r>
        <w:t>The Launch event map has 257 entries, 256 distinct names and 11 numeric fields in custom code. Duplicate offer_clicked keys conflict: event121 is overridden by event88. This can hide an intended mapping.</w:t>
      </w:r>
    </w:p>
    <w:p>
      <w:pPr>
        <w:pStyle w:val="ListBullet"/>
      </w:pPr>
      <w:r>
        <w:t>Product formatting and extensive eVar/prop assignments live in large custom blocks; engineers must inspect source to understand transformations.</w:t>
      </w:r>
    </w:p>
    <w:p>
      <w:pPr>
        <w:pStyle w:val="ListBullet"/>
      </w:pPr>
      <w:r>
        <w:t>Global variables, ECID promise timing, a mortgage replay queue, legacy Ensighten replay and sessionStorage gates create sequence-sensitive behavior.</w:t>
      </w:r>
    </w:p>
    <w:p>
      <w:pPr>
        <w:pStyle w:val="ListBullet"/>
      </w:pPr>
      <w:r>
        <w:t>Ensighten vendor rules contain hardcoded DC IDs, pixel IDs, page names and random transaction IDs; console names are unavailable from public code.</w:t>
      </w:r>
    </w:p>
    <w:p>
      <w:pPr>
        <w:pStyle w:val="ListBullet"/>
      </w:pPr>
      <w:r>
        <w:t>UET rules reuse the global uetq and repeat the bat.js loader; Meta rules share fbq. Ordering and duplicate page-view effects are unverified.</w:t>
      </w:r>
    </w:p>
    <w:p>
      <w:pPr>
        <w:pStyle w:val="ListBullet"/>
      </w:pPr>
      <w:r>
        <w:t>One mortgage Rezync rule passes literal placeholder strings, and one Tapper rule contains a coded 1000 USD value. Neither was exercised in this public sample.</w:t>
      </w:r>
    </w:p>
    <w:p>
      <w:pPr>
        <w:pStyle w:val="ListBullet"/>
      </w:pPr>
      <w:r>
        <w:t>RFIhub, LiveRamp and Zync code use identity fields or URL/cookie values. The data owner should validate permitted fields and consent states.</w:t>
      </w:r>
    </w:p>
    <w:p>
      <w:pPr>
        <w:pStyle w:val="Heading1"/>
      </w:pPr>
      <w:r>
        <w:t>13 Open questions and next phase inputs</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448"/>
            <w:shd w:fill="0F355C"/>
            <w:vAlign w:val="center"/>
          </w:tcPr>
          <w:p>
            <w:r>
              <w:rPr>
                <w:rFonts w:ascii="Liberation Sans" w:hAnsi="Liberation Sans"/>
                <w:b/>
                <w:color w:val="FFFFFF"/>
                <w:sz w:val="16"/>
              </w:rPr>
              <w:t>Owner</w:t>
            </w:r>
          </w:p>
        </w:tc>
        <w:tc>
          <w:tcPr>
            <w:tcW w:type="dxa" w:w="7488"/>
            <w:shd w:fill="0F355C"/>
            <w:vAlign w:val="center"/>
          </w:tcPr>
          <w:p>
            <w:r>
              <w:rPr>
                <w:rFonts w:ascii="Liberation Sans" w:hAnsi="Liberation Sans"/>
                <w:b/>
                <w:color w:val="FFFFFF"/>
                <w:sz w:val="16"/>
              </w:rPr>
              <w:t>Evidence or decision needed</w:t>
            </w:r>
          </w:p>
        </w:tc>
      </w:tr>
      <w:tr>
        <w:trPr>
          <w:cantSplit/>
        </w:trPr>
        <w:tc>
          <w:tcPr>
            <w:tcW w:type="dxa" w:w="2448"/>
            <w:vAlign w:val="top"/>
            <w:shd w:fill="F0F5F8"/>
          </w:tcPr>
          <w:p>
            <w:pPr>
              <w:spacing w:after="40"/>
            </w:pPr>
            <w:r>
              <w:rPr>
                <w:rFonts w:ascii="Liberation Sans" w:hAnsi="Liberation Sans"/>
                <w:sz w:val="16"/>
              </w:rPr>
              <w:t>Developers and analytics</w:t>
            </w:r>
          </w:p>
        </w:tc>
        <w:tc>
          <w:tcPr>
            <w:tcW w:type="dxa" w:w="7488"/>
            <w:vAlign w:val="top"/>
            <w:shd w:fill="F0F5F8"/>
          </w:tcPr>
          <w:p>
            <w:pPr>
              <w:spacing w:after="40"/>
            </w:pPr>
            <w:r>
              <w:rPr>
                <w:rFonts w:ascii="Liberation Sans" w:hAnsi="Liberation Sans"/>
                <w:sz w:val="16"/>
              </w:rPr>
              <w:t>Canonical action_type, site_events and event contract; safe page/interaction samples; SPA route behavior; queue exact-once expectations</w:t>
            </w:r>
          </w:p>
        </w:tc>
      </w:tr>
      <w:tr>
        <w:trPr>
          <w:cantSplit/>
        </w:trPr>
        <w:tc>
          <w:tcPr>
            <w:tcW w:type="dxa" w:w="2448"/>
            <w:vAlign w:val="top"/>
          </w:tcPr>
          <w:p>
            <w:pPr>
              <w:spacing w:after="40"/>
            </w:pPr>
            <w:r>
              <w:rPr>
                <w:rFonts w:ascii="Liberation Sans" w:hAnsi="Liberation Sans"/>
                <w:sz w:val="16"/>
              </w:rPr>
              <w:t>Ensighten administrators</w:t>
            </w:r>
          </w:p>
        </w:tc>
        <w:tc>
          <w:tcPr>
            <w:tcW w:type="dxa" w:w="7488"/>
            <w:vAlign w:val="top"/>
          </w:tcPr>
          <w:p>
            <w:pPr>
              <w:spacing w:after="40"/>
            </w:pPr>
            <w:r>
              <w:rPr>
                <w:rFonts w:ascii="Liberation Sans" w:hAnsi="Liberation Sans"/>
                <w:sz w:val="16"/>
              </w:rPr>
              <w:t>Tag names, complete conditions and consent controls; UET and Floodlight rule exports; account ownership</w:t>
            </w:r>
          </w:p>
        </w:tc>
      </w:tr>
      <w:tr>
        <w:trPr>
          <w:cantSplit/>
        </w:trPr>
        <w:tc>
          <w:tcPr>
            <w:tcW w:type="dxa" w:w="2448"/>
            <w:vAlign w:val="top"/>
            <w:shd w:fill="F0F5F8"/>
          </w:tcPr>
          <w:p>
            <w:pPr>
              <w:spacing w:after="40"/>
            </w:pPr>
            <w:r>
              <w:rPr>
                <w:rFonts w:ascii="Liberation Sans" w:hAnsi="Liberation Sans"/>
                <w:sz w:val="16"/>
              </w:rPr>
              <w:t>Advertising teams</w:t>
            </w:r>
          </w:p>
        </w:tc>
        <w:tc>
          <w:tcPr>
            <w:tcW w:type="dxa" w:w="7488"/>
            <w:vAlign w:val="top"/>
            <w:shd w:fill="F0F5F8"/>
          </w:tcPr>
          <w:p>
            <w:pPr>
              <w:spacing w:after="40"/>
            </w:pPr>
            <w:r>
              <w:rPr>
                <w:rFonts w:ascii="Liberation Sans" w:hAnsi="Liberation Sans"/>
                <w:sz w:val="16"/>
              </w:rPr>
              <w:t>Purpose and owner of each DC ID/activity and the three public UET IDs; conversion value and transaction ID semantics</w:t>
            </w:r>
          </w:p>
        </w:tc>
      </w:tr>
      <w:tr>
        <w:trPr>
          <w:cantSplit/>
        </w:trPr>
        <w:tc>
          <w:tcPr>
            <w:tcW w:type="dxa" w:w="2448"/>
            <w:vAlign w:val="top"/>
          </w:tcPr>
          <w:p>
            <w:pPr>
              <w:spacing w:after="40"/>
            </w:pPr>
            <w:r>
              <w:rPr>
                <w:rFonts w:ascii="Liberation Sans" w:hAnsi="Liberation Sans"/>
                <w:sz w:val="16"/>
              </w:rPr>
              <w:t>Adobe property owners</w:t>
            </w:r>
          </w:p>
        </w:tc>
        <w:tc>
          <w:tcPr>
            <w:tcW w:type="dxa" w:w="7488"/>
            <w:vAlign w:val="top"/>
          </w:tcPr>
          <w:p>
            <w:pPr>
              <w:spacing w:after="40"/>
            </w:pPr>
            <w:r>
              <w:rPr>
                <w:rFonts w:ascii="Liberation Sans" w:hAnsi="Liberation Sans"/>
                <w:sz w:val="16"/>
              </w:rPr>
              <w:t>Unpublished rules, extension authors/versions, datastream/report-suite ownership, and Zync rollout status</w:t>
            </w:r>
          </w:p>
        </w:tc>
      </w:tr>
      <w:tr>
        <w:trPr>
          <w:cantSplit/>
        </w:trPr>
        <w:tc>
          <w:tcPr>
            <w:tcW w:type="dxa" w:w="2448"/>
            <w:vAlign w:val="top"/>
            <w:shd w:fill="F0F5F8"/>
          </w:tcPr>
          <w:p>
            <w:pPr>
              <w:spacing w:after="40"/>
            </w:pPr>
            <w:r>
              <w:rPr>
                <w:rFonts w:ascii="Liberation Sans" w:hAnsi="Liberation Sans"/>
                <w:sz w:val="16"/>
              </w:rPr>
              <w:t>Privacy team</w:t>
            </w:r>
          </w:p>
        </w:tc>
        <w:tc>
          <w:tcPr>
            <w:tcW w:type="dxa" w:w="7488"/>
            <w:vAlign w:val="top"/>
            <w:shd w:fill="F0F5F8"/>
          </w:tcPr>
          <w:p>
            <w:pPr>
              <w:spacing w:after="40"/>
            </w:pPr>
            <w:r>
              <w:rPr>
                <w:rFonts w:ascii="Liberation Sans" w:hAnsi="Liberation Sans"/>
                <w:sz w:val="16"/>
              </w:rPr>
              <w:t>Allowed identity fields and vendor behavior across consent states</w:t>
            </w:r>
          </w:p>
        </w:tc>
      </w:tr>
    </w:tbl>
    <w:p>
      <w:pPr>
        <w:spacing w:after="20"/>
      </w:pPr>
    </w:p>
    <w:p>
      <w:pPr>
        <w:keepNext/>
        <w:keepLines/>
      </w:pPr>
      <w:r>
        <w:t>The next migration-design phase should assess event parity, approved parameters, consent, duplicate-beacon behavior, extension support and maintainability using those inputs. This document does not choose a migration design.</w:t>
      </w:r>
    </w:p>
    <w:p>
      <w:pPr>
        <w:pStyle w:val="Heading1"/>
      </w:pPr>
      <w:r>
        <w:t>Evidence sources</w:t>
      </w:r>
    </w:p>
    <w:p>
      <w:r>
        <w:t>Public Launch build: https://assets.adobedtm.com/cfd99e2e6a3f/33ea238d06e1/launch-253fe6f30019.min.js</w:t>
      </w:r>
    </w:p>
    <w:p>
      <w:r>
        <w:t>Ensighten bootstrap: https://nexus.ensighten.com/citi/na_prod/Bootstrap.js</w:t>
      </w:r>
    </w:p>
    <w:p>
      <w:r>
        <w:t>Ensighten binding index: evidence/notes/ensighten_bindings_2026-09-29.csv</w:t>
      </w:r>
    </w:p>
    <w:p>
      <w:r>
        <w:t>Ensighten deep dive: outputs/01a0d919-7da4-7791-b567-cd3913c2e6d9/Citi_Ensighten_Tag_Management_Deep_Dive.md</w:t>
      </w:r>
    </w:p>
    <w:p>
      <w:r>
        <w:t>Adobe Bing UET catalog: https://experienceleague.adobe.com/en/docs/experience-platform/destinations/catalog/advertising/bing-ads</w:t>
      </w:r>
    </w:p>
    <w:p>
      <w:r>
        <w:t>Adobe extension support: https://experienceleague.adobe.com/en/docs/experience-platform/tags/extensions/overview</w:t>
      </w:r>
    </w:p>
    <w:p>
      <w:r>
        <w:t>Microsoft UET: https://learn.microsoft.com/en-us/advertising/guides/universal-event-tracking?view=bingads-13</w:t>
      </w:r>
    </w:p>
    <w:p>
      <w:r>
        <w:t>Google Floodlight tag fields: https://support.google.com/campaignmanager/answer/7554821?hl=en</w:t>
      </w:r>
    </w:p>
    <w:p>
      <w:r>
        <w:t>Google tag cache busting: https://support.google.com/campaignmanager/answer/7564930?hl=en</w:t>
      </w:r>
    </w:p>
    <w:p>
      <w:r>
        <w:t>Local traceability: evidence/README.md, evidence/notes/, and the companion workbook Evidence Register.</w:t>
      </w:r>
    </w:p>
    <w:sectPr w:rsidR="00FC693F" w:rsidRPr="0006063C" w:rsidSect="00034616">
      <w:pgSz w:w="12240" w:h="15840"/>
      <w:pgMar w:top="1008"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Liberation Sans" w:hAnsi="Liberation Sans"/>
      <w:color w:val="24384A"/>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Liberation Sans" w:hAnsi="Liberation Sans"/>
      <w:b/>
      <w:bCs/>
      <w:color w:val="0F355C"/>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Liberation Sans" w:hAnsi="Liberation Sans"/>
      <w:b/>
      <w:bCs/>
      <w:color w:val="0F355C"/>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60" w:line="240" w:lineRule="auto"/>
      <w:contextualSpacing/>
    </w:pPr>
    <w:rPr>
      <w:rFonts w:asciiTheme="majorHAnsi" w:eastAsiaTheme="majorEastAsia" w:hAnsiTheme="majorHAnsi" w:cstheme="majorBidi" w:ascii="Liberation Sans" w:hAnsi="Liberation Sans"/>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