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color w:val="555555"/>
          <w:sz w:val="28"/>
          <w:szCs w:val="28"/>
        </w:rPr>
        <w:t xml:space="preserve">Friesland Bonnet Rouge</w:t>
      </w:r>
    </w:p>
    <w:p>
      <w:pPr>
        <w:spacing w:after="200"/>
      </w:pPr>
      <w:r>
        <w:rPr>
          <w:b/>
          <w:bCs/>
          <w:color w:val="C8102E"/>
          <w:sz w:val="64"/>
          <w:szCs w:val="64"/>
        </w:rPr>
        <w:t xml:space="preserve">Guide de formation</w:t>
      </w:r>
    </w:p>
    <w:p>
      <w:pPr>
        <w:spacing w:after="600"/>
      </w:pPr>
      <w:r>
        <w:rPr>
          <w:color w:val="555555"/>
          <w:sz w:val="30"/>
          <w:szCs w:val="30"/>
        </w:rPr>
        <w:t xml:space="preserve">Dashboard et espace d’administration (web)</w:t>
      </w:r>
    </w:p>
    <w:p>
      <w:pPr>
        <w:spacing w:after="120"/>
      </w:pPr>
      <w:r>
        <w:rPr>
          <w:sz w:val="24"/>
          <w:szCs w:val="24"/>
        </w:rPr>
        <w:t xml:space="preserve">Session de 1 h 30 — responsables et administrateurs</w:t>
      </w:r>
    </w:p>
    <w:p>
      <w:pPr>
        <w:spacing w:after="120"/>
      </w:pPr>
      <w:r>
        <w:rPr>
          <w:color w:val="555555"/>
          <w:sz w:val="24"/>
          <w:szCs w:val="24"/>
        </w:rPr>
        <w:t xml:space="preserve">Septembre 2026 — version applicative 1.0.0</w:t>
      </w:r>
    </w:p>
    <w:p>
      <w:pPr>
        <w:spacing w:before="3000"/>
      </w:pPr>
      <w:r>
        <w:rPr>
          <w:color w:val="555555"/>
          <w:sz w:val="22"/>
          <w:szCs w:val="22"/>
        </w:rPr>
        <w:t xml:space="preserve">Préparé par Big Five</w:t>
      </w:r>
    </w:p>
    <w:p>
      <w:r>
        <w:br w:type="page"/>
      </w:r>
    </w:p>
    <w:p>
      <w:pPr>
        <w:pStyle w:val="Heading1"/>
        <w:spacing w:after="200" w:before="360"/>
      </w:pPr>
      <w:r>
        <w:t xml:space="preserve">Sommaire</w:t>
      </w:r>
    </w:p>
    <w:p>
      <w:pPr>
        <w:spacing w:after="140"/>
      </w:pPr>
      <w:r>
        <w:rPr>
          <w:sz w:val="24"/>
          <w:szCs w:val="24"/>
        </w:rPr>
        <w:t xml:space="preserve">Programme de la session (1 h 30)</w:t>
      </w:r>
    </w:p>
    <w:p>
      <w:pPr>
        <w:spacing w:after="140"/>
      </w:pPr>
      <w:r>
        <w:rPr>
          <w:sz w:val="24"/>
          <w:szCs w:val="24"/>
        </w:rPr>
        <w:t xml:space="preserve">1. Introduction — à quoi sert l’application, Perfect Store, rôles, première connexion</w:t>
      </w:r>
    </w:p>
    <w:p>
      <w:pPr>
        <w:spacing w:after="140"/>
      </w:pPr>
      <w:r>
        <w:rPr>
          <w:sz w:val="24"/>
          <w:szCs w:val="24"/>
        </w:rPr>
        <w:t xml:space="preserve">2. Ce que le terrain saisit — les 11 étapes vues du responsable</w:t>
      </w:r>
    </w:p>
    <w:p>
      <w:pPr>
        <w:spacing w:after="140"/>
      </w:pPr>
      <w:r>
        <w:rPr>
          <w:sz w:val="24"/>
          <w:szCs w:val="24"/>
        </w:rPr>
        <w:t xml:space="preserve">3. Piloter avec le dashboard</w:t>
      </w:r>
    </w:p>
    <w:p>
      <w:pPr>
        <w:spacing w:after="140"/>
      </w:pPr>
      <w:r>
        <w:rPr>
          <w:sz w:val="24"/>
          <w:szCs w:val="24"/>
        </w:rPr>
        <w:t xml:space="preserve">4. Visites, PDV et utilisateurs</w:t>
      </w:r>
    </w:p>
    <w:p>
      <w:pPr>
        <w:spacing w:after="140"/>
      </w:pPr>
      <w:r>
        <w:rPr>
          <w:sz w:val="24"/>
          <w:szCs w:val="24"/>
        </w:rPr>
        <w:t xml:space="preserve">5. Standards et référentiels — où régler quoi, dépannage</w:t>
      </w:r>
    </w:p>
    <w:p>
      <w:pPr>
        <w:spacing w:after="140"/>
      </w:pPr>
      <w:r>
        <w:rPr>
          <w:sz w:val="24"/>
          <w:szCs w:val="24"/>
        </w:rPr>
        <w:t xml:space="preserve">6. Pour conclure — les trois réflexes du responsable</w:t>
      </w:r>
    </w:p>
    <w:p>
      <w:pPr>
        <w:spacing w:after="140"/>
      </w:pPr>
      <w:r>
        <w:rPr>
          <w:sz w:val="24"/>
          <w:szCs w:val="24"/>
        </w:rPr>
        <w:t xml:space="preserve">Annexe A — Accès</w:t>
      </w:r>
    </w:p>
    <w:p>
      <w:r>
        <w:br w:type="page"/>
      </w:r>
    </w:p>
    <w:p>
      <w:pPr>
        <w:pStyle w:val="Heading1"/>
        <w:spacing w:after="200" w:before="360"/>
      </w:pPr>
      <w:r>
        <w:t xml:space="preserve">Programme de la session (1 h 30)</w:t>
      </w:r>
    </w:p>
    <w:p>
      <w:pPr>
        <w:spacing w:after="120"/>
      </w:pPr>
      <w:r>
        <w:rPr>
          <w:sz w:val="22"/>
          <w:szCs w:val="22"/>
        </w:rPr>
        <w:t xml:space="preserve">La formation alterne démonstration sur écran et pratique sur ordinateur. Chaque module se termine par un exercice court. À la fin, chaque responsable saura lire le dashboard, retrouver une visite et ses photos, gérer un compte et modifier un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shd w:fill="C8102E" w:val="clear"/>
            <w:tcMar>
              <w:top w:type="dxa" w:w="80"/>
              <w:left w:type="dxa" w:w="120"/>
              <w:bottom w:type="dxa" w:w="80"/>
              <w:right w:type="dxa" w:w="120"/>
            </w:tcMar>
          </w:tcPr>
          <w:p>
            <w:r>
              <w:rPr>
                <w:b/>
                <w:bCs/>
                <w:color w:val="FFFFFF"/>
                <w:sz w:val="20"/>
                <w:szCs w:val="20"/>
              </w:rPr>
              <w:t xml:space="preserve">Horaire</w:t>
            </w:r>
          </w:p>
        </w:tc>
        <w:tc>
          <w:tcPr>
            <w:tcW w:type="dxa" w:w="2800"/>
            <w:shd w:fill="C8102E" w:val="clear"/>
            <w:tcMar>
              <w:top w:type="dxa" w:w="80"/>
              <w:left w:type="dxa" w:w="120"/>
              <w:bottom w:type="dxa" w:w="80"/>
              <w:right w:type="dxa" w:w="120"/>
            </w:tcMar>
          </w:tcPr>
          <w:p>
            <w:r>
              <w:rPr>
                <w:b/>
                <w:bCs/>
                <w:color w:val="FFFFFF"/>
                <w:sz w:val="20"/>
                <w:szCs w:val="20"/>
              </w:rPr>
              <w:t xml:space="preserve">Module</w:t>
            </w:r>
          </w:p>
        </w:tc>
        <w:tc>
          <w:tcPr>
            <w:tcW w:type="dxa" w:w="4960"/>
            <w:shd w:fill="C8102E" w:val="clear"/>
            <w:tcMar>
              <w:top w:type="dxa" w:w="80"/>
              <w:left w:type="dxa" w:w="120"/>
              <w:bottom w:type="dxa" w:w="80"/>
              <w:right w:type="dxa" w:w="120"/>
            </w:tcMar>
          </w:tcPr>
          <w:p>
            <w:r>
              <w:rPr>
                <w:b/>
                <w:bCs/>
                <w:color w:val="FFFFFF"/>
                <w:sz w:val="20"/>
                <w:szCs w:val="20"/>
              </w:rPr>
              <w:t xml:space="preserve">Contenu</w:t>
            </w:r>
          </w:p>
        </w:tc>
      </w:tr>
      <w:tr>
        <w:tc>
          <w:tcPr>
            <w:tcW w:type="dxa" w:w="1600"/>
            <w:tcMar>
              <w:top w:type="dxa" w:w="80"/>
              <w:left w:type="dxa" w:w="120"/>
              <w:bottom w:type="dxa" w:w="80"/>
              <w:right w:type="dxa" w:w="120"/>
            </w:tcMar>
          </w:tcPr>
          <w:p>
            <w:r>
              <w:rPr>
                <w:b w:val="false"/>
                <w:bCs w:val="false"/>
                <w:sz w:val="20"/>
                <w:szCs w:val="20"/>
              </w:rPr>
              <w:t xml:space="preserve">0:00 – 0:15</w:t>
            </w:r>
          </w:p>
        </w:tc>
        <w:tc>
          <w:tcPr>
            <w:tcW w:type="dxa" w:w="2800"/>
            <w:tcMar>
              <w:top w:type="dxa" w:w="80"/>
              <w:left w:type="dxa" w:w="120"/>
              <w:bottom w:type="dxa" w:w="80"/>
              <w:right w:type="dxa" w:w="120"/>
            </w:tcMar>
          </w:tcPr>
          <w:p>
            <w:r>
              <w:rPr>
                <w:b w:val="false"/>
                <w:bCs w:val="false"/>
                <w:sz w:val="20"/>
                <w:szCs w:val="20"/>
              </w:rPr>
              <w:t xml:space="preserve">Introduction</w:t>
            </w:r>
          </w:p>
        </w:tc>
        <w:tc>
          <w:tcPr>
            <w:tcW w:type="dxa" w:w="4960"/>
            <w:tcMar>
              <w:top w:type="dxa" w:w="80"/>
              <w:left w:type="dxa" w:w="120"/>
              <w:bottom w:type="dxa" w:w="80"/>
              <w:right w:type="dxa" w:w="120"/>
            </w:tcMar>
          </w:tcPr>
          <w:p>
            <w:r>
              <w:rPr>
                <w:b w:val="false"/>
                <w:bCs w:val="false"/>
                <w:sz w:val="20"/>
                <w:szCs w:val="20"/>
              </w:rPr>
              <w:t xml:space="preserve">Objectifs, principe Perfect Store, rôles, première connexion</w:t>
            </w:r>
          </w:p>
        </w:tc>
      </w:tr>
      <w:tr>
        <w:tc>
          <w:tcPr>
            <w:tcW w:type="dxa" w:w="1600"/>
            <w:tcMar>
              <w:top w:type="dxa" w:w="80"/>
              <w:left w:type="dxa" w:w="120"/>
              <w:bottom w:type="dxa" w:w="80"/>
              <w:right w:type="dxa" w:w="120"/>
            </w:tcMar>
          </w:tcPr>
          <w:p>
            <w:r>
              <w:rPr>
                <w:b w:val="false"/>
                <w:bCs w:val="false"/>
                <w:sz w:val="20"/>
                <w:szCs w:val="20"/>
              </w:rPr>
              <w:t xml:space="preserve">0:15 – 0:25</w:t>
            </w:r>
          </w:p>
        </w:tc>
        <w:tc>
          <w:tcPr>
            <w:tcW w:type="dxa" w:w="2800"/>
            <w:tcMar>
              <w:top w:type="dxa" w:w="80"/>
              <w:left w:type="dxa" w:w="120"/>
              <w:bottom w:type="dxa" w:w="80"/>
              <w:right w:type="dxa" w:w="120"/>
            </w:tcMar>
          </w:tcPr>
          <w:p>
            <w:r>
              <w:rPr>
                <w:b w:val="false"/>
                <w:bCs w:val="false"/>
                <w:sz w:val="20"/>
                <w:szCs w:val="20"/>
              </w:rPr>
              <w:t xml:space="preserve">Ce que le terrain saisit</w:t>
            </w:r>
          </w:p>
        </w:tc>
        <w:tc>
          <w:tcPr>
            <w:tcW w:type="dxa" w:w="4960"/>
            <w:tcMar>
              <w:top w:type="dxa" w:w="80"/>
              <w:left w:type="dxa" w:w="120"/>
              <w:bottom w:type="dxa" w:w="80"/>
              <w:right w:type="dxa" w:w="120"/>
            </w:tcMar>
          </w:tcPr>
          <w:p>
            <w:r>
              <w:rPr>
                <w:b w:val="false"/>
                <w:bCs w:val="false"/>
                <w:sz w:val="20"/>
                <w:szCs w:val="20"/>
              </w:rPr>
              <w:t xml:space="preserve">Les 11 étapes d’une visite et leur effet sur le score</w:t>
            </w:r>
          </w:p>
        </w:tc>
      </w:tr>
      <w:tr>
        <w:tc>
          <w:tcPr>
            <w:tcW w:type="dxa" w:w="1600"/>
            <w:tcMar>
              <w:top w:type="dxa" w:w="80"/>
              <w:left w:type="dxa" w:w="120"/>
              <w:bottom w:type="dxa" w:w="80"/>
              <w:right w:type="dxa" w:w="120"/>
            </w:tcMar>
          </w:tcPr>
          <w:p>
            <w:r>
              <w:rPr>
                <w:b w:val="false"/>
                <w:bCs w:val="false"/>
                <w:sz w:val="20"/>
                <w:szCs w:val="20"/>
              </w:rPr>
              <w:t xml:space="preserve">0:25 – 0:50</w:t>
            </w:r>
          </w:p>
        </w:tc>
        <w:tc>
          <w:tcPr>
            <w:tcW w:type="dxa" w:w="2800"/>
            <w:tcMar>
              <w:top w:type="dxa" w:w="80"/>
              <w:left w:type="dxa" w:w="120"/>
              <w:bottom w:type="dxa" w:w="80"/>
              <w:right w:type="dxa" w:w="120"/>
            </w:tcMar>
          </w:tcPr>
          <w:p>
            <w:r>
              <w:rPr>
                <w:b w:val="false"/>
                <w:bCs w:val="false"/>
                <w:sz w:val="20"/>
                <w:szCs w:val="20"/>
              </w:rPr>
              <w:t xml:space="preserve">Piloter avec le dashboard</w:t>
            </w:r>
          </w:p>
        </w:tc>
        <w:tc>
          <w:tcPr>
            <w:tcW w:type="dxa" w:w="4960"/>
            <w:tcMar>
              <w:top w:type="dxa" w:w="80"/>
              <w:left w:type="dxa" w:w="120"/>
              <w:bottom w:type="dxa" w:w="80"/>
              <w:right w:type="dxa" w:w="120"/>
            </w:tcMar>
          </w:tcPr>
          <w:p>
            <w:r>
              <w:rPr>
                <w:b w:val="false"/>
                <w:bCs w:val="false"/>
                <w:sz w:val="20"/>
                <w:szCs w:val="20"/>
              </w:rPr>
              <w:t xml:space="preserve">Filtres, période, KPI Big Five, « Passer au niveau supérieur », exercice</w:t>
            </w:r>
          </w:p>
        </w:tc>
      </w:tr>
      <w:tr>
        <w:tc>
          <w:tcPr>
            <w:tcW w:type="dxa" w:w="1600"/>
            <w:tcMar>
              <w:top w:type="dxa" w:w="80"/>
              <w:left w:type="dxa" w:w="120"/>
              <w:bottom w:type="dxa" w:w="80"/>
              <w:right w:type="dxa" w:w="120"/>
            </w:tcMar>
          </w:tcPr>
          <w:p>
            <w:r>
              <w:rPr>
                <w:b w:val="false"/>
                <w:bCs w:val="false"/>
                <w:sz w:val="20"/>
                <w:szCs w:val="20"/>
              </w:rPr>
              <w:t xml:space="preserve">0:50 – 1:10</w:t>
            </w:r>
          </w:p>
        </w:tc>
        <w:tc>
          <w:tcPr>
            <w:tcW w:type="dxa" w:w="2800"/>
            <w:tcMar>
              <w:top w:type="dxa" w:w="80"/>
              <w:left w:type="dxa" w:w="120"/>
              <w:bottom w:type="dxa" w:w="80"/>
              <w:right w:type="dxa" w:w="120"/>
            </w:tcMar>
          </w:tcPr>
          <w:p>
            <w:r>
              <w:rPr>
                <w:b w:val="false"/>
                <w:bCs w:val="false"/>
                <w:sz w:val="20"/>
                <w:szCs w:val="20"/>
              </w:rPr>
              <w:t xml:space="preserve">Visites, PDV, utilisateurs</w:t>
            </w:r>
          </w:p>
        </w:tc>
        <w:tc>
          <w:tcPr>
            <w:tcW w:type="dxa" w:w="4960"/>
            <w:tcMar>
              <w:top w:type="dxa" w:w="80"/>
              <w:left w:type="dxa" w:w="120"/>
              <w:bottom w:type="dxa" w:w="80"/>
              <w:right w:type="dxa" w:w="120"/>
            </w:tcMar>
          </w:tcPr>
          <w:p>
            <w:r>
              <w:rPr>
                <w:b w:val="false"/>
                <w:bCs w:val="false"/>
                <w:sz w:val="20"/>
                <w:szCs w:val="20"/>
              </w:rPr>
              <w:t xml:space="preserve">Consulter les visites et photos, exporter, gérer les comptes et périmètres, exercice</w:t>
            </w:r>
          </w:p>
        </w:tc>
      </w:tr>
      <w:tr>
        <w:tc>
          <w:tcPr>
            <w:tcW w:type="dxa" w:w="1600"/>
            <w:tcMar>
              <w:top w:type="dxa" w:w="80"/>
              <w:left w:type="dxa" w:w="120"/>
              <w:bottom w:type="dxa" w:w="80"/>
              <w:right w:type="dxa" w:w="120"/>
            </w:tcMar>
          </w:tcPr>
          <w:p>
            <w:r>
              <w:rPr>
                <w:b w:val="false"/>
                <w:bCs w:val="false"/>
                <w:sz w:val="20"/>
                <w:szCs w:val="20"/>
              </w:rPr>
              <w:t xml:space="preserve">1:10 – 1:30</w:t>
            </w:r>
          </w:p>
        </w:tc>
        <w:tc>
          <w:tcPr>
            <w:tcW w:type="dxa" w:w="2800"/>
            <w:tcMar>
              <w:top w:type="dxa" w:w="80"/>
              <w:left w:type="dxa" w:w="120"/>
              <w:bottom w:type="dxa" w:w="80"/>
              <w:right w:type="dxa" w:w="120"/>
            </w:tcMar>
          </w:tcPr>
          <w:p>
            <w:r>
              <w:rPr>
                <w:b w:val="false"/>
                <w:bCs w:val="false"/>
                <w:sz w:val="20"/>
                <w:szCs w:val="20"/>
              </w:rPr>
              <w:t xml:space="preserve">Standards et questions</w:t>
            </w:r>
          </w:p>
        </w:tc>
        <w:tc>
          <w:tcPr>
            <w:tcW w:type="dxa" w:w="4960"/>
            <w:tcMar>
              <w:top w:type="dxa" w:w="80"/>
              <w:left w:type="dxa" w:w="120"/>
              <w:bottom w:type="dxa" w:w="80"/>
              <w:right w:type="dxa" w:w="120"/>
            </w:tcMar>
          </w:tcPr>
          <w:p>
            <w:r>
              <w:rPr>
                <w:b w:val="false"/>
                <w:bCs w:val="false"/>
                <w:sz w:val="20"/>
                <w:szCs w:val="20"/>
              </w:rPr>
              <w:t xml:space="preserve">Où modifier les seuils, recalcul, dépannage, questions</w:t>
            </w:r>
          </w:p>
        </w:tc>
      </w:tr>
    </w:tbl>
    <w:p>
      <w:pPr>
        <w:spacing w:after="120"/>
      </w:pPr>
      <w:r>
        <w:rPr>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BE9EC" w:val="clear"/>
            <w:tcMar>
              <w:top w:type="dxa" w:w="160"/>
              <w:left w:type="dxa" w:w="240"/>
              <w:bottom w:type="dxa" w:w="160"/>
              <w:right w:type="dxa" w:w="240"/>
            </w:tcMar>
          </w:tcPr>
          <w:p>
            <w:pPr>
              <w:spacing w:after="80"/>
            </w:pPr>
            <w:r>
              <w:rPr>
                <w:b/>
                <w:bCs/>
                <w:color w:val="C8102E"/>
                <w:sz w:val="22"/>
                <w:szCs w:val="22"/>
              </w:rPr>
              <w:t xml:space="preserve">À préparer avant la session</w:t>
            </w:r>
          </w:p>
          <w:p>
            <w:pPr>
              <w:spacing w:after="60"/>
            </w:pPr>
            <w:r>
              <w:rPr>
                <w:sz w:val="22"/>
                <w:szCs w:val="22"/>
              </w:rPr>
              <w:t xml:space="preserve">Un ordinateur par participant, connecté à l’espace admin.</w:t>
            </w:r>
          </w:p>
          <w:p>
            <w:pPr>
              <w:spacing w:after="60"/>
            </w:pPr>
            <w:r>
              <w:rPr>
                <w:sz w:val="22"/>
                <w:szCs w:val="22"/>
              </w:rPr>
              <w:t xml:space="preserve">Les comptes responsables créés (rôle superviseur ou administrateur) et le mot de passe par défaut.</w:t>
            </w:r>
          </w:p>
          <w:p>
            <w:pPr>
              <w:spacing w:after="60"/>
            </w:pPr>
            <w:r>
              <w:rPr>
                <w:sz w:val="22"/>
                <w:szCs w:val="22"/>
              </w:rPr>
              <w:t xml:space="preserve">Au moins une visite récente avec photos en base, pour l’exercice de consultation.</w:t>
            </w:r>
          </w:p>
        </w:tc>
      </w:tr>
    </w:tbl>
    <w:p>
      <w:r>
        <w:br w:type="page"/>
      </w:r>
    </w:p>
    <w:p>
      <w:pPr>
        <w:pStyle w:val="Heading1"/>
        <w:spacing w:after="200" w:before="360"/>
      </w:pPr>
      <w:r>
        <w:t xml:space="preserve">1. Introduction</w:t>
      </w:r>
    </w:p>
    <w:p>
      <w:pPr>
        <w:pStyle w:val="Heading2"/>
        <w:spacing w:after="160" w:before="280"/>
      </w:pPr>
      <w:r>
        <w:t xml:space="preserve">1.1 À quoi sert l’application</w:t>
      </w:r>
    </w:p>
    <w:p>
      <w:pPr>
        <w:spacing w:after="120"/>
      </w:pPr>
      <w:r>
        <w:rPr>
          <w:sz w:val="22"/>
          <w:szCs w:val="22"/>
        </w:rPr>
        <w:t xml:space="preserve">L’application remplace les relevés AppSheet. Sur le terrain, chaque commercial ou merchandiseur enregistre ses visites en point de vente (PDV) : stock par produit, concurrence, éléments de visibilité, promotions, actions et photos. Au bureau, les responsables suivent en temps réel la couverture du parc, la qualité des rayons et le niveau Perfect Store de chaque magasin.</w:t>
      </w:r>
    </w:p>
    <w:p>
      <w:pPr>
        <w:pStyle w:val="Heading2"/>
        <w:spacing w:after="160" w:before="280"/>
      </w:pPr>
      <w:r>
        <w:t xml:space="preserve">1.2 Le Perfect Store en deux minutes</w:t>
      </w:r>
    </w:p>
    <w:p>
      <w:pPr>
        <w:spacing w:after="120"/>
      </w:pPr>
      <w:r>
        <w:rPr>
          <w:sz w:val="22"/>
          <w:szCs w:val="22"/>
        </w:rPr>
        <w:t xml:space="preserve">À chaque visite enregistrée, l’application calcule automatiquement un niveau pour le PDV à partir de quatre piliers :</w:t>
      </w:r>
    </w:p>
    <w:p>
      <w:pPr>
        <w:pStyle w:val="ListParagraph"/>
        <w:numPr>
          <w:ilvl w:val="0"/>
          <w:numId w:val="2"/>
        </w:numPr>
        <w:spacing w:after="80"/>
      </w:pPr>
      <w:r>
        <w:rPr>
          <w:b/>
          <w:bCs/>
          <w:sz w:val="22"/>
          <w:szCs w:val="22"/>
        </w:rPr>
        <w:t xml:space="preserve">Disponibilité (OSA) : </w:t>
      </w:r>
      <w:r>
        <w:rPr>
          <w:sz w:val="22"/>
          <w:szCs w:val="22"/>
        </w:rPr>
        <w:t xml:space="preserve">les quantités relevées atteignent-elles le minimum attendu pour ce type de magasin ? En Modern Trade, les facings comptent aussi.</w:t>
      </w:r>
    </w:p>
    <w:p>
      <w:pPr>
        <w:pStyle w:val="ListParagraph"/>
        <w:numPr>
          <w:ilvl w:val="0"/>
          <w:numId w:val="2"/>
        </w:numPr>
        <w:spacing w:after="80"/>
      </w:pPr>
      <w:r>
        <w:rPr>
          <w:b/>
          <w:bCs/>
          <w:sz w:val="22"/>
          <w:szCs w:val="22"/>
        </w:rPr>
        <w:t xml:space="preserve">Assortiment : </w:t>
      </w:r>
      <w:r>
        <w:rPr>
          <w:sz w:val="22"/>
          <w:szCs w:val="22"/>
        </w:rPr>
        <w:t xml:space="preserve">le nombre de références présentes atteint-il le minimum ?</w:t>
      </w:r>
    </w:p>
    <w:p>
      <w:pPr>
        <w:pStyle w:val="ListParagraph"/>
        <w:numPr>
          <w:ilvl w:val="0"/>
          <w:numId w:val="2"/>
        </w:numPr>
        <w:spacing w:after="80"/>
      </w:pPr>
      <w:r>
        <w:rPr>
          <w:b/>
          <w:bCs/>
          <w:sz w:val="22"/>
          <w:szCs w:val="22"/>
        </w:rPr>
        <w:t xml:space="preserve">Visibilité : </w:t>
      </w:r>
      <w:r>
        <w:rPr>
          <w:sz w:val="22"/>
          <w:szCs w:val="22"/>
        </w:rPr>
        <w:t xml:space="preserve">les éléments requis (réglettes, Maison BR, niches, top shelf…) sont-ils installés ?</w:t>
      </w:r>
    </w:p>
    <w:p>
      <w:pPr>
        <w:pStyle w:val="ListParagraph"/>
        <w:numPr>
          <w:ilvl w:val="0"/>
          <w:numId w:val="2"/>
        </w:numPr>
        <w:spacing w:after="80"/>
      </w:pPr>
      <w:r>
        <w:rPr>
          <w:b/>
          <w:bCs/>
          <w:sz w:val="22"/>
          <w:szCs w:val="22"/>
        </w:rPr>
        <w:t xml:space="preserve">Promotion : </w:t>
      </w:r>
      <w:r>
        <w:rPr>
          <w:sz w:val="22"/>
          <w:szCs w:val="22"/>
        </w:rPr>
        <w:t xml:space="preserve">comptée seulement si une promotion est applicable dans le PDV.</w:t>
      </w:r>
    </w:p>
    <w:p>
      <w:pPr>
        <w:spacing w:after="120"/>
      </w:pPr>
      <w:r>
        <w:rPr>
          <w:sz w:val="22"/>
          <w:szCs w:val="22"/>
        </w:rPr>
        <w:t xml:space="preserve">Le niveau atteint est le plus haut dont tous les critères passent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shd w:fill="C8102E" w:val="clear"/>
            <w:tcMar>
              <w:top w:type="dxa" w:w="80"/>
              <w:left w:type="dxa" w:w="120"/>
              <w:bottom w:type="dxa" w:w="80"/>
              <w:right w:type="dxa" w:w="120"/>
            </w:tcMar>
          </w:tcPr>
          <w:p>
            <w:r>
              <w:rPr>
                <w:b/>
                <w:bCs/>
                <w:color w:val="FFFFFF"/>
                <w:sz w:val="20"/>
                <w:szCs w:val="20"/>
              </w:rPr>
              <w:t xml:space="preserve">Niveau</w:t>
            </w:r>
          </w:p>
        </w:tc>
        <w:tc>
          <w:tcPr>
            <w:tcW w:type="dxa" w:w="2400"/>
            <w:shd w:fill="C8102E" w:val="clear"/>
            <w:tcMar>
              <w:top w:type="dxa" w:w="80"/>
              <w:left w:type="dxa" w:w="120"/>
              <w:bottom w:type="dxa" w:w="80"/>
              <w:right w:type="dxa" w:w="120"/>
            </w:tcMar>
          </w:tcPr>
          <w:p>
            <w:r>
              <w:rPr>
                <w:b/>
                <w:bCs/>
                <w:color w:val="FFFFFF"/>
                <w:sz w:val="20"/>
                <w:szCs w:val="20"/>
              </w:rPr>
              <w:t xml:space="preserve">Disponibilité rayon</w:t>
            </w:r>
          </w:p>
        </w:tc>
        <w:tc>
          <w:tcPr>
            <w:tcW w:type="dxa" w:w="2400"/>
            <w:shd w:fill="C8102E" w:val="clear"/>
            <w:tcMar>
              <w:top w:type="dxa" w:w="80"/>
              <w:left w:type="dxa" w:w="120"/>
              <w:bottom w:type="dxa" w:w="80"/>
              <w:right w:type="dxa" w:w="120"/>
            </w:tcMar>
          </w:tcPr>
          <w:p>
            <w:r>
              <w:rPr>
                <w:b/>
                <w:bCs/>
                <w:color w:val="FFFFFF"/>
                <w:sz w:val="20"/>
                <w:szCs w:val="20"/>
              </w:rPr>
              <w:t xml:space="preserve">Visibilité requise</w:t>
            </w:r>
          </w:p>
        </w:tc>
        <w:tc>
          <w:tcPr>
            <w:tcW w:type="dxa" w:w="2560"/>
            <w:shd w:fill="C8102E" w:val="clear"/>
            <w:tcMar>
              <w:top w:type="dxa" w:w="80"/>
              <w:left w:type="dxa" w:w="120"/>
              <w:bottom w:type="dxa" w:w="80"/>
              <w:right w:type="dxa" w:w="120"/>
            </w:tcMar>
          </w:tcPr>
          <w:p>
            <w:r>
              <w:rPr>
                <w:b/>
                <w:bCs/>
                <w:color w:val="FFFFFF"/>
                <w:sz w:val="20"/>
                <w:szCs w:val="20"/>
              </w:rPr>
              <w:t xml:space="preserve">Promotion (si applicable)</w:t>
            </w:r>
          </w:p>
        </w:tc>
      </w:tr>
      <w:tr>
        <w:tc>
          <w:tcPr>
            <w:tcW w:type="dxa" w:w="2000"/>
            <w:tcMar>
              <w:top w:type="dxa" w:w="80"/>
              <w:left w:type="dxa" w:w="120"/>
              <w:bottom w:type="dxa" w:w="80"/>
              <w:right w:type="dxa" w:w="120"/>
            </w:tcMar>
          </w:tcPr>
          <w:p>
            <w:r>
              <w:rPr>
                <w:b w:val="false"/>
                <w:bCs w:val="false"/>
                <w:sz w:val="20"/>
                <w:szCs w:val="20"/>
              </w:rPr>
              <w:t xml:space="preserve">FLAGSHIP</w:t>
            </w:r>
          </w:p>
        </w:tc>
        <w:tc>
          <w:tcPr>
            <w:tcW w:type="dxa" w:w="2400"/>
            <w:tcMar>
              <w:top w:type="dxa" w:w="80"/>
              <w:left w:type="dxa" w:w="120"/>
              <w:bottom w:type="dxa" w:w="80"/>
              <w:right w:type="dxa" w:w="120"/>
            </w:tcMar>
          </w:tcPr>
          <w:p>
            <w:r>
              <w:rPr>
                <w:b w:val="false"/>
                <w:bCs w:val="false"/>
                <w:sz w:val="20"/>
                <w:szCs w:val="20"/>
              </w:rPr>
              <w:t xml:space="preserve">≥ 95 %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r>
        <w:tc>
          <w:tcPr>
            <w:tcW w:type="dxa" w:w="2000"/>
            <w:tcMar>
              <w:top w:type="dxa" w:w="80"/>
              <w:left w:type="dxa" w:w="120"/>
              <w:bottom w:type="dxa" w:w="80"/>
              <w:right w:type="dxa" w:w="120"/>
            </w:tcMar>
          </w:tcPr>
          <w:p>
            <w:r>
              <w:rPr>
                <w:b w:val="false"/>
                <w:bCs w:val="false"/>
                <w:sz w:val="20"/>
                <w:szCs w:val="20"/>
              </w:rPr>
              <w:t xml:space="preserve">VIP</w:t>
            </w:r>
          </w:p>
        </w:tc>
        <w:tc>
          <w:tcPr>
            <w:tcW w:type="dxa" w:w="2400"/>
            <w:tcMar>
              <w:top w:type="dxa" w:w="80"/>
              <w:left w:type="dxa" w:w="120"/>
              <w:bottom w:type="dxa" w:w="80"/>
              <w:right w:type="dxa" w:w="120"/>
            </w:tcMar>
          </w:tcPr>
          <w:p>
            <w:r>
              <w:rPr>
                <w:b w:val="false"/>
                <w:bCs w:val="false"/>
                <w:sz w:val="20"/>
                <w:szCs w:val="20"/>
              </w:rPr>
              <w:t xml:space="preserve">≥ 85 %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r>
        <w:tc>
          <w:tcPr>
            <w:tcW w:type="dxa" w:w="2000"/>
            <w:tcMar>
              <w:top w:type="dxa" w:w="80"/>
              <w:left w:type="dxa" w:w="120"/>
              <w:bottom w:type="dxa" w:w="80"/>
              <w:right w:type="dxa" w:w="120"/>
            </w:tcMar>
          </w:tcPr>
          <w:p>
            <w:r>
              <w:rPr>
                <w:b w:val="false"/>
                <w:bCs w:val="false"/>
                <w:sz w:val="20"/>
                <w:szCs w:val="20"/>
              </w:rPr>
              <w:t xml:space="preserve">CORE</w:t>
            </w:r>
          </w:p>
        </w:tc>
        <w:tc>
          <w:tcPr>
            <w:tcW w:type="dxa" w:w="2400"/>
            <w:tcMar>
              <w:top w:type="dxa" w:w="80"/>
              <w:left w:type="dxa" w:w="120"/>
              <w:bottom w:type="dxa" w:w="80"/>
              <w:right w:type="dxa" w:w="120"/>
            </w:tcMar>
          </w:tcPr>
          <w:p>
            <w:r>
              <w:rPr>
                <w:b w:val="false"/>
                <w:bCs w:val="false"/>
                <w:sz w:val="20"/>
                <w:szCs w:val="20"/>
              </w:rPr>
              <w:t xml:space="preserve">≥ 75 %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r>
        <w:tc>
          <w:tcPr>
            <w:tcW w:type="dxa" w:w="2000"/>
            <w:tcMar>
              <w:top w:type="dxa" w:w="80"/>
              <w:left w:type="dxa" w:w="120"/>
              <w:bottom w:type="dxa" w:w="80"/>
              <w:right w:type="dxa" w:w="120"/>
            </w:tcMar>
          </w:tcPr>
          <w:p>
            <w:r>
              <w:rPr>
                <w:b w:val="false"/>
                <w:bCs w:val="false"/>
                <w:sz w:val="20"/>
                <w:szCs w:val="20"/>
              </w:rPr>
              <w:t xml:space="preserve">BASIC</w:t>
            </w:r>
          </w:p>
        </w:tc>
        <w:tc>
          <w:tcPr>
            <w:tcW w:type="dxa" w:w="2400"/>
            <w:tcMar>
              <w:top w:type="dxa" w:w="80"/>
              <w:left w:type="dxa" w:w="120"/>
              <w:bottom w:type="dxa" w:w="80"/>
              <w:right w:type="dxa" w:w="120"/>
            </w:tcMar>
          </w:tcPr>
          <w:p>
            <w:r>
              <w:rPr>
                <w:b w:val="false"/>
                <w:bCs w:val="false"/>
                <w:sz w:val="20"/>
                <w:szCs w:val="20"/>
              </w:rPr>
              <w:t xml:space="preserve">≥ 60 %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bl>
    <w:p>
      <w:pPr>
        <w:spacing w:after="120"/>
      </w:pPr>
      <w:r>
        <w:rPr>
          <w:sz w:val="22"/>
          <w:szCs w:val="22"/>
        </w:rPr>
        <w:t xml:space="preserve"/>
      </w:r>
    </w:p>
    <w:p>
      <w:pPr>
        <w:spacing w:after="120"/>
      </w:pPr>
      <w:r>
        <w:rPr>
          <w:b/>
          <w:bCs/>
          <w:sz w:val="22"/>
          <w:szCs w:val="22"/>
        </w:rPr>
        <w:t xml:space="preserve">Message clé pour le terrain : </w:t>
      </w:r>
      <w:r>
        <w:rPr>
          <w:sz w:val="22"/>
          <w:szCs w:val="22"/>
        </w:rPr>
        <w:t xml:space="preserve">la qualité du score dépend de la qualité de la saisie. Une quantité oubliée ou un facing non renseigné fait chuter le niveau du magasin.</w:t>
      </w:r>
    </w:p>
    <w:p>
      <w:pPr>
        <w:pStyle w:val="Heading2"/>
        <w:spacing w:after="160" w:before="280"/>
      </w:pPr>
      <w:r>
        <w:t xml:space="preserve">1.3 Les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C8102E" w:val="clear"/>
            <w:tcMar>
              <w:top w:type="dxa" w:w="80"/>
              <w:left w:type="dxa" w:w="120"/>
              <w:bottom w:type="dxa" w:w="80"/>
              <w:right w:type="dxa" w:w="120"/>
            </w:tcMar>
          </w:tcPr>
          <w:p>
            <w:r>
              <w:rPr>
                <w:b/>
                <w:bCs/>
                <w:color w:val="FFFFFF"/>
                <w:sz w:val="20"/>
                <w:szCs w:val="20"/>
              </w:rPr>
              <w:t xml:space="preserve">Rôle</w:t>
            </w:r>
          </w:p>
        </w:tc>
        <w:tc>
          <w:tcPr>
            <w:tcW w:type="dxa" w:w="2200"/>
            <w:shd w:fill="C8102E" w:val="clear"/>
            <w:tcMar>
              <w:top w:type="dxa" w:w="80"/>
              <w:left w:type="dxa" w:w="120"/>
              <w:bottom w:type="dxa" w:w="80"/>
              <w:right w:type="dxa" w:w="120"/>
            </w:tcMar>
          </w:tcPr>
          <w:p>
            <w:r>
              <w:rPr>
                <w:b/>
                <w:bCs/>
                <w:color w:val="FFFFFF"/>
                <w:sz w:val="20"/>
                <w:szCs w:val="20"/>
              </w:rPr>
              <w:t xml:space="preserve">Outil</w:t>
            </w:r>
          </w:p>
        </w:tc>
        <w:tc>
          <w:tcPr>
            <w:tcW w:type="dxa" w:w="4560"/>
            <w:shd w:fill="C8102E" w:val="clear"/>
            <w:tcMar>
              <w:top w:type="dxa" w:w="80"/>
              <w:left w:type="dxa" w:w="120"/>
              <w:bottom w:type="dxa" w:w="80"/>
              <w:right w:type="dxa" w:w="120"/>
            </w:tcMar>
          </w:tcPr>
          <w:p>
            <w:r>
              <w:rPr>
                <w:b/>
                <w:bCs/>
                <w:color w:val="FFFFFF"/>
                <w:sz w:val="20"/>
                <w:szCs w:val="20"/>
              </w:rPr>
              <w:t xml:space="preserve">Ce qu’il voit et fait</w:t>
            </w:r>
          </w:p>
        </w:tc>
      </w:tr>
      <w:tr>
        <w:tc>
          <w:tcPr>
            <w:tcW w:type="dxa" w:w="2600"/>
            <w:tcMar>
              <w:top w:type="dxa" w:w="80"/>
              <w:left w:type="dxa" w:w="120"/>
              <w:bottom w:type="dxa" w:w="80"/>
              <w:right w:type="dxa" w:w="120"/>
            </w:tcMar>
          </w:tcPr>
          <w:p>
            <w:r>
              <w:rPr>
                <w:b w:val="false"/>
                <w:bCs w:val="false"/>
                <w:sz w:val="20"/>
                <w:szCs w:val="20"/>
              </w:rPr>
              <w:t xml:space="preserve">Commercial / merchandiseur</w:t>
            </w:r>
          </w:p>
        </w:tc>
        <w:tc>
          <w:tcPr>
            <w:tcW w:type="dxa" w:w="2200"/>
            <w:tcMar>
              <w:top w:type="dxa" w:w="80"/>
              <w:left w:type="dxa" w:w="120"/>
              <w:bottom w:type="dxa" w:w="80"/>
              <w:right w:type="dxa" w:w="120"/>
            </w:tcMar>
          </w:tcPr>
          <w:p>
            <w:r>
              <w:rPr>
                <w:b w:val="false"/>
                <w:bCs w:val="false"/>
                <w:sz w:val="20"/>
                <w:szCs w:val="20"/>
              </w:rPr>
              <w:t xml:space="preserve">Application mobile</w:t>
            </w:r>
          </w:p>
        </w:tc>
        <w:tc>
          <w:tcPr>
            <w:tcW w:type="dxa" w:w="4560"/>
            <w:tcMar>
              <w:top w:type="dxa" w:w="80"/>
              <w:left w:type="dxa" w:w="120"/>
              <w:bottom w:type="dxa" w:w="80"/>
              <w:right w:type="dxa" w:w="120"/>
            </w:tcMar>
          </w:tcPr>
          <w:p>
            <w:r>
              <w:rPr>
                <w:b w:val="false"/>
                <w:bCs w:val="false"/>
                <w:sz w:val="20"/>
                <w:szCs w:val="20"/>
              </w:rPr>
              <w:t xml:space="preserve">Ses PDV (zone et secteurs assignés), son routing, ses visites, création de PDV</w:t>
            </w:r>
          </w:p>
        </w:tc>
      </w:tr>
      <w:tr>
        <w:tc>
          <w:tcPr>
            <w:tcW w:type="dxa" w:w="2600"/>
            <w:tcMar>
              <w:top w:type="dxa" w:w="80"/>
              <w:left w:type="dxa" w:w="120"/>
              <w:bottom w:type="dxa" w:w="80"/>
              <w:right w:type="dxa" w:w="120"/>
            </w:tcMar>
          </w:tcPr>
          <w:p>
            <w:r>
              <w:rPr>
                <w:b w:val="false"/>
                <w:bCs w:val="false"/>
                <w:sz w:val="20"/>
                <w:szCs w:val="20"/>
              </w:rPr>
              <w:t xml:space="preserve">Superviseur</w:t>
            </w:r>
          </w:p>
        </w:tc>
        <w:tc>
          <w:tcPr>
            <w:tcW w:type="dxa" w:w="2200"/>
            <w:tcMar>
              <w:top w:type="dxa" w:w="80"/>
              <w:left w:type="dxa" w:w="120"/>
              <w:bottom w:type="dxa" w:w="80"/>
              <w:right w:type="dxa" w:w="120"/>
            </w:tcMar>
          </w:tcPr>
          <w:p>
            <w:r>
              <w:rPr>
                <w:b w:val="false"/>
                <w:bCs w:val="false"/>
                <w:sz w:val="20"/>
                <w:szCs w:val="20"/>
              </w:rPr>
              <w:t xml:space="preserve">Espace admin web</w:t>
            </w:r>
          </w:p>
        </w:tc>
        <w:tc>
          <w:tcPr>
            <w:tcW w:type="dxa" w:w="4560"/>
            <w:tcMar>
              <w:top w:type="dxa" w:w="80"/>
              <w:left w:type="dxa" w:w="120"/>
              <w:bottom w:type="dxa" w:w="80"/>
              <w:right w:type="dxa" w:w="120"/>
            </w:tcMar>
          </w:tcPr>
          <w:p>
            <w:r>
              <w:rPr>
                <w:b w:val="false"/>
                <w:bCs w:val="false"/>
                <w:sz w:val="20"/>
                <w:szCs w:val="20"/>
              </w:rPr>
              <w:t xml:space="preserve">Dashboard, visites, PDV, standards et référentiels ; pas la gestion des permissions</w:t>
            </w:r>
          </w:p>
        </w:tc>
      </w:tr>
      <w:tr>
        <w:tc>
          <w:tcPr>
            <w:tcW w:type="dxa" w:w="2600"/>
            <w:tcMar>
              <w:top w:type="dxa" w:w="80"/>
              <w:left w:type="dxa" w:w="120"/>
              <w:bottom w:type="dxa" w:w="80"/>
              <w:right w:type="dxa" w:w="120"/>
            </w:tcMar>
          </w:tcPr>
          <w:p>
            <w:r>
              <w:rPr>
                <w:b w:val="false"/>
                <w:bCs w:val="false"/>
                <w:sz w:val="20"/>
                <w:szCs w:val="20"/>
              </w:rPr>
              <w:t xml:space="preserve">Administrateur</w:t>
            </w:r>
          </w:p>
        </w:tc>
        <w:tc>
          <w:tcPr>
            <w:tcW w:type="dxa" w:w="2200"/>
            <w:tcMar>
              <w:top w:type="dxa" w:w="80"/>
              <w:left w:type="dxa" w:w="120"/>
              <w:bottom w:type="dxa" w:w="80"/>
              <w:right w:type="dxa" w:w="120"/>
            </w:tcMar>
          </w:tcPr>
          <w:p>
            <w:r>
              <w:rPr>
                <w:b w:val="false"/>
                <w:bCs w:val="false"/>
                <w:sz w:val="20"/>
                <w:szCs w:val="20"/>
              </w:rPr>
              <w:t xml:space="preserve">Espace admin web</w:t>
            </w:r>
          </w:p>
        </w:tc>
        <w:tc>
          <w:tcPr>
            <w:tcW w:type="dxa" w:w="4560"/>
            <w:tcMar>
              <w:top w:type="dxa" w:w="80"/>
              <w:left w:type="dxa" w:w="120"/>
              <w:bottom w:type="dxa" w:w="80"/>
              <w:right w:type="dxa" w:w="120"/>
            </w:tcMar>
          </w:tcPr>
          <w:p>
            <w:r>
              <w:rPr>
                <w:b w:val="false"/>
                <w:bCs w:val="false"/>
                <w:sz w:val="20"/>
                <w:szCs w:val="20"/>
              </w:rPr>
              <w:t xml:space="preserve">Tout, y compris utilisateurs, permissions et imports</w:t>
            </w:r>
          </w:p>
        </w:tc>
      </w:tr>
    </w:tbl>
    <w:p>
      <w:pPr>
        <w:pStyle w:val="Heading2"/>
        <w:spacing w:after="160" w:before="280"/>
      </w:pPr>
      <w:r>
        <w:t xml:space="preserve">1.4 Première connexion</w:t>
      </w:r>
    </w:p>
    <w:p>
      <w:pPr>
        <w:pStyle w:val="ListParagraph"/>
        <w:numPr>
          <w:ilvl w:val="0"/>
          <w:numId w:val="3"/>
        </w:numPr>
        <w:spacing w:after="80"/>
      </w:pPr>
      <w:r>
        <w:rPr>
          <w:sz w:val="22"/>
          <w:szCs w:val="22"/>
        </w:rPr>
        <w:t xml:space="preserve">Ouvrir l’application (mobile) ou l’adresse de l’espace admin (web) et saisir son e-mail professionnel et le mot de passe par défaut.</w:t>
      </w:r>
    </w:p>
    <w:p>
      <w:pPr>
        <w:pStyle w:val="ListParagraph"/>
        <w:numPr>
          <w:ilvl w:val="0"/>
          <w:numId w:val="3"/>
        </w:numPr>
        <w:spacing w:after="80"/>
      </w:pPr>
      <w:r>
        <w:rPr>
          <w:sz w:val="22"/>
          <w:szCs w:val="22"/>
        </w:rPr>
        <w:t xml:space="preserve">L’application impose immédiatement de choisir un nouveau mot de passe personnel. Le conserver précieusement : le formateur ou l’administrateur peut le réinitialiser en cas d’oubli.</w:t>
      </w:r>
    </w:p>
    <w:p>
      <w:pPr>
        <w:pStyle w:val="ListParagraph"/>
        <w:numPr>
          <w:ilvl w:val="0"/>
          <w:numId w:val="3"/>
        </w:numPr>
        <w:spacing w:after="80"/>
      </w:pPr>
      <w:r>
        <w:rPr>
          <w:sz w:val="22"/>
          <w:szCs w:val="22"/>
        </w:rPr>
        <w:t xml:space="preserve">Un compte terrain arrive sur l’accueil « Visites » ; un compte responsable arrive sur le dashboard Perfect Store.</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BE9EC" w:val="clear"/>
            <w:tcMar>
              <w:top w:type="dxa" w:w="160"/>
              <w:left w:type="dxa" w:w="240"/>
              <w:bottom w:type="dxa" w:w="160"/>
              <w:right w:type="dxa" w:w="240"/>
            </w:tcMar>
          </w:tcPr>
          <w:p>
            <w:pPr>
              <w:spacing w:after="80"/>
            </w:pPr>
            <w:r>
              <w:rPr>
                <w:b/>
                <w:bCs/>
                <w:color w:val="C8102E"/>
                <w:sz w:val="22"/>
                <w:szCs w:val="22"/>
              </w:rPr>
              <w:t xml:space="preserve">Bon à savoir</w:t>
            </w:r>
          </w:p>
          <w:p>
            <w:pPr>
              <w:spacing w:after="60"/>
            </w:pPr>
            <w:r>
              <w:rPr>
                <w:sz w:val="22"/>
                <w:szCs w:val="22"/>
              </w:rPr>
              <w:t xml:space="preserve">Un merchandiseur ne voit que les PDV dont la zone et le secteur correspondent à son affectation. S’il ne voit aucun PDV, c’est un problème d’affectation à corriger dans Utilisateurs (module 4), pas une panne.</w:t>
            </w:r>
          </w:p>
        </w:tc>
      </w:tr>
    </w:tbl>
    <w:p>
      <w:r>
        <w:br w:type="page"/>
      </w:r>
    </w:p>
    <w:p>
      <w:pPr>
        <w:pStyle w:val="Heading1"/>
        <w:spacing w:after="200" w:before="360"/>
      </w:pPr>
      <w:r>
        <w:t xml:space="preserve">2. Ce que le terrain saisit</w:t>
      </w:r>
    </w:p>
    <w:p>
      <w:pPr>
        <w:spacing w:after="120"/>
      </w:pPr>
      <w:r>
        <w:rPr>
          <w:sz w:val="22"/>
          <w:szCs w:val="22"/>
        </w:rPr>
        <w:t xml:space="preserve">Pour lire correctement le dashboard, il faut savoir ce que le commercial renseigne. Le formulaire mobile comporte 11 étapes en quatre phases. Le type de magasin choisi à la première étape détermine les produits attendus, les facings et les éléments de visibilité proposés ensuite.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600"/>
        <w:gridCol w:w="2460"/>
      </w:tblGrid>
      <w:tr>
        <w:trPr>
          <w:tblHeader/>
        </w:trPr>
        <w:tc>
          <w:tcPr>
            <w:tcW w:type="dxa" w:w="1900"/>
            <w:shd w:fill="C8102E" w:val="clear"/>
            <w:tcMar>
              <w:top w:type="dxa" w:w="80"/>
              <w:left w:type="dxa" w:w="120"/>
              <w:bottom w:type="dxa" w:w="80"/>
              <w:right w:type="dxa" w:w="120"/>
            </w:tcMar>
          </w:tcPr>
          <w:p>
            <w:r>
              <w:rPr>
                <w:b/>
                <w:bCs/>
                <w:color w:val="FFFFFF"/>
                <w:sz w:val="20"/>
                <w:szCs w:val="20"/>
              </w:rPr>
              <w:t xml:space="preserve">Phase</w:t>
            </w:r>
          </w:p>
        </w:tc>
        <w:tc>
          <w:tcPr>
            <w:tcW w:type="dxa" w:w="2400"/>
            <w:shd w:fill="C8102E" w:val="clear"/>
            <w:tcMar>
              <w:top w:type="dxa" w:w="80"/>
              <w:left w:type="dxa" w:w="120"/>
              <w:bottom w:type="dxa" w:w="80"/>
              <w:right w:type="dxa" w:w="120"/>
            </w:tcMar>
          </w:tcPr>
          <w:p>
            <w:r>
              <w:rPr>
                <w:b/>
                <w:bCs/>
                <w:color w:val="FFFFFF"/>
                <w:sz w:val="20"/>
                <w:szCs w:val="20"/>
              </w:rPr>
              <w:t xml:space="preserve">Étapes</w:t>
            </w:r>
          </w:p>
        </w:tc>
        <w:tc>
          <w:tcPr>
            <w:tcW w:type="dxa" w:w="2600"/>
            <w:shd w:fill="C8102E" w:val="clear"/>
            <w:tcMar>
              <w:top w:type="dxa" w:w="80"/>
              <w:left w:type="dxa" w:w="120"/>
              <w:bottom w:type="dxa" w:w="80"/>
              <w:right w:type="dxa" w:w="120"/>
            </w:tcMar>
          </w:tcPr>
          <w:p>
            <w:r>
              <w:rPr>
                <w:b/>
                <w:bCs/>
                <w:color w:val="FFFFFF"/>
                <w:sz w:val="20"/>
                <w:szCs w:val="20"/>
              </w:rPr>
              <w:t xml:space="preserve">Ce qui est saisi</w:t>
            </w:r>
          </w:p>
        </w:tc>
        <w:tc>
          <w:tcPr>
            <w:tcW w:type="dxa" w:w="2460"/>
            <w:shd w:fill="C8102E" w:val="clear"/>
            <w:tcMar>
              <w:top w:type="dxa" w:w="80"/>
              <w:left w:type="dxa" w:w="120"/>
              <w:bottom w:type="dxa" w:w="80"/>
              <w:right w:type="dxa" w:w="120"/>
            </w:tcMar>
          </w:tcPr>
          <w:p>
            <w:r>
              <w:rPr>
                <w:b/>
                <w:bCs/>
                <w:color w:val="FFFFFF"/>
                <w:sz w:val="20"/>
                <w:szCs w:val="20"/>
              </w:rPr>
              <w:t xml:space="preserve">Effet sur le score</w:t>
            </w:r>
          </w:p>
        </w:tc>
      </w:tr>
      <w:tr>
        <w:tc>
          <w:tcPr>
            <w:tcW w:type="dxa" w:w="1900"/>
            <w:tcMar>
              <w:top w:type="dxa" w:w="80"/>
              <w:left w:type="dxa" w:w="120"/>
              <w:bottom w:type="dxa" w:w="80"/>
              <w:right w:type="dxa" w:w="120"/>
            </w:tcMar>
          </w:tcPr>
          <w:p>
            <w:r>
              <w:rPr>
                <w:b w:val="false"/>
                <w:bCs w:val="false"/>
                <w:sz w:val="20"/>
                <w:szCs w:val="20"/>
              </w:rPr>
              <w:t xml:space="preserve">Général</w:t>
            </w:r>
          </w:p>
        </w:tc>
        <w:tc>
          <w:tcPr>
            <w:tcW w:type="dxa" w:w="2400"/>
            <w:tcMar>
              <w:top w:type="dxa" w:w="80"/>
              <w:left w:type="dxa" w:w="120"/>
              <w:bottom w:type="dxa" w:w="80"/>
              <w:right w:type="dxa" w:w="120"/>
            </w:tcMar>
          </w:tcPr>
          <w:p>
            <w:r>
              <w:rPr>
                <w:b w:val="false"/>
                <w:bCs w:val="false"/>
                <w:sz w:val="20"/>
                <w:szCs w:val="20"/>
              </w:rPr>
              <w:t xml:space="preserve">Général</w:t>
            </w:r>
          </w:p>
        </w:tc>
        <w:tc>
          <w:tcPr>
            <w:tcW w:type="dxa" w:w="2600"/>
            <w:tcMar>
              <w:top w:type="dxa" w:w="80"/>
              <w:left w:type="dxa" w:w="120"/>
              <w:bottom w:type="dxa" w:w="80"/>
              <w:right w:type="dxa" w:w="120"/>
            </w:tcMar>
          </w:tcPr>
          <w:p>
            <w:r>
              <w:rPr>
                <w:b w:val="false"/>
                <w:bCs w:val="false"/>
                <w:sz w:val="20"/>
                <w:szCs w:val="20"/>
              </w:rPr>
              <w:t xml:space="preserve">PDV, date, e-mail</w:t>
            </w:r>
          </w:p>
        </w:tc>
        <w:tc>
          <w:tcPr>
            <w:tcW w:type="dxa" w:w="2460"/>
            <w:tcMar>
              <w:top w:type="dxa" w:w="80"/>
              <w:left w:type="dxa" w:w="120"/>
              <w:bottom w:type="dxa" w:w="80"/>
              <w:right w:type="dxa" w:w="120"/>
            </w:tcMar>
          </w:tcPr>
          <w:p>
            <w:r>
              <w:rPr>
                <w:b w:val="false"/>
                <w:bCs w:val="false"/>
                <w:sz w:val="20"/>
                <w:szCs w:val="20"/>
              </w:rPr>
              <w:t xml:space="preserve">Le type du PDV fixe les standards appliqués</w:t>
            </w:r>
          </w:p>
        </w:tc>
      </w:tr>
      <w:tr>
        <w:tc>
          <w:tcPr>
            <w:tcW w:type="dxa" w:w="1900"/>
            <w:tcMar>
              <w:top w:type="dxa" w:w="80"/>
              <w:left w:type="dxa" w:w="120"/>
              <w:bottom w:type="dxa" w:w="80"/>
              <w:right w:type="dxa" w:w="120"/>
            </w:tcMar>
          </w:tcPr>
          <w:p>
            <w:r>
              <w:rPr>
                <w:b w:val="false"/>
                <w:bCs w:val="false"/>
                <w:sz w:val="20"/>
                <w:szCs w:val="20"/>
              </w:rPr>
              <w:t xml:space="preserve">Produits</w:t>
            </w:r>
          </w:p>
        </w:tc>
        <w:tc>
          <w:tcPr>
            <w:tcW w:type="dxa" w:w="2400"/>
            <w:tcMar>
              <w:top w:type="dxa" w:w="80"/>
              <w:left w:type="dxa" w:w="120"/>
              <w:bottom w:type="dxa" w:w="80"/>
              <w:right w:type="dxa" w:w="120"/>
            </w:tcMar>
          </w:tcPr>
          <w:p>
            <w:r>
              <w:rPr>
                <w:b w:val="false"/>
                <w:bCs w:val="false"/>
                <w:sz w:val="20"/>
                <w:szCs w:val="20"/>
              </w:rPr>
              <w:t xml:space="preserve">EVAP, IMP, SCM, UHT, Yaourt, Céréales</w:t>
            </w:r>
          </w:p>
        </w:tc>
        <w:tc>
          <w:tcPr>
            <w:tcW w:type="dxa" w:w="2600"/>
            <w:tcMar>
              <w:top w:type="dxa" w:w="80"/>
              <w:left w:type="dxa" w:w="120"/>
              <w:bottom w:type="dxa" w:w="80"/>
              <w:right w:type="dxa" w:w="120"/>
            </w:tcMar>
          </w:tcPr>
          <w:p>
            <w:r>
              <w:rPr>
                <w:b w:val="false"/>
                <w:bCs w:val="false"/>
                <w:sz w:val="20"/>
                <w:szCs w:val="20"/>
              </w:rPr>
              <w:t xml:space="preserve">Quantités ; facings en Modern Trade</w:t>
            </w:r>
          </w:p>
        </w:tc>
        <w:tc>
          <w:tcPr>
            <w:tcW w:type="dxa" w:w="2460"/>
            <w:tcMar>
              <w:top w:type="dxa" w:w="80"/>
              <w:left w:type="dxa" w:w="120"/>
              <w:bottom w:type="dxa" w:w="80"/>
              <w:right w:type="dxa" w:w="120"/>
            </w:tcMar>
          </w:tcPr>
          <w:p>
            <w:r>
              <w:rPr>
                <w:b w:val="false"/>
                <w:bCs w:val="false"/>
                <w:sz w:val="20"/>
                <w:szCs w:val="20"/>
              </w:rPr>
              <w:t xml:space="preserve">Disponibilité et assortiment</w:t>
            </w:r>
          </w:p>
        </w:tc>
      </w:tr>
      <w:tr>
        <w:tc>
          <w:tcPr>
            <w:tcW w:type="dxa" w:w="1900"/>
            <w:tcMar>
              <w:top w:type="dxa" w:w="80"/>
              <w:left w:type="dxa" w:w="120"/>
              <w:bottom w:type="dxa" w:w="80"/>
              <w:right w:type="dxa" w:w="120"/>
            </w:tcMar>
          </w:tcPr>
          <w:p>
            <w:r>
              <w:rPr>
                <w:b w:val="false"/>
                <w:bCs w:val="false"/>
                <w:sz w:val="20"/>
                <w:szCs w:val="20"/>
              </w:rPr>
              <w:t xml:space="preserve">Visibilité et concurrence</w:t>
            </w:r>
          </w:p>
        </w:tc>
        <w:tc>
          <w:tcPr>
            <w:tcW w:type="dxa" w:w="2400"/>
            <w:tcMar>
              <w:top w:type="dxa" w:w="80"/>
              <w:left w:type="dxa" w:w="120"/>
              <w:bottom w:type="dxa" w:w="80"/>
              <w:right w:type="dxa" w:w="120"/>
            </w:tcMar>
          </w:tcPr>
          <w:p>
            <w:r>
              <w:rPr>
                <w:b w:val="false"/>
                <w:bCs w:val="false"/>
                <w:sz w:val="20"/>
                <w:szCs w:val="20"/>
              </w:rPr>
              <w:t xml:space="preserve">Concurrence, Visibilité</w:t>
            </w:r>
          </w:p>
        </w:tc>
        <w:tc>
          <w:tcPr>
            <w:tcW w:type="dxa" w:w="2600"/>
            <w:tcMar>
              <w:top w:type="dxa" w:w="80"/>
              <w:left w:type="dxa" w:w="120"/>
              <w:bottom w:type="dxa" w:w="80"/>
              <w:right w:type="dxa" w:w="120"/>
            </w:tcMar>
          </w:tcPr>
          <w:p>
            <w:r>
              <w:rPr>
                <w:b w:val="false"/>
                <w:bCs w:val="false"/>
                <w:sz w:val="20"/>
                <w:szCs w:val="20"/>
              </w:rPr>
              <w:t xml:space="preserve">Concurrents et photos ; éléments installés ; promotion</w:t>
            </w:r>
          </w:p>
        </w:tc>
        <w:tc>
          <w:tcPr>
            <w:tcW w:type="dxa" w:w="2460"/>
            <w:tcMar>
              <w:top w:type="dxa" w:w="80"/>
              <w:left w:type="dxa" w:w="120"/>
              <w:bottom w:type="dxa" w:w="80"/>
              <w:right w:type="dxa" w:w="120"/>
            </w:tcMar>
          </w:tcPr>
          <w:p>
            <w:r>
              <w:rPr>
                <w:b w:val="false"/>
                <w:bCs w:val="false"/>
                <w:sz w:val="20"/>
                <w:szCs w:val="20"/>
              </w:rPr>
              <w:t xml:space="preserve">Visibilité et promotion</w:t>
            </w:r>
          </w:p>
        </w:tc>
      </w:tr>
      <w:tr>
        <w:tc>
          <w:tcPr>
            <w:tcW w:type="dxa" w:w="1900"/>
            <w:tcMar>
              <w:top w:type="dxa" w:w="80"/>
              <w:left w:type="dxa" w:w="120"/>
              <w:bottom w:type="dxa" w:w="80"/>
              <w:right w:type="dxa" w:w="120"/>
            </w:tcMar>
          </w:tcPr>
          <w:p>
            <w:r>
              <w:rPr>
                <w:b w:val="false"/>
                <w:bCs w:val="false"/>
                <w:sz w:val="20"/>
                <w:szCs w:val="20"/>
              </w:rPr>
              <w:t xml:space="preserve">Actions et photos</w:t>
            </w:r>
          </w:p>
        </w:tc>
        <w:tc>
          <w:tcPr>
            <w:tcW w:type="dxa" w:w="2400"/>
            <w:tcMar>
              <w:top w:type="dxa" w:w="80"/>
              <w:left w:type="dxa" w:w="120"/>
              <w:bottom w:type="dxa" w:w="80"/>
              <w:right w:type="dxa" w:w="120"/>
            </w:tcMar>
          </w:tcPr>
          <w:p>
            <w:r>
              <w:rPr>
                <w:b w:val="false"/>
                <w:bCs w:val="false"/>
                <w:sz w:val="20"/>
                <w:szCs w:val="20"/>
              </w:rPr>
              <w:t xml:space="preserve">Actions, Photos</w:t>
            </w:r>
          </w:p>
        </w:tc>
        <w:tc>
          <w:tcPr>
            <w:tcW w:type="dxa" w:w="2600"/>
            <w:tcMar>
              <w:top w:type="dxa" w:w="80"/>
              <w:left w:type="dxa" w:w="120"/>
              <w:bottom w:type="dxa" w:w="80"/>
              <w:right w:type="dxa" w:w="120"/>
            </w:tcMar>
          </w:tcPr>
          <w:p>
            <w:r>
              <w:rPr>
                <w:b w:val="false"/>
                <w:bCs w:val="false"/>
                <w:sz w:val="20"/>
                <w:szCs w:val="20"/>
              </w:rPr>
              <w:t xml:space="preserve">Actions réalisées ; photos rayon et façade</w:t>
            </w:r>
          </w:p>
        </w:tc>
        <w:tc>
          <w:tcPr>
            <w:tcW w:type="dxa" w:w="2460"/>
            <w:tcMar>
              <w:top w:type="dxa" w:w="80"/>
              <w:left w:type="dxa" w:w="120"/>
              <w:bottom w:type="dxa" w:w="80"/>
              <w:right w:type="dxa" w:w="120"/>
            </w:tcMar>
          </w:tcPr>
          <w:p>
            <w:r>
              <w:rPr>
                <w:b w:val="false"/>
                <w:bCs w:val="false"/>
                <w:sz w:val="20"/>
                <w:szCs w:val="20"/>
              </w:rPr>
              <w:t xml:space="preserve">Aucun ; preuves consultables dans Visites</w:t>
            </w:r>
          </w:p>
        </w:tc>
      </w:tr>
    </w:tbl>
    <w:p>
      <w:pPr>
        <w:spacing w:after="120"/>
      </w:pPr>
      <w:r>
        <w:rPr>
          <w:sz w:val="22"/>
          <w:szCs w:val="22"/>
        </w:rPr>
        <w:t xml:space="preserve"/>
      </w:r>
    </w:p>
    <w:p>
      <w:pPr>
        <w:pStyle w:val="ListParagraph"/>
        <w:numPr>
          <w:ilvl w:val="0"/>
          <w:numId w:val="2"/>
        </w:numPr>
        <w:spacing w:after="80"/>
      </w:pPr>
      <w:r>
        <w:rPr>
          <w:sz w:val="22"/>
          <w:szCs w:val="22"/>
        </w:rPr>
        <w:t xml:space="preserve">Une quantité non saisie compte comme absente. Un facing non saisi en Modern Trade fait chuter la disponibilité même si le stock est bon.</w:t>
      </w:r>
    </w:p>
    <w:p>
      <w:pPr>
        <w:pStyle w:val="ListParagraph"/>
        <w:numPr>
          <w:ilvl w:val="0"/>
          <w:numId w:val="2"/>
        </w:numPr>
        <w:spacing w:after="80"/>
      </w:pPr>
      <w:r>
        <w:rPr>
          <w:sz w:val="22"/>
          <w:szCs w:val="22"/>
        </w:rPr>
        <w:t xml:space="preserve">La promotion n’entre dans le score que si le commercial a coché « promotion applicable ».</w:t>
      </w:r>
    </w:p>
    <w:p>
      <w:pPr>
        <w:pStyle w:val="ListParagraph"/>
        <w:numPr>
          <w:ilvl w:val="0"/>
          <w:numId w:val="2"/>
        </w:numPr>
        <w:spacing w:after="80"/>
      </w:pPr>
      <w:r>
        <w:rPr>
          <w:sz w:val="22"/>
          <w:szCs w:val="22"/>
        </w:rPr>
        <w:t xml:space="preserve">À l’enregistrement, la position GPS est comparée à celle du PDV ; les visites hors rayon sont signalées.</w:t>
      </w:r>
    </w:p>
    <w:p>
      <w:pPr>
        <w:pStyle w:val="ListParagraph"/>
        <w:numPr>
          <w:ilvl w:val="0"/>
          <w:numId w:val="2"/>
        </w:numPr>
        <w:spacing w:after="80"/>
      </w:pPr>
      <w:r>
        <w:rPr>
          <w:sz w:val="22"/>
          <w:szCs w:val="22"/>
        </w:rPr>
        <w:t xml:space="preserve">Sans réseau, la visite est mise en file d’attente et arrive dans l’admin au retour de la connexion : un décalage de quelques heures est normal.</w:t>
      </w:r>
    </w:p>
    <w:p>
      <w:r>
        <w:br w:type="page"/>
      </w:r>
    </w:p>
    <w:p>
      <w:pPr>
        <w:pStyle w:val="Heading1"/>
        <w:spacing w:after="200" w:before="360"/>
      </w:pPr>
      <w:r>
        <w:t xml:space="preserve">3. Piloter avec le dashboard</w:t>
      </w:r>
    </w:p>
    <w:p>
      <w:pPr>
        <w:spacing w:after="120"/>
      </w:pPr>
      <w:r>
        <w:rPr>
          <w:sz w:val="22"/>
          <w:szCs w:val="22"/>
        </w:rPr>
        <w:t xml:space="preserve">Après connexion, le responsable arrive sur le dashboard Perfect Store. Toute la page obéit à deux jeux de filtres, en haut :</w:t>
      </w:r>
    </w:p>
    <w:p>
      <w:pPr>
        <w:pStyle w:val="ListParagraph"/>
        <w:numPr>
          <w:ilvl w:val="0"/>
          <w:numId w:val="2"/>
        </w:numPr>
        <w:spacing w:after="80"/>
      </w:pPr>
      <w:r>
        <w:rPr>
          <w:b/>
          <w:bCs/>
          <w:sz w:val="22"/>
          <w:szCs w:val="22"/>
        </w:rPr>
        <w:t xml:space="preserve">Période : </w:t>
      </w:r>
      <w:r>
        <w:rPr>
          <w:sz w:val="22"/>
          <w:szCs w:val="22"/>
        </w:rPr>
        <w:t xml:space="preserve">Jour, Semaine, 30 jours (par défaut), Mois, Tout, ou Personnalisé. Le libellé de la plage active est toujours affiché. Un début de mois avec le preset « Mois » peut donner un écran presque vide : c’est normal, aucune visite n’a encore été saisie.</w:t>
      </w:r>
    </w:p>
    <w:p>
      <w:pPr>
        <w:pStyle w:val="ListParagraph"/>
        <w:numPr>
          <w:ilvl w:val="0"/>
          <w:numId w:val="2"/>
        </w:numPr>
        <w:spacing w:after="80"/>
      </w:pPr>
      <w:r>
        <w:rPr>
          <w:b/>
          <w:bCs/>
          <w:sz w:val="22"/>
          <w:szCs w:val="22"/>
        </w:rPr>
        <w:t xml:space="preserve">Périmètre : </w:t>
      </w:r>
      <w:r>
        <w:rPr>
          <w:sz w:val="22"/>
          <w:szCs w:val="22"/>
        </w:rPr>
        <w:t xml:space="preserve">Division (North / South) → Territoire → Area, et Distributeur. « Réinitialiser » revient à la vue réseau.</w:t>
      </w:r>
    </w:p>
    <w:p>
      <w:pPr>
        <w:pStyle w:val="Heading2"/>
        <w:spacing w:after="160" w:before="280"/>
      </w:pPr>
      <w:r>
        <w:t xml:space="preserve">3.1 Lire la page de haut en bas</w:t>
      </w:r>
    </w:p>
    <w:p>
      <w:pPr>
        <w:pStyle w:val="ListParagraph"/>
        <w:numPr>
          <w:ilvl w:val="0"/>
          <w:numId w:val="4"/>
        </w:numPr>
        <w:spacing w:after="80"/>
      </w:pPr>
      <w:r>
        <w:rPr>
          <w:sz w:val="22"/>
          <w:szCs w:val="22"/>
        </w:rPr>
        <w:t xml:space="preserve">Performance réseau : part des visites conformes (au moins BASIC).</w:t>
      </w:r>
    </w:p>
    <w:p>
      <w:pPr>
        <w:pStyle w:val="ListParagraph"/>
        <w:numPr>
          <w:ilvl w:val="0"/>
          <w:numId w:val="4"/>
        </w:numPr>
        <w:spacing w:after="80"/>
      </w:pPr>
      <w:r>
        <w:rPr>
          <w:sz w:val="22"/>
          <w:szCs w:val="22"/>
        </w:rPr>
        <w:t xml:space="preserve">KPI Big Five : couverture (PDV visités / parc actif), score global moyen, disponibilité pondérée, assortiment, visibilité, promotion effective.</w:t>
      </w:r>
    </w:p>
    <w:p>
      <w:pPr>
        <w:pStyle w:val="ListParagraph"/>
        <w:numPr>
          <w:ilvl w:val="0"/>
          <w:numId w:val="4"/>
        </w:numPr>
        <w:spacing w:after="80"/>
      </w:pPr>
      <w:r>
        <w:rPr>
          <w:sz w:val="22"/>
          <w:szCs w:val="22"/>
        </w:rPr>
        <w:t xml:space="preserve">Évolution du taux de Perfect Stores : courbe quotidienne sur la période.</w:t>
      </w:r>
    </w:p>
    <w:p>
      <w:pPr>
        <w:pStyle w:val="ListParagraph"/>
        <w:numPr>
          <w:ilvl w:val="0"/>
          <w:numId w:val="4"/>
        </w:numPr>
        <w:spacing w:after="80"/>
      </w:pPr>
      <w:r>
        <w:rPr>
          <w:sz w:val="22"/>
          <w:szCs w:val="22"/>
        </w:rPr>
        <w:t xml:space="preserve">Perfect Store par type de magasin : accordéons avec la liste des magasins de chaque type.</w:t>
      </w:r>
    </w:p>
    <w:p>
      <w:pPr>
        <w:pStyle w:val="ListParagraph"/>
        <w:numPr>
          <w:ilvl w:val="0"/>
          <w:numId w:val="4"/>
        </w:numPr>
        <w:spacing w:after="80"/>
      </w:pPr>
      <w:r>
        <w:rPr>
          <w:sz w:val="22"/>
          <w:szCs w:val="22"/>
        </w:rPr>
        <w:t xml:space="preserve">Points de vente par niveau : répartition Flagship / VIP / Core / Basic.</w:t>
      </w:r>
    </w:p>
    <w:p>
      <w:pPr>
        <w:pStyle w:val="ListParagraph"/>
        <w:numPr>
          <w:ilvl w:val="0"/>
          <w:numId w:val="4"/>
        </w:numPr>
        <w:spacing w:after="80"/>
      </w:pPr>
      <w:r>
        <w:rPr>
          <w:sz w:val="22"/>
          <w:szCs w:val="22"/>
        </w:rPr>
        <w:t xml:space="preserve">« Passer au niveau supérieur » : pour chaque PDV, le niveau actuel, le niveau cible et les critères exacts qui manquent. C’est l’outil d’action terrain : il dit quoi corriger dans chaque magasin.</w:t>
      </w:r>
    </w:p>
    <w:p>
      <w:pPr>
        <w:pStyle w:val="ListParagraph"/>
        <w:numPr>
          <w:ilvl w:val="0"/>
          <w:numId w:val="4"/>
        </w:numPr>
        <w:spacing w:after="80"/>
      </w:pPr>
      <w:r>
        <w:rPr>
          <w:sz w:val="22"/>
          <w:szCs w:val="22"/>
        </w:rPr>
        <w:t xml:space="preserve">Carte « En tournée maintenant » : les commerciaux dont le suivi GPS est actif.</w:t>
      </w:r>
    </w:p>
    <w:p>
      <w:pPr>
        <w:pStyle w:val="Heading2"/>
        <w:spacing w:after="160" w:before="280"/>
      </w:pPr>
      <w:r>
        <w:t xml:space="preserve">3.2 Les autres écrans de pilotage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C8102E" w:val="clear"/>
            <w:tcMar>
              <w:top w:type="dxa" w:w="80"/>
              <w:left w:type="dxa" w:w="120"/>
              <w:bottom w:type="dxa" w:w="80"/>
              <w:right w:type="dxa" w:w="120"/>
            </w:tcMar>
          </w:tcPr>
          <w:p>
            <w:r>
              <w:rPr>
                <w:b/>
                <w:bCs/>
                <w:color w:val="FFFFFF"/>
                <w:sz w:val="20"/>
                <w:szCs w:val="20"/>
              </w:rPr>
              <w:t xml:space="preserve">Menu</w:t>
            </w:r>
          </w:p>
        </w:tc>
        <w:tc>
          <w:tcPr>
            <w:tcW w:type="dxa" w:w="6160"/>
            <w:shd w:fill="C8102E" w:val="clear"/>
            <w:tcMar>
              <w:top w:type="dxa" w:w="80"/>
              <w:left w:type="dxa" w:w="120"/>
              <w:bottom w:type="dxa" w:w="80"/>
              <w:right w:type="dxa" w:w="120"/>
            </w:tcMar>
          </w:tcPr>
          <w:p>
            <w:r>
              <w:rPr>
                <w:b/>
                <w:bCs/>
                <w:color w:val="FFFFFF"/>
                <w:sz w:val="20"/>
                <w:szCs w:val="20"/>
              </w:rPr>
              <w:t xml:space="preserve">Usage</w:t>
            </w:r>
          </w:p>
        </w:tc>
      </w:tr>
      <w:tr>
        <w:tc>
          <w:tcPr>
            <w:tcW w:type="dxa" w:w="3200"/>
            <w:tcMar>
              <w:top w:type="dxa" w:w="80"/>
              <w:left w:type="dxa" w:w="120"/>
              <w:bottom w:type="dxa" w:w="80"/>
              <w:right w:type="dxa" w:w="120"/>
            </w:tcMar>
          </w:tcPr>
          <w:p>
            <w:r>
              <w:rPr>
                <w:b w:val="false"/>
                <w:bCs w:val="false"/>
                <w:sz w:val="20"/>
                <w:szCs w:val="20"/>
              </w:rPr>
              <w:t xml:space="preserve">Activité</w:t>
            </w:r>
          </w:p>
        </w:tc>
        <w:tc>
          <w:tcPr>
            <w:tcW w:type="dxa" w:w="6160"/>
            <w:tcMar>
              <w:top w:type="dxa" w:w="80"/>
              <w:left w:type="dxa" w:w="120"/>
              <w:bottom w:type="dxa" w:w="80"/>
              <w:right w:type="dxa" w:w="120"/>
            </w:tcMar>
          </w:tcPr>
          <w:p>
            <w:r>
              <w:rPr>
                <w:b w:val="false"/>
                <w:bCs w:val="false"/>
                <w:sz w:val="20"/>
                <w:szCs w:val="20"/>
              </w:rPr>
              <w:t xml:space="preserve">Volume de visites, classement des commerciaux, présence par catégorie produit</w:t>
            </w:r>
          </w:p>
        </w:tc>
      </w:tr>
      <w:tr>
        <w:tc>
          <w:tcPr>
            <w:tcW w:type="dxa" w:w="3200"/>
            <w:tcMar>
              <w:top w:type="dxa" w:w="80"/>
              <w:left w:type="dxa" w:w="120"/>
              <w:bottom w:type="dxa" w:w="80"/>
              <w:right w:type="dxa" w:w="120"/>
            </w:tcMar>
          </w:tcPr>
          <w:p>
            <w:r>
              <w:rPr>
                <w:b w:val="false"/>
                <w:bCs w:val="false"/>
                <w:sz w:val="20"/>
                <w:szCs w:val="20"/>
              </w:rPr>
              <w:t xml:space="preserve">Visites › Commerciaux</w:t>
            </w:r>
          </w:p>
        </w:tc>
        <w:tc>
          <w:tcPr>
            <w:tcW w:type="dxa" w:w="6160"/>
            <w:tcMar>
              <w:top w:type="dxa" w:w="80"/>
              <w:left w:type="dxa" w:w="120"/>
              <w:bottom w:type="dxa" w:w="80"/>
              <w:right w:type="dxa" w:w="120"/>
            </w:tcMar>
          </w:tcPr>
          <w:p>
            <w:r>
              <w:rPr>
                <w:b w:val="false"/>
                <w:bCs w:val="false"/>
                <w:sz w:val="20"/>
                <w:szCs w:val="20"/>
              </w:rPr>
              <w:t xml:space="preserve">Nombre de visites et niveaux atteints par commercial sur la période ; clic = liste de ses visites</w:t>
            </w:r>
          </w:p>
        </w:tc>
      </w:tr>
      <w:tr>
        <w:tc>
          <w:tcPr>
            <w:tcW w:type="dxa" w:w="3200"/>
            <w:tcMar>
              <w:top w:type="dxa" w:w="80"/>
              <w:left w:type="dxa" w:w="120"/>
              <w:bottom w:type="dxa" w:w="80"/>
              <w:right w:type="dxa" w:w="120"/>
            </w:tcMar>
          </w:tcPr>
          <w:p>
            <w:r>
              <w:rPr>
                <w:b w:val="false"/>
                <w:bCs w:val="false"/>
                <w:sz w:val="20"/>
                <w:szCs w:val="20"/>
              </w:rPr>
              <w:t xml:space="preserve">Visites › Évolution / Catégories</w:t>
            </w:r>
          </w:p>
        </w:tc>
        <w:tc>
          <w:tcPr>
            <w:tcW w:type="dxa" w:w="6160"/>
            <w:tcMar>
              <w:top w:type="dxa" w:w="80"/>
              <w:left w:type="dxa" w:w="120"/>
              <w:bottom w:type="dxa" w:w="80"/>
              <w:right w:type="dxa" w:w="120"/>
            </w:tcMar>
          </w:tcPr>
          <w:p>
            <w:r>
              <w:rPr>
                <w:b w:val="false"/>
                <w:bCs w:val="false"/>
                <w:sz w:val="20"/>
                <w:szCs w:val="20"/>
              </w:rPr>
              <w:t xml:space="preserve">Tendances de visites et de présence produit</w:t>
            </w:r>
          </w:p>
        </w:tc>
      </w:tr>
      <w:tr>
        <w:tc>
          <w:tcPr>
            <w:tcW w:type="dxa" w:w="3200"/>
            <w:tcMar>
              <w:top w:type="dxa" w:w="80"/>
              <w:left w:type="dxa" w:w="120"/>
              <w:bottom w:type="dxa" w:w="80"/>
              <w:right w:type="dxa" w:w="120"/>
            </w:tcMar>
          </w:tcPr>
          <w:p>
            <w:r>
              <w:rPr>
                <w:b w:val="false"/>
                <w:bCs w:val="false"/>
                <w:sz w:val="20"/>
                <w:szCs w:val="20"/>
              </w:rPr>
              <w:t xml:space="preserve">Perfect Store › Liste</w:t>
            </w:r>
          </w:p>
        </w:tc>
        <w:tc>
          <w:tcPr>
            <w:tcW w:type="dxa" w:w="6160"/>
            <w:tcMar>
              <w:top w:type="dxa" w:w="80"/>
              <w:left w:type="dxa" w:w="120"/>
              <w:bottom w:type="dxa" w:w="80"/>
              <w:right w:type="dxa" w:w="120"/>
            </w:tcMar>
          </w:tcPr>
          <w:p>
            <w:r>
              <w:rPr>
                <w:b w:val="false"/>
                <w:bCs w:val="false"/>
                <w:sz w:val="20"/>
                <w:szCs w:val="20"/>
              </w:rPr>
              <w:t xml:space="preserve">Tous les PDV par niveau, filtrables</w:t>
            </w:r>
          </w:p>
        </w:tc>
      </w:tr>
      <w:tr>
        <w:tc>
          <w:tcPr>
            <w:tcW w:type="dxa" w:w="3200"/>
            <w:tcMar>
              <w:top w:type="dxa" w:w="80"/>
              <w:left w:type="dxa" w:w="120"/>
              <w:bottom w:type="dxa" w:w="80"/>
              <w:right w:type="dxa" w:w="120"/>
            </w:tcMar>
          </w:tcPr>
          <w:p>
            <w:r>
              <w:rPr>
                <w:b w:val="false"/>
                <w:bCs w:val="false"/>
                <w:sz w:val="20"/>
                <w:szCs w:val="20"/>
              </w:rPr>
              <w:t xml:space="preserve">Visibilité, Produits, Concurrence</w:t>
            </w:r>
          </w:p>
        </w:tc>
        <w:tc>
          <w:tcPr>
            <w:tcW w:type="dxa" w:w="6160"/>
            <w:tcMar>
              <w:top w:type="dxa" w:w="80"/>
              <w:left w:type="dxa" w:w="120"/>
              <w:bottom w:type="dxa" w:w="80"/>
              <w:right w:type="dxa" w:w="120"/>
            </w:tcMar>
          </w:tcPr>
          <w:p>
            <w:r>
              <w:rPr>
                <w:b w:val="false"/>
                <w:bCs w:val="false"/>
                <w:sz w:val="20"/>
                <w:szCs w:val="20"/>
              </w:rPr>
              <w:t xml:space="preserve">Récapitulatifs par pilier, avec accès à la photo du PDV</w:t>
            </w:r>
          </w:p>
        </w:tc>
      </w:tr>
      <w:tr>
        <w:tc>
          <w:tcPr>
            <w:tcW w:type="dxa" w:w="3200"/>
            <w:tcMar>
              <w:top w:type="dxa" w:w="80"/>
              <w:left w:type="dxa" w:w="120"/>
              <w:bottom w:type="dxa" w:w="80"/>
              <w:right w:type="dxa" w:w="120"/>
            </w:tcMar>
          </w:tcPr>
          <w:p>
            <w:r>
              <w:rPr>
                <w:b w:val="false"/>
                <w:bCs w:val="false"/>
                <w:sz w:val="20"/>
                <w:szCs w:val="20"/>
              </w:rPr>
              <w:t xml:space="preserve">Carte</w:t>
            </w:r>
          </w:p>
        </w:tc>
        <w:tc>
          <w:tcPr>
            <w:tcW w:type="dxa" w:w="6160"/>
            <w:tcMar>
              <w:top w:type="dxa" w:w="80"/>
              <w:left w:type="dxa" w:w="120"/>
              <w:bottom w:type="dxa" w:w="80"/>
              <w:right w:type="dxa" w:w="120"/>
            </w:tcMar>
          </w:tcPr>
          <w:p>
            <w:r>
              <w:rPr>
                <w:b w:val="false"/>
                <w:bCs w:val="false"/>
                <w:sz w:val="20"/>
                <w:szCs w:val="20"/>
              </w:rPr>
              <w:t xml:space="preserve">Tous les PDV géolocalisés, vignette photo, filtres</w:t>
            </w:r>
          </w:p>
        </w:tc>
      </w:tr>
      <w:tr>
        <w:tc>
          <w:tcPr>
            <w:tcW w:type="dxa" w:w="3200"/>
            <w:tcMar>
              <w:top w:type="dxa" w:w="80"/>
              <w:left w:type="dxa" w:w="120"/>
              <w:bottom w:type="dxa" w:w="80"/>
              <w:right w:type="dxa" w:w="120"/>
            </w:tcMar>
          </w:tcPr>
          <w:p>
            <w:r>
              <w:rPr>
                <w:b w:val="false"/>
                <w:bCs w:val="false"/>
                <w:sz w:val="20"/>
                <w:szCs w:val="20"/>
              </w:rPr>
              <w:t xml:space="preserve">Trajets</w:t>
            </w:r>
          </w:p>
        </w:tc>
        <w:tc>
          <w:tcPr>
            <w:tcW w:type="dxa" w:w="6160"/>
            <w:tcMar>
              <w:top w:type="dxa" w:w="80"/>
              <w:left w:type="dxa" w:w="120"/>
              <w:bottom w:type="dxa" w:w="80"/>
              <w:right w:type="dxa" w:w="120"/>
            </w:tcMar>
          </w:tcPr>
          <w:p>
            <w:r>
              <w:rPr>
                <w:b w:val="false"/>
                <w:bCs w:val="false"/>
                <w:sz w:val="20"/>
                <w:szCs w:val="20"/>
              </w:rPr>
              <w:t xml:space="preserve">Tournées GPS enregistrées par les commerciaux</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EF2FA" w:val="clear"/>
            <w:tcMar>
              <w:top w:type="dxa" w:w="160"/>
              <w:left w:type="dxa" w:w="240"/>
              <w:bottom w:type="dxa" w:w="160"/>
              <w:right w:type="dxa" w:w="240"/>
            </w:tcMar>
          </w:tcPr>
          <w:p>
            <w:pPr>
              <w:spacing w:after="80"/>
            </w:pPr>
            <w:r>
              <w:rPr>
                <w:b/>
                <w:bCs/>
                <w:color w:val="C8102E"/>
                <w:sz w:val="22"/>
                <w:szCs w:val="22"/>
              </w:rPr>
              <w:t xml:space="preserve">Exercice — Trouver quoi corriger (10 min)</w:t>
            </w:r>
          </w:p>
          <w:p>
            <w:pPr>
              <w:spacing w:after="60"/>
            </w:pPr>
            <w:r>
              <w:rPr>
                <w:b/>
                <w:bCs/>
                <w:sz w:val="22"/>
                <w:szCs w:val="22"/>
              </w:rPr>
              <w:t xml:space="preserve">1. </w:t>
            </w:r>
            <w:r>
              <w:rPr>
                <w:sz w:val="22"/>
                <w:szCs w:val="22"/>
              </w:rPr>
              <w:t xml:space="preserve">Passer la période sur « Mois » puis revenir sur « 30 jours » : observer la différence.</w:t>
            </w:r>
          </w:p>
          <w:p>
            <w:pPr>
              <w:spacing w:after="60"/>
            </w:pPr>
            <w:r>
              <w:rPr>
                <w:b/>
                <w:bCs/>
                <w:sz w:val="22"/>
                <w:szCs w:val="22"/>
              </w:rPr>
              <w:t xml:space="preserve">2. </w:t>
            </w:r>
            <w:r>
              <w:rPr>
                <w:sz w:val="22"/>
                <w:szCs w:val="22"/>
              </w:rPr>
              <w:t xml:space="preserve">Filtrer sur un territoire, puis lire le tableau « Passer au niveau supérieur ».</w:t>
            </w:r>
          </w:p>
          <w:p>
            <w:pPr>
              <w:spacing w:after="60"/>
            </w:pPr>
            <w:r>
              <w:rPr>
                <w:b/>
                <w:bCs/>
                <w:sz w:val="22"/>
                <w:szCs w:val="22"/>
              </w:rPr>
              <w:t xml:space="preserve">3. </w:t>
            </w:r>
            <w:r>
              <w:rPr>
                <w:sz w:val="22"/>
                <w:szCs w:val="22"/>
              </w:rPr>
              <w:t xml:space="preserve">Choisir un PDV en CORE et noter les critères manquants pour atteindre VIP.</w:t>
            </w:r>
          </w:p>
        </w:tc>
      </w:tr>
    </w:tbl>
    <w:p>
      <w:r>
        <w:br w:type="page"/>
      </w:r>
    </w:p>
    <w:p>
      <w:pPr>
        <w:pStyle w:val="Heading1"/>
        <w:spacing w:after="200" w:before="360"/>
      </w:pPr>
      <w:r>
        <w:t xml:space="preserve">4. Visites, PDV et utilisateurs</w:t>
      </w:r>
    </w:p>
    <w:p>
      <w:pPr>
        <w:pStyle w:val="Heading2"/>
        <w:spacing w:after="160" w:before="280"/>
      </w:pPr>
      <w:r>
        <w:t xml:space="preserve">4.1 Consulter les visites</w:t>
      </w:r>
    </w:p>
    <w:p>
      <w:pPr>
        <w:pStyle w:val="ListParagraph"/>
        <w:numPr>
          <w:ilvl w:val="0"/>
          <w:numId w:val="2"/>
        </w:numPr>
        <w:spacing w:after="80"/>
      </w:pPr>
      <w:r>
        <w:rPr>
          <w:sz w:val="22"/>
          <w:szCs w:val="22"/>
        </w:rPr>
        <w:t xml:space="preserve">Menu Visites : liste filtrée par période et par commercial, avec niveau, score et présence produit par catégorie.</w:t>
      </w:r>
    </w:p>
    <w:p>
      <w:pPr>
        <w:pStyle w:val="ListParagraph"/>
        <w:numPr>
          <w:ilvl w:val="0"/>
          <w:numId w:val="2"/>
        </w:numPr>
        <w:spacing w:after="80"/>
      </w:pPr>
      <w:r>
        <w:rPr>
          <w:sz w:val="22"/>
          <w:szCs w:val="22"/>
        </w:rPr>
        <w:t xml:space="preserve">Clic sur une ligne : détail complet (relevé, piliers, actions, concurrents) et galerie photos avec zoom.</w:t>
      </w:r>
    </w:p>
    <w:p>
      <w:pPr>
        <w:pStyle w:val="ListParagraph"/>
        <w:numPr>
          <w:ilvl w:val="0"/>
          <w:numId w:val="2"/>
        </w:numPr>
        <w:spacing w:after="80"/>
      </w:pPr>
      <w:r>
        <w:rPr>
          <w:sz w:val="22"/>
          <w:szCs w:val="22"/>
        </w:rPr>
        <w:t xml:space="preserve">Colonne photos : le nombre indique les photos réellement disponibles ; clic = galerie.</w:t>
      </w:r>
    </w:p>
    <w:p>
      <w:pPr>
        <w:pStyle w:val="ListParagraph"/>
        <w:numPr>
          <w:ilvl w:val="0"/>
          <w:numId w:val="2"/>
        </w:numPr>
        <w:spacing w:after="80"/>
      </w:pPr>
      <w:r>
        <w:rPr>
          <w:sz w:val="22"/>
          <w:szCs w:val="22"/>
        </w:rPr>
        <w:t xml:space="preserve">Bouton Exporter : toutes les visites de la période au format Excel, plafonné à 5 000 lignes (réduire la période au besoin).</w:t>
      </w:r>
    </w:p>
    <w:p>
      <w:pPr>
        <w:pStyle w:val="ListParagraph"/>
        <w:numPr>
          <w:ilvl w:val="0"/>
          <w:numId w:val="2"/>
        </w:numPr>
        <w:spacing w:after="80"/>
      </w:pPr>
      <w:r>
        <w:rPr>
          <w:sz w:val="22"/>
          <w:szCs w:val="22"/>
        </w:rPr>
        <w:t xml:space="preserve">Suppression possible depuis le détail, réservée aux erreurs de saisie manifestes.</w:t>
      </w:r>
    </w:p>
    <w:p>
      <w:pPr>
        <w:pStyle w:val="Heading2"/>
        <w:spacing w:after="160" w:before="280"/>
      </w:pPr>
      <w:r>
        <w:t xml:space="preserve">4.2 Les points de vente</w:t>
      </w:r>
    </w:p>
    <w:p>
      <w:pPr>
        <w:pStyle w:val="ListParagraph"/>
        <w:numPr>
          <w:ilvl w:val="0"/>
          <w:numId w:val="2"/>
        </w:numPr>
        <w:spacing w:after="80"/>
      </w:pPr>
      <w:r>
        <w:rPr>
          <w:sz w:val="22"/>
          <w:szCs w:val="22"/>
        </w:rPr>
        <w:t xml:space="preserve">Menu PDV : liste complète, recherche, photo du PDV, répartition par type et évolution des créations.</w:t>
      </w:r>
    </w:p>
    <w:p>
      <w:pPr>
        <w:pStyle w:val="ListParagraph"/>
        <w:numPr>
          <w:ilvl w:val="0"/>
          <w:numId w:val="2"/>
        </w:numPr>
        <w:spacing w:after="80"/>
      </w:pPr>
      <w:r>
        <w:rPr>
          <w:sz w:val="22"/>
          <w:szCs w:val="22"/>
        </w:rPr>
        <w:t xml:space="preserve">Import / Export : import CSV en masse (compatible Google Sheets), export des PDV et des visites.</w:t>
      </w:r>
    </w:p>
    <w:p>
      <w:pPr>
        <w:pStyle w:val="ListParagraph"/>
        <w:numPr>
          <w:ilvl w:val="0"/>
          <w:numId w:val="2"/>
        </w:numPr>
        <w:spacing w:after="80"/>
      </w:pPr>
      <w:r>
        <w:rPr>
          <w:sz w:val="22"/>
          <w:szCs w:val="22"/>
        </w:rPr>
        <w:t xml:space="preserve">Les PDV créés en formation ou en doublon se désactivent ou se suppriment ici.</w:t>
      </w:r>
    </w:p>
    <w:p>
      <w:pPr>
        <w:pStyle w:val="Heading2"/>
        <w:spacing w:after="160" w:before="280"/>
      </w:pPr>
      <w:r>
        <w:t xml:space="preserve">4.3 Gérer les utilisateurs</w:t>
      </w:r>
    </w:p>
    <w:p>
      <w:pPr>
        <w:spacing w:after="120"/>
      </w:pPr>
      <w:r>
        <w:rPr>
          <w:sz w:val="22"/>
          <w:szCs w:val="22"/>
        </w:rPr>
        <w:t xml:space="preserve">Menu Utilisateurs. Chaque compte comporte : e-mail, nom complet, téléphone, rôle, région, sous-région, territoires assignés et quartiers assignés. Un import CSV permet de créer ou mettre à jour plusieurs comptes et leurs affectations d’un coup.</w:t>
      </w:r>
    </w:p>
    <w:p>
      <w:pPr>
        <w:pStyle w:val="ListParagraph"/>
        <w:numPr>
          <w:ilvl w:val="0"/>
          <w:numId w:val="5"/>
        </w:numPr>
        <w:spacing w:after="80"/>
      </w:pPr>
      <w:r>
        <w:rPr>
          <w:sz w:val="22"/>
          <w:szCs w:val="22"/>
        </w:rPr>
        <w:t xml:space="preserve">Créer le compte avec un mot de passe provisoire et le rôle voulu.</w:t>
      </w:r>
    </w:p>
    <w:p>
      <w:pPr>
        <w:pStyle w:val="ListParagraph"/>
        <w:numPr>
          <w:ilvl w:val="0"/>
          <w:numId w:val="5"/>
        </w:numPr>
        <w:spacing w:after="80"/>
      </w:pPr>
      <w:r>
        <w:rPr>
          <w:sz w:val="22"/>
          <w:szCs w:val="22"/>
        </w:rPr>
        <w:t xml:space="preserve">Affecter la région, la sous-région, puis les territoires et quartiers : c’est ce périmètre qui définit les PDV visibles sur le téléphone.</w:t>
      </w:r>
    </w:p>
    <w:p>
      <w:pPr>
        <w:pStyle w:val="ListParagraph"/>
        <w:numPr>
          <w:ilvl w:val="0"/>
          <w:numId w:val="5"/>
        </w:numPr>
        <w:spacing w:after="80"/>
      </w:pPr>
      <w:r>
        <w:rPr>
          <w:sz w:val="22"/>
          <w:szCs w:val="22"/>
        </w:rPr>
        <w:t xml:space="preserve">Communiquer les identifiants : l’application forcera le changement de mot de passe à la première connexion.</w:t>
      </w:r>
    </w:p>
    <w:p>
      <w:pPr>
        <w:pStyle w:val="ListParagraph"/>
        <w:numPr>
          <w:ilvl w:val="0"/>
          <w:numId w:val="5"/>
        </w:numPr>
        <w:spacing w:after="80"/>
      </w:pPr>
      <w:r>
        <w:rPr>
          <w:sz w:val="22"/>
          <w:szCs w:val="22"/>
        </w:rPr>
        <w:t xml:space="preserve">En cas de départ : passer le compte en inactif plutôt que de le supprimer, pour conserver l’historique des visites.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BE9EC" w:val="clear"/>
            <w:tcMar>
              <w:top w:type="dxa" w:w="160"/>
              <w:left w:type="dxa" w:w="240"/>
              <w:bottom w:type="dxa" w:w="160"/>
              <w:right w:type="dxa" w:w="240"/>
            </w:tcMar>
          </w:tcPr>
          <w:p>
            <w:pPr>
              <w:spacing w:after="80"/>
            </w:pPr>
            <w:r>
              <w:rPr>
                <w:b/>
                <w:bCs/>
                <w:color w:val="C8102E"/>
                <w:sz w:val="22"/>
                <w:szCs w:val="22"/>
              </w:rPr>
              <w:t xml:space="preserve">Un commercial ne voit pas ses PDV ?</w:t>
            </w:r>
          </w:p>
          <w:p>
            <w:pPr>
              <w:spacing w:after="60"/>
            </w:pPr>
            <w:r>
              <w:rPr>
                <w:sz w:val="22"/>
                <w:szCs w:val="22"/>
              </w:rPr>
              <w:t xml:space="preserve">Ouvrir son compte et comparer ses territoires et quartiers assignés avec la zone et le secteur des PDV concernés. Le libellé doit correspondre exactement.</w:t>
            </w:r>
          </w:p>
        </w:tc>
      </w:tr>
    </w:tbl>
    <w:p>
      <w:pPr>
        <w:pStyle w:val="Heading2"/>
        <w:spacing w:after="160" w:before="280"/>
      </w:pPr>
      <w:r>
        <w:t xml:space="preserve">4.4 Permissions</w:t>
      </w:r>
    </w:p>
    <w:p>
      <w:pPr>
        <w:spacing w:after="120"/>
      </w:pPr>
      <w:r>
        <w:rPr>
          <w:sz w:val="22"/>
          <w:szCs w:val="22"/>
        </w:rPr>
        <w:t xml:space="preserve">Menu Permissions : matrice rôle × section du menu. Elle règle ce que voient superviseurs et commerciaux dans l’espace admin. Réservé à l’administrateur.</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EF2FA" w:val="clear"/>
            <w:tcMar>
              <w:top w:type="dxa" w:w="160"/>
              <w:left w:type="dxa" w:w="240"/>
              <w:bottom w:type="dxa" w:w="160"/>
              <w:right w:type="dxa" w:w="240"/>
            </w:tcMar>
          </w:tcPr>
          <w:p>
            <w:pPr>
              <w:spacing w:after="80"/>
            </w:pPr>
            <w:r>
              <w:rPr>
                <w:b/>
                <w:bCs/>
                <w:color w:val="C8102E"/>
                <w:sz w:val="22"/>
                <w:szCs w:val="22"/>
              </w:rPr>
              <w:t xml:space="preserve">Exercice — Administrer (10 min)</w:t>
            </w:r>
          </w:p>
          <w:p>
            <w:pPr>
              <w:spacing w:after="60"/>
            </w:pPr>
            <w:r>
              <w:rPr>
                <w:b/>
                <w:bCs/>
                <w:sz w:val="22"/>
                <w:szCs w:val="22"/>
              </w:rPr>
              <w:t xml:space="preserve">1. </w:t>
            </w:r>
            <w:r>
              <w:rPr>
                <w:sz w:val="22"/>
                <w:szCs w:val="22"/>
              </w:rPr>
              <w:t xml:space="preserve">Ouvrir une visite récente et vérifier ses photos.</w:t>
            </w:r>
          </w:p>
          <w:p>
            <w:pPr>
              <w:spacing w:after="60"/>
            </w:pPr>
            <w:r>
              <w:rPr>
                <w:b/>
                <w:bCs/>
                <w:sz w:val="22"/>
                <w:szCs w:val="22"/>
              </w:rPr>
              <w:t xml:space="preserve">2. </w:t>
            </w:r>
            <w:r>
              <w:rPr>
                <w:sz w:val="22"/>
                <w:szCs w:val="22"/>
              </w:rPr>
              <w:t xml:space="preserve">Exporter les visites des 30 derniers jours et ouvrir le fichier.</w:t>
            </w:r>
          </w:p>
          <w:p>
            <w:pPr>
              <w:spacing w:after="60"/>
            </w:pPr>
            <w:r>
              <w:rPr>
                <w:b/>
                <w:bCs/>
                <w:sz w:val="22"/>
                <w:szCs w:val="22"/>
              </w:rPr>
              <w:t xml:space="preserve">3. </w:t>
            </w:r>
            <w:r>
              <w:rPr>
                <w:sz w:val="22"/>
                <w:szCs w:val="22"/>
              </w:rPr>
              <w:t xml:space="preserve">Créer un utilisateur test avec le rôle merchandiseur et un territoire, puis le passer en inactif.</w:t>
            </w:r>
          </w:p>
        </w:tc>
      </w:tr>
    </w:tbl>
    <w:p>
      <w:r>
        <w:br w:type="page"/>
      </w:r>
    </w:p>
    <w:p>
      <w:pPr>
        <w:pStyle w:val="Heading1"/>
        <w:spacing w:after="200" w:before="360"/>
      </w:pPr>
      <w:r>
        <w:t xml:space="preserve">5. Standards et référentiels</w:t>
      </w:r>
    </w:p>
    <w:p>
      <w:pPr>
        <w:spacing w:after="120"/>
      </w:pPr>
      <w:r>
        <w:rPr>
          <w:sz w:val="22"/>
          <w:szCs w:val="22"/>
        </w:rPr>
        <w:t xml:space="preserve">Les seuils qui pilotent le score et le formulaire mobile sont modifiables sans intervention technique. Règle d’or : après toute modification d’un standard, cliquer « Recalculer » dans Perfect Store › Standards, sinon les scores affichés restent calculés avec les anciennes valeurs.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C8102E" w:val="clear"/>
            <w:tcMar>
              <w:top w:type="dxa" w:w="80"/>
              <w:left w:type="dxa" w:w="120"/>
              <w:bottom w:type="dxa" w:w="80"/>
              <w:right w:type="dxa" w:w="120"/>
            </w:tcMar>
          </w:tcPr>
          <w:p>
            <w:r>
              <w:rPr>
                <w:b/>
                <w:bCs/>
                <w:color w:val="FFFFFF"/>
                <w:sz w:val="20"/>
                <w:szCs w:val="20"/>
              </w:rPr>
              <w:t xml:space="preserve">Je veux régler…</w:t>
            </w:r>
          </w:p>
        </w:tc>
        <w:tc>
          <w:tcPr>
            <w:tcW w:type="dxa" w:w="4160"/>
            <w:shd w:fill="C8102E" w:val="clear"/>
            <w:tcMar>
              <w:top w:type="dxa" w:w="80"/>
              <w:left w:type="dxa" w:w="120"/>
              <w:bottom w:type="dxa" w:w="80"/>
              <w:right w:type="dxa" w:w="120"/>
            </w:tcMar>
          </w:tcPr>
          <w:p>
            <w:r>
              <w:rPr>
                <w:b/>
                <w:bCs/>
                <w:color w:val="FFFFFF"/>
                <w:sz w:val="20"/>
                <w:szCs w:val="20"/>
              </w:rPr>
              <w:t xml:space="preserve">Écran</w:t>
            </w:r>
          </w:p>
        </w:tc>
      </w:tr>
      <w:tr>
        <w:tc>
          <w:tcPr>
            <w:tcW w:type="dxa" w:w="5200"/>
            <w:tcMar>
              <w:top w:type="dxa" w:w="80"/>
              <w:left w:type="dxa" w:w="120"/>
              <w:bottom w:type="dxa" w:w="80"/>
              <w:right w:type="dxa" w:w="120"/>
            </w:tcMar>
          </w:tcPr>
          <w:p>
            <w:r>
              <w:rPr>
                <w:b w:val="false"/>
                <w:bCs w:val="false"/>
                <w:sz w:val="20"/>
                <w:szCs w:val="20"/>
              </w:rPr>
              <w:t xml:space="preserve">Quantités minimales General Trade (par référence, segment, grade)</w:t>
            </w:r>
          </w:p>
        </w:tc>
        <w:tc>
          <w:tcPr>
            <w:tcW w:type="dxa" w:w="4160"/>
            <w:tcMar>
              <w:top w:type="dxa" w:w="80"/>
              <w:left w:type="dxa" w:w="120"/>
              <w:bottom w:type="dxa" w:w="80"/>
              <w:right w:type="dxa" w:w="120"/>
            </w:tcMar>
          </w:tcPr>
          <w:p>
            <w:r>
              <w:rPr>
                <w:b w:val="false"/>
                <w:bCs w:val="false"/>
                <w:sz w:val="20"/>
                <w:szCs w:val="20"/>
              </w:rPr>
              <w:t xml:space="preserve">Référentiels › Seuils dispo</w:t>
            </w:r>
          </w:p>
        </w:tc>
      </w:tr>
      <w:tr>
        <w:tc>
          <w:tcPr>
            <w:tcW w:type="dxa" w:w="5200"/>
            <w:tcMar>
              <w:top w:type="dxa" w:w="80"/>
              <w:left w:type="dxa" w:w="120"/>
              <w:bottom w:type="dxa" w:w="80"/>
              <w:right w:type="dxa" w:w="120"/>
            </w:tcMar>
          </w:tcPr>
          <w:p>
            <w:r>
              <w:rPr>
                <w:b w:val="false"/>
                <w:bCs w:val="false"/>
                <w:sz w:val="20"/>
                <w:szCs w:val="20"/>
              </w:rPr>
              <w:t xml:space="preserve">Quantités et facings Modern Trade</w:t>
            </w:r>
          </w:p>
        </w:tc>
        <w:tc>
          <w:tcPr>
            <w:tcW w:type="dxa" w:w="4160"/>
            <w:tcMar>
              <w:top w:type="dxa" w:w="80"/>
              <w:left w:type="dxa" w:w="120"/>
              <w:bottom w:type="dxa" w:w="80"/>
              <w:right w:type="dxa" w:w="120"/>
            </w:tcMar>
          </w:tcPr>
          <w:p>
            <w:r>
              <w:rPr>
                <w:b w:val="false"/>
                <w:bCs w:val="false"/>
                <w:sz w:val="20"/>
                <w:szCs w:val="20"/>
              </w:rPr>
              <w:t xml:space="preserve">Référentiels › Seuils dispo MT (facings)</w:t>
            </w:r>
          </w:p>
        </w:tc>
      </w:tr>
      <w:tr>
        <w:tc>
          <w:tcPr>
            <w:tcW w:type="dxa" w:w="5200"/>
            <w:tcMar>
              <w:top w:type="dxa" w:w="80"/>
              <w:left w:type="dxa" w:w="120"/>
              <w:bottom w:type="dxa" w:w="80"/>
              <w:right w:type="dxa" w:w="120"/>
            </w:tcMar>
          </w:tcPr>
          <w:p>
            <w:r>
              <w:rPr>
                <w:b w:val="false"/>
                <w:bCs w:val="false"/>
                <w:sz w:val="20"/>
                <w:szCs w:val="20"/>
              </w:rPr>
              <w:t xml:space="preserve">Assortiment (références cibles, héros obligatoires)</w:t>
            </w:r>
          </w:p>
        </w:tc>
        <w:tc>
          <w:tcPr>
            <w:tcW w:type="dxa" w:w="4160"/>
            <w:tcMar>
              <w:top w:type="dxa" w:w="80"/>
              <w:left w:type="dxa" w:w="120"/>
              <w:bottom w:type="dxa" w:w="80"/>
              <w:right w:type="dxa" w:w="120"/>
            </w:tcMar>
          </w:tcPr>
          <w:p>
            <w:r>
              <w:rPr>
                <w:b w:val="false"/>
                <w:bCs w:val="false"/>
                <w:sz w:val="20"/>
                <w:szCs w:val="20"/>
              </w:rPr>
              <w:t xml:space="preserve">Référentiels › Assortiment</w:t>
            </w:r>
          </w:p>
        </w:tc>
      </w:tr>
      <w:tr>
        <w:tc>
          <w:tcPr>
            <w:tcW w:type="dxa" w:w="5200"/>
            <w:tcMar>
              <w:top w:type="dxa" w:w="80"/>
              <w:left w:type="dxa" w:w="120"/>
              <w:bottom w:type="dxa" w:w="80"/>
              <w:right w:type="dxa" w:w="120"/>
            </w:tcMar>
          </w:tcPr>
          <w:p>
            <w:r>
              <w:rPr>
                <w:b w:val="false"/>
                <w:bCs w:val="false"/>
                <w:sz w:val="20"/>
                <w:szCs w:val="20"/>
              </w:rPr>
              <w:t xml:space="preserve">Pondération des références</w:t>
            </w:r>
          </w:p>
        </w:tc>
        <w:tc>
          <w:tcPr>
            <w:tcW w:type="dxa" w:w="4160"/>
            <w:tcMar>
              <w:top w:type="dxa" w:w="80"/>
              <w:left w:type="dxa" w:w="120"/>
              <w:bottom w:type="dxa" w:w="80"/>
              <w:right w:type="dxa" w:w="120"/>
            </w:tcMar>
          </w:tcPr>
          <w:p>
            <w:r>
              <w:rPr>
                <w:b w:val="false"/>
                <w:bCs w:val="false"/>
                <w:sz w:val="20"/>
                <w:szCs w:val="20"/>
              </w:rPr>
              <w:t xml:space="preserve">Perfect Store › Standards › Disponibilité</w:t>
            </w:r>
          </w:p>
        </w:tc>
      </w:tr>
      <w:tr>
        <w:tc>
          <w:tcPr>
            <w:tcW w:type="dxa" w:w="5200"/>
            <w:tcMar>
              <w:top w:type="dxa" w:w="80"/>
              <w:left w:type="dxa" w:w="120"/>
              <w:bottom w:type="dxa" w:w="80"/>
              <w:right w:type="dxa" w:w="120"/>
            </w:tcMar>
          </w:tcPr>
          <w:p>
            <w:r>
              <w:rPr>
                <w:b w:val="false"/>
                <w:bCs w:val="false"/>
                <w:sz w:val="20"/>
                <w:szCs w:val="20"/>
              </w:rPr>
              <w:t xml:space="preserve">Éléments de visibilité requis par niveau et segment</w:t>
            </w:r>
          </w:p>
        </w:tc>
        <w:tc>
          <w:tcPr>
            <w:tcW w:type="dxa" w:w="4160"/>
            <w:tcMar>
              <w:top w:type="dxa" w:w="80"/>
              <w:left w:type="dxa" w:w="120"/>
              <w:bottom w:type="dxa" w:w="80"/>
              <w:right w:type="dxa" w:w="120"/>
            </w:tcMar>
          </w:tcPr>
          <w:p>
            <w:r>
              <w:rPr>
                <w:b w:val="false"/>
                <w:bCs w:val="false"/>
                <w:sz w:val="20"/>
                <w:szCs w:val="20"/>
              </w:rPr>
              <w:t xml:space="preserve">Perfect Store › Standards › Visibilité</w:t>
            </w:r>
          </w:p>
        </w:tc>
      </w:tr>
      <w:tr>
        <w:tc>
          <w:tcPr>
            <w:tcW w:type="dxa" w:w="5200"/>
            <w:tcMar>
              <w:top w:type="dxa" w:w="80"/>
              <w:left w:type="dxa" w:w="120"/>
              <w:bottom w:type="dxa" w:w="80"/>
              <w:right w:type="dxa" w:w="120"/>
            </w:tcMar>
          </w:tcPr>
          <w:p>
            <w:r>
              <w:rPr>
                <w:b w:val="false"/>
                <w:bCs w:val="false"/>
                <w:sz w:val="20"/>
                <w:szCs w:val="20"/>
              </w:rPr>
              <w:t xml:space="preserve">Rattacher un type de magasin à ses standards</w:t>
            </w:r>
          </w:p>
        </w:tc>
        <w:tc>
          <w:tcPr>
            <w:tcW w:type="dxa" w:w="4160"/>
            <w:tcMar>
              <w:top w:type="dxa" w:w="80"/>
              <w:left w:type="dxa" w:w="120"/>
              <w:bottom w:type="dxa" w:w="80"/>
              <w:right w:type="dxa" w:w="120"/>
            </w:tcMar>
          </w:tcPr>
          <w:p>
            <w:r>
              <w:rPr>
                <w:b w:val="false"/>
                <w:bCs w:val="false"/>
                <w:sz w:val="20"/>
                <w:szCs w:val="20"/>
              </w:rPr>
              <w:t xml:space="preserve">Perfect Store › Standards › Types de PDV</w:t>
            </w:r>
          </w:p>
        </w:tc>
      </w:tr>
      <w:tr>
        <w:tc>
          <w:tcPr>
            <w:tcW w:type="dxa" w:w="5200"/>
            <w:tcMar>
              <w:top w:type="dxa" w:w="80"/>
              <w:left w:type="dxa" w:w="120"/>
              <w:bottom w:type="dxa" w:w="80"/>
              <w:right w:type="dxa" w:w="120"/>
            </w:tcMar>
          </w:tcPr>
          <w:p>
            <w:r>
              <w:rPr>
                <w:b w:val="false"/>
                <w:bCs w:val="false"/>
                <w:sz w:val="20"/>
                <w:szCs w:val="20"/>
              </w:rPr>
              <w:t xml:space="preserve">Seuils des niveaux (95 / 85 / 75 / 60)</w:t>
            </w:r>
          </w:p>
        </w:tc>
        <w:tc>
          <w:tcPr>
            <w:tcW w:type="dxa" w:w="4160"/>
            <w:tcMar>
              <w:top w:type="dxa" w:w="80"/>
              <w:left w:type="dxa" w:w="120"/>
              <w:bottom w:type="dxa" w:w="80"/>
              <w:right w:type="dxa" w:w="120"/>
            </w:tcMar>
          </w:tcPr>
          <w:p>
            <w:r>
              <w:rPr>
                <w:b w:val="false"/>
                <w:bCs w:val="false"/>
                <w:sz w:val="20"/>
                <w:szCs w:val="20"/>
              </w:rPr>
              <w:t xml:space="preserve">Référentiels › Niveaux Perfect Store</w:t>
            </w:r>
          </w:p>
        </w:tc>
      </w:tr>
      <w:tr>
        <w:tc>
          <w:tcPr>
            <w:tcW w:type="dxa" w:w="5200"/>
            <w:tcMar>
              <w:top w:type="dxa" w:w="80"/>
              <w:left w:type="dxa" w:w="120"/>
              <w:bottom w:type="dxa" w:w="80"/>
              <w:right w:type="dxa" w:w="120"/>
            </w:tcMar>
          </w:tcPr>
          <w:p>
            <w:r>
              <w:rPr>
                <w:b w:val="false"/>
                <w:bCs w:val="false"/>
                <w:sz w:val="20"/>
                <w:szCs w:val="20"/>
              </w:rPr>
              <w:t xml:space="preserve">Distributeurs par territoire ou par area</w:t>
            </w:r>
          </w:p>
        </w:tc>
        <w:tc>
          <w:tcPr>
            <w:tcW w:type="dxa" w:w="4160"/>
            <w:tcMar>
              <w:top w:type="dxa" w:w="80"/>
              <w:left w:type="dxa" w:w="120"/>
              <w:bottom w:type="dxa" w:w="80"/>
              <w:right w:type="dxa" w:w="120"/>
            </w:tcMar>
          </w:tcPr>
          <w:p>
            <w:r>
              <w:rPr>
                <w:b w:val="false"/>
                <w:bCs w:val="false"/>
                <w:sz w:val="20"/>
                <w:szCs w:val="20"/>
              </w:rPr>
              <w:t xml:space="preserve">Référentiels › Distrib ↔ Territoires / Areas</w:t>
            </w:r>
          </w:p>
        </w:tc>
      </w:tr>
      <w:tr>
        <w:tc>
          <w:tcPr>
            <w:tcW w:type="dxa" w:w="5200"/>
            <w:tcMar>
              <w:top w:type="dxa" w:w="80"/>
              <w:left w:type="dxa" w:w="120"/>
              <w:bottom w:type="dxa" w:w="80"/>
              <w:right w:type="dxa" w:w="120"/>
            </w:tcMar>
          </w:tcPr>
          <w:p>
            <w:r>
              <w:rPr>
                <w:b w:val="false"/>
                <w:bCs w:val="false"/>
                <w:sz w:val="20"/>
                <w:szCs w:val="20"/>
              </w:rPr>
              <w:t xml:space="preserve">Seuils « stock bas » (pastilles mobile)</w:t>
            </w:r>
          </w:p>
        </w:tc>
        <w:tc>
          <w:tcPr>
            <w:tcW w:type="dxa" w:w="4160"/>
            <w:tcMar>
              <w:top w:type="dxa" w:w="80"/>
              <w:left w:type="dxa" w:w="120"/>
              <w:bottom w:type="dxa" w:w="80"/>
              <w:right w:type="dxa" w:w="120"/>
            </w:tcMar>
          </w:tcPr>
          <w:p>
            <w:r>
              <w:rPr>
                <w:b w:val="false"/>
                <w:bCs w:val="false"/>
                <w:sz w:val="20"/>
                <w:szCs w:val="20"/>
              </w:rPr>
              <w:t xml:space="preserve">Produits › Seuils</w:t>
            </w:r>
          </w:p>
        </w:tc>
      </w:tr>
    </w:tbl>
    <w:p>
      <w:pPr>
        <w:spacing w:after="120"/>
      </w:pPr>
      <w:r>
        <w:rPr>
          <w:sz w:val="22"/>
          <w:szCs w:val="22"/>
        </w:rPr>
        <w:t xml:space="preserve"/>
      </w:r>
    </w:p>
    <w:p>
      <w:pPr>
        <w:spacing w:after="120"/>
      </w:pPr>
      <w:r>
        <w:rPr>
          <w:b/>
          <w:bCs/>
          <w:sz w:val="22"/>
          <w:szCs w:val="22"/>
        </w:rPr>
        <w:t xml:space="preserve">Effet sur le mobile : </w:t>
      </w:r>
      <w:r>
        <w:rPr>
          <w:sz w:val="22"/>
          <w:szCs w:val="22"/>
        </w:rPr>
        <w:t xml:space="preserve">modifier la matrice de visibilité d’un segment change immédiatement la liste des éléments proposés dans le formulaire de visite des magasins de ce segment.</w:t>
      </w:r>
    </w:p>
    <w:p>
      <w:pPr>
        <w:pStyle w:val="Heading2"/>
        <w:spacing w:after="160" w:before="280"/>
      </w:pPr>
      <w:r>
        <w:t xml:space="preserve">5.1 Dépannage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shd w:fill="C8102E" w:val="clear"/>
            <w:tcMar>
              <w:top w:type="dxa" w:w="80"/>
              <w:left w:type="dxa" w:w="120"/>
              <w:bottom w:type="dxa" w:w="80"/>
              <w:right w:type="dxa" w:w="120"/>
            </w:tcMar>
          </w:tcPr>
          <w:p>
            <w:r>
              <w:rPr>
                <w:b/>
                <w:bCs/>
                <w:color w:val="FFFFFF"/>
                <w:sz w:val="20"/>
                <w:szCs w:val="20"/>
              </w:rPr>
              <w:t xml:space="preserve">Symptôme</w:t>
            </w:r>
          </w:p>
        </w:tc>
        <w:tc>
          <w:tcPr>
            <w:tcW w:type="dxa" w:w="3000"/>
            <w:shd w:fill="C8102E" w:val="clear"/>
            <w:tcMar>
              <w:top w:type="dxa" w:w="80"/>
              <w:left w:type="dxa" w:w="120"/>
              <w:bottom w:type="dxa" w:w="80"/>
              <w:right w:type="dxa" w:w="120"/>
            </w:tcMar>
          </w:tcPr>
          <w:p>
            <w:r>
              <w:rPr>
                <w:b/>
                <w:bCs/>
                <w:color w:val="FFFFFF"/>
                <w:sz w:val="20"/>
                <w:szCs w:val="20"/>
              </w:rPr>
              <w:t xml:space="preserve">Cause probable</w:t>
            </w:r>
          </w:p>
        </w:tc>
        <w:tc>
          <w:tcPr>
            <w:tcW w:type="dxa" w:w="3160"/>
            <w:shd w:fill="C8102E" w:val="clear"/>
            <w:tcMar>
              <w:top w:type="dxa" w:w="80"/>
              <w:left w:type="dxa" w:w="120"/>
              <w:bottom w:type="dxa" w:w="80"/>
              <w:right w:type="dxa" w:w="120"/>
            </w:tcMar>
          </w:tcPr>
          <w:p>
            <w:r>
              <w:rPr>
                <w:b/>
                <w:bCs/>
                <w:color w:val="FFFFFF"/>
                <w:sz w:val="20"/>
                <w:szCs w:val="20"/>
              </w:rPr>
              <w:t xml:space="preserve">Correction</w:t>
            </w:r>
          </w:p>
        </w:tc>
      </w:tr>
      <w:tr>
        <w:tc>
          <w:tcPr>
            <w:tcW w:type="dxa" w:w="3200"/>
            <w:tcMar>
              <w:top w:type="dxa" w:w="80"/>
              <w:left w:type="dxa" w:w="120"/>
              <w:bottom w:type="dxa" w:w="80"/>
              <w:right w:type="dxa" w:w="120"/>
            </w:tcMar>
          </w:tcPr>
          <w:p>
            <w:r>
              <w:rPr>
                <w:b w:val="false"/>
                <w:bCs w:val="false"/>
                <w:sz w:val="20"/>
                <w:szCs w:val="20"/>
              </w:rPr>
              <w:t xml:space="preserve">Les scores n’ont pas bougé après édition d’un standard</w:t>
            </w:r>
          </w:p>
        </w:tc>
        <w:tc>
          <w:tcPr>
            <w:tcW w:type="dxa" w:w="3000"/>
            <w:tcMar>
              <w:top w:type="dxa" w:w="80"/>
              <w:left w:type="dxa" w:w="120"/>
              <w:bottom w:type="dxa" w:w="80"/>
              <w:right w:type="dxa" w:w="120"/>
            </w:tcMar>
          </w:tcPr>
          <w:p>
            <w:r>
              <w:rPr>
                <w:b w:val="false"/>
                <w:bCs w:val="false"/>
                <w:sz w:val="20"/>
                <w:szCs w:val="20"/>
              </w:rPr>
              <w:t xml:space="preserve">Recalcul non lancé</w:t>
            </w:r>
          </w:p>
        </w:tc>
        <w:tc>
          <w:tcPr>
            <w:tcW w:type="dxa" w:w="3160"/>
            <w:tcMar>
              <w:top w:type="dxa" w:w="80"/>
              <w:left w:type="dxa" w:w="120"/>
              <w:bottom w:type="dxa" w:w="80"/>
              <w:right w:type="dxa" w:w="120"/>
            </w:tcMar>
          </w:tcPr>
          <w:p>
            <w:r>
              <w:rPr>
                <w:b w:val="false"/>
                <w:bCs w:val="false"/>
                <w:sz w:val="20"/>
                <w:szCs w:val="20"/>
              </w:rPr>
              <w:t xml:space="preserve">Perfect Store › Standards › Recalculer</w:t>
            </w:r>
          </w:p>
        </w:tc>
      </w:tr>
      <w:tr>
        <w:tc>
          <w:tcPr>
            <w:tcW w:type="dxa" w:w="3200"/>
            <w:tcMar>
              <w:top w:type="dxa" w:w="80"/>
              <w:left w:type="dxa" w:w="120"/>
              <w:bottom w:type="dxa" w:w="80"/>
              <w:right w:type="dxa" w:w="120"/>
            </w:tcMar>
          </w:tcPr>
          <w:p>
            <w:r>
              <w:rPr>
                <w:b w:val="false"/>
                <w:bCs w:val="false"/>
                <w:sz w:val="20"/>
                <w:szCs w:val="20"/>
              </w:rPr>
              <w:t xml:space="preserve">Un PDV « non évaluable »</w:t>
            </w:r>
          </w:p>
        </w:tc>
        <w:tc>
          <w:tcPr>
            <w:tcW w:type="dxa" w:w="3000"/>
            <w:tcMar>
              <w:top w:type="dxa" w:w="80"/>
              <w:left w:type="dxa" w:w="120"/>
              <w:bottom w:type="dxa" w:w="80"/>
              <w:right w:type="dxa" w:w="120"/>
            </w:tcMar>
          </w:tcPr>
          <w:p>
            <w:r>
              <w:rPr>
                <w:b w:val="false"/>
                <w:bCs w:val="false"/>
                <w:sz w:val="20"/>
                <w:szCs w:val="20"/>
              </w:rPr>
              <w:t xml:space="preserve">Type de magasin non rattaché à un segment</w:t>
            </w:r>
          </w:p>
        </w:tc>
        <w:tc>
          <w:tcPr>
            <w:tcW w:type="dxa" w:w="3160"/>
            <w:tcMar>
              <w:top w:type="dxa" w:w="80"/>
              <w:left w:type="dxa" w:w="120"/>
              <w:bottom w:type="dxa" w:w="80"/>
              <w:right w:type="dxa" w:w="120"/>
            </w:tcMar>
          </w:tcPr>
          <w:p>
            <w:r>
              <w:rPr>
                <w:b w:val="false"/>
                <w:bCs w:val="false"/>
                <w:sz w:val="20"/>
                <w:szCs w:val="20"/>
              </w:rPr>
              <w:t xml:space="preserve">Standards › Types de PDV</w:t>
            </w:r>
          </w:p>
        </w:tc>
      </w:tr>
      <w:tr>
        <w:tc>
          <w:tcPr>
            <w:tcW w:type="dxa" w:w="3200"/>
            <w:tcMar>
              <w:top w:type="dxa" w:w="80"/>
              <w:left w:type="dxa" w:w="120"/>
              <w:bottom w:type="dxa" w:w="80"/>
              <w:right w:type="dxa" w:w="120"/>
            </w:tcMar>
          </w:tcPr>
          <w:p>
            <w:r>
              <w:rPr>
                <w:b w:val="false"/>
                <w:bCs w:val="false"/>
                <w:sz w:val="20"/>
                <w:szCs w:val="20"/>
              </w:rPr>
              <w:t xml:space="preserve">Un PDV MT chute en disponibilité malgré du stock</w:t>
            </w:r>
          </w:p>
        </w:tc>
        <w:tc>
          <w:tcPr>
            <w:tcW w:type="dxa" w:w="3000"/>
            <w:tcMar>
              <w:top w:type="dxa" w:w="80"/>
              <w:left w:type="dxa" w:w="120"/>
              <w:bottom w:type="dxa" w:w="80"/>
              <w:right w:type="dxa" w:w="120"/>
            </w:tcMar>
          </w:tcPr>
          <w:p>
            <w:r>
              <w:rPr>
                <w:b w:val="false"/>
                <w:bCs w:val="false"/>
                <w:sz w:val="20"/>
                <w:szCs w:val="20"/>
              </w:rPr>
              <w:t xml:space="preserve">Facings non saisis</w:t>
            </w:r>
          </w:p>
        </w:tc>
        <w:tc>
          <w:tcPr>
            <w:tcW w:type="dxa" w:w="3160"/>
            <w:tcMar>
              <w:top w:type="dxa" w:w="80"/>
              <w:left w:type="dxa" w:w="120"/>
              <w:bottom w:type="dxa" w:w="80"/>
              <w:right w:type="dxa" w:w="120"/>
            </w:tcMar>
          </w:tcPr>
          <w:p>
            <w:r>
              <w:rPr>
                <w:b w:val="false"/>
                <w:bCs w:val="false"/>
                <w:sz w:val="20"/>
                <w:szCs w:val="20"/>
              </w:rPr>
              <w:t xml:space="preserve">Ressaisir les facings dans la visite</w:t>
            </w:r>
          </w:p>
        </w:tc>
      </w:tr>
      <w:tr>
        <w:tc>
          <w:tcPr>
            <w:tcW w:type="dxa" w:w="3200"/>
            <w:tcMar>
              <w:top w:type="dxa" w:w="80"/>
              <w:left w:type="dxa" w:w="120"/>
              <w:bottom w:type="dxa" w:w="80"/>
              <w:right w:type="dxa" w:w="120"/>
            </w:tcMar>
          </w:tcPr>
          <w:p>
            <w:r>
              <w:rPr>
                <w:b w:val="false"/>
                <w:bCs w:val="false"/>
                <w:sz w:val="20"/>
                <w:szCs w:val="20"/>
              </w:rPr>
              <w:t xml:space="preserve">Le dashboard est presque vide</w:t>
            </w:r>
          </w:p>
        </w:tc>
        <w:tc>
          <w:tcPr>
            <w:tcW w:type="dxa" w:w="3000"/>
            <w:tcMar>
              <w:top w:type="dxa" w:w="80"/>
              <w:left w:type="dxa" w:w="120"/>
              <w:bottom w:type="dxa" w:w="80"/>
              <w:right w:type="dxa" w:w="120"/>
            </w:tcMar>
          </w:tcPr>
          <w:p>
            <w:r>
              <w:rPr>
                <w:b w:val="false"/>
                <w:bCs w:val="false"/>
                <w:sz w:val="20"/>
                <w:szCs w:val="20"/>
              </w:rPr>
              <w:t xml:space="preserve">Période trop courte (ex. « Mois » un 1er du mois)</w:t>
            </w:r>
          </w:p>
        </w:tc>
        <w:tc>
          <w:tcPr>
            <w:tcW w:type="dxa" w:w="3160"/>
            <w:tcMar>
              <w:top w:type="dxa" w:w="80"/>
              <w:left w:type="dxa" w:w="120"/>
              <w:bottom w:type="dxa" w:w="80"/>
              <w:right w:type="dxa" w:w="120"/>
            </w:tcMar>
          </w:tcPr>
          <w:p>
            <w:r>
              <w:rPr>
                <w:b w:val="false"/>
                <w:bCs w:val="false"/>
                <w:sz w:val="20"/>
                <w:szCs w:val="20"/>
              </w:rPr>
              <w:t xml:space="preserve">Passer sur « 30 jours » ou élargir</w:t>
            </w:r>
          </w:p>
        </w:tc>
      </w:tr>
      <w:tr>
        <w:tc>
          <w:tcPr>
            <w:tcW w:type="dxa" w:w="3200"/>
            <w:tcMar>
              <w:top w:type="dxa" w:w="80"/>
              <w:left w:type="dxa" w:w="120"/>
              <w:bottom w:type="dxa" w:w="80"/>
              <w:right w:type="dxa" w:w="120"/>
            </w:tcMar>
          </w:tcPr>
          <w:p>
            <w:r>
              <w:rPr>
                <w:b w:val="false"/>
                <w:bCs w:val="false"/>
                <w:sz w:val="20"/>
                <w:szCs w:val="20"/>
              </w:rPr>
              <w:t xml:space="preserve">Un commercial ne voit pas ses PDV</w:t>
            </w:r>
          </w:p>
        </w:tc>
        <w:tc>
          <w:tcPr>
            <w:tcW w:type="dxa" w:w="3000"/>
            <w:tcMar>
              <w:top w:type="dxa" w:w="80"/>
              <w:left w:type="dxa" w:w="120"/>
              <w:bottom w:type="dxa" w:w="80"/>
              <w:right w:type="dxa" w:w="120"/>
            </w:tcMar>
          </w:tcPr>
          <w:p>
            <w:r>
              <w:rPr>
                <w:b w:val="false"/>
                <w:bCs w:val="false"/>
                <w:sz w:val="20"/>
                <w:szCs w:val="20"/>
              </w:rPr>
              <w:t xml:space="preserve">Affectation territoire / quartier différente du PDV</w:t>
            </w:r>
          </w:p>
        </w:tc>
        <w:tc>
          <w:tcPr>
            <w:tcW w:type="dxa" w:w="3160"/>
            <w:tcMar>
              <w:top w:type="dxa" w:w="80"/>
              <w:left w:type="dxa" w:w="120"/>
              <w:bottom w:type="dxa" w:w="80"/>
              <w:right w:type="dxa" w:w="120"/>
            </w:tcMar>
          </w:tcPr>
          <w:p>
            <w:r>
              <w:rPr>
                <w:b w:val="false"/>
                <w:bCs w:val="false"/>
                <w:sz w:val="20"/>
                <w:szCs w:val="20"/>
              </w:rPr>
              <w:t xml:space="preserve">Utilisateurs : aligner le périmètre</w:t>
            </w:r>
          </w:p>
        </w:tc>
      </w:tr>
      <w:tr>
        <w:tc>
          <w:tcPr>
            <w:tcW w:type="dxa" w:w="3200"/>
            <w:tcMar>
              <w:top w:type="dxa" w:w="80"/>
              <w:left w:type="dxa" w:w="120"/>
              <w:bottom w:type="dxa" w:w="80"/>
              <w:right w:type="dxa" w:w="120"/>
            </w:tcMar>
          </w:tcPr>
          <w:p>
            <w:r>
              <w:rPr>
                <w:b w:val="false"/>
                <w:bCs w:val="false"/>
                <w:sz w:val="20"/>
                <w:szCs w:val="20"/>
              </w:rPr>
              <w:t xml:space="preserve">Visites absentes de l’admin</w:t>
            </w:r>
          </w:p>
        </w:tc>
        <w:tc>
          <w:tcPr>
            <w:tcW w:type="dxa" w:w="3000"/>
            <w:tcMar>
              <w:top w:type="dxa" w:w="80"/>
              <w:left w:type="dxa" w:w="120"/>
              <w:bottom w:type="dxa" w:w="80"/>
              <w:right w:type="dxa" w:w="120"/>
            </w:tcMar>
          </w:tcPr>
          <w:p>
            <w:r>
              <w:rPr>
                <w:b w:val="false"/>
                <w:bCs w:val="false"/>
                <w:sz w:val="20"/>
                <w:szCs w:val="20"/>
              </w:rPr>
              <w:t xml:space="preserve">Téléphone sans réseau, visites en attente</w:t>
            </w:r>
          </w:p>
        </w:tc>
        <w:tc>
          <w:tcPr>
            <w:tcW w:type="dxa" w:w="3160"/>
            <w:tcMar>
              <w:top w:type="dxa" w:w="80"/>
              <w:left w:type="dxa" w:w="120"/>
              <w:bottom w:type="dxa" w:w="80"/>
              <w:right w:type="dxa" w:w="120"/>
            </w:tcMar>
          </w:tcPr>
          <w:p>
            <w:r>
              <w:rPr>
                <w:b w:val="false"/>
                <w:bCs w:val="false"/>
                <w:sz w:val="20"/>
                <w:szCs w:val="20"/>
              </w:rPr>
              <w:t xml:space="preserve">Reconnecter le téléphone, vérifier le compteur de synchronisation</w:t>
            </w:r>
          </w:p>
        </w:tc>
      </w:tr>
      <w:tr>
        <w:tc>
          <w:tcPr>
            <w:tcW w:type="dxa" w:w="3200"/>
            <w:tcMar>
              <w:top w:type="dxa" w:w="80"/>
              <w:left w:type="dxa" w:w="120"/>
              <w:bottom w:type="dxa" w:w="80"/>
              <w:right w:type="dxa" w:w="120"/>
            </w:tcMar>
          </w:tcPr>
          <w:p>
            <w:r>
              <w:rPr>
                <w:b w:val="false"/>
                <w:bCs w:val="false"/>
                <w:sz w:val="20"/>
                <w:szCs w:val="20"/>
              </w:rPr>
              <w:t xml:space="preserve">Une photo manque dans le détail</w:t>
            </w:r>
          </w:p>
        </w:tc>
        <w:tc>
          <w:tcPr>
            <w:tcW w:type="dxa" w:w="3000"/>
            <w:tcMar>
              <w:top w:type="dxa" w:w="80"/>
              <w:left w:type="dxa" w:w="120"/>
              <w:bottom w:type="dxa" w:w="80"/>
              <w:right w:type="dxa" w:w="120"/>
            </w:tcMar>
          </w:tcPr>
          <w:p>
            <w:r>
              <w:rPr>
                <w:b w:val="false"/>
                <w:bCs w:val="false"/>
                <w:sz w:val="20"/>
                <w:szCs w:val="20"/>
              </w:rPr>
              <w:t xml:space="preserve">Envoi interrompu</w:t>
            </w:r>
          </w:p>
        </w:tc>
        <w:tc>
          <w:tcPr>
            <w:tcW w:type="dxa" w:w="3160"/>
            <w:tcMar>
              <w:top w:type="dxa" w:w="80"/>
              <w:left w:type="dxa" w:w="120"/>
              <w:bottom w:type="dxa" w:w="80"/>
              <w:right w:type="dxa" w:w="120"/>
            </w:tcMar>
          </w:tcPr>
          <w:p>
            <w:r>
              <w:rPr>
                <w:b w:val="false"/>
                <w:bCs w:val="false"/>
                <w:sz w:val="20"/>
                <w:szCs w:val="20"/>
              </w:rPr>
              <w:t xml:space="preserve">Reprendre le réseau ; la photo est renvoyée automatiquement</w:t>
            </w:r>
          </w:p>
        </w:tc>
      </w:tr>
    </w:tbl>
    <w:p>
      <w:r>
        <w:br w:type="page"/>
      </w:r>
    </w:p>
    <w:p>
      <w:pPr>
        <w:pStyle w:val="Heading1"/>
        <w:spacing w:after="200" w:before="360"/>
      </w:pPr>
      <w:r>
        <w:t xml:space="preserve">6. Pour conclure</w:t>
      </w:r>
    </w:p>
    <w:p>
      <w:pPr>
        <w:pStyle w:val="Heading2"/>
        <w:spacing w:after="160" w:before="280"/>
      </w:pPr>
      <w:r>
        <w:t xml:space="preserve">Les trois réflexes du responsable</w:t>
      </w:r>
    </w:p>
    <w:p>
      <w:pPr>
        <w:pStyle w:val="ListParagraph"/>
        <w:numPr>
          <w:ilvl w:val="0"/>
          <w:numId w:val="6"/>
        </w:numPr>
        <w:spacing w:after="80"/>
      </w:pPr>
      <w:r>
        <w:rPr>
          <w:sz w:val="22"/>
          <w:szCs w:val="22"/>
        </w:rPr>
        <w:t xml:space="preserve">Chaque semaine : dashboard sur 30 jours, filtré par territoire, puis le tableau « Passer au niveau supérieur ».</w:t>
      </w:r>
    </w:p>
    <w:p>
      <w:pPr>
        <w:pStyle w:val="ListParagraph"/>
        <w:numPr>
          <w:ilvl w:val="0"/>
          <w:numId w:val="6"/>
        </w:numPr>
        <w:spacing w:after="80"/>
      </w:pPr>
      <w:r>
        <w:rPr>
          <w:sz w:val="22"/>
          <w:szCs w:val="22"/>
        </w:rPr>
        <w:t xml:space="preserve">Après toute modification de standard : Recalculer.</w:t>
      </w:r>
    </w:p>
    <w:p>
      <w:pPr>
        <w:pStyle w:val="ListParagraph"/>
        <w:numPr>
          <w:ilvl w:val="0"/>
          <w:numId w:val="6"/>
        </w:numPr>
        <w:spacing w:after="80"/>
      </w:pPr>
      <w:r>
        <w:rPr>
          <w:sz w:val="22"/>
          <w:szCs w:val="22"/>
        </w:rPr>
        <w:t xml:space="preserve">Quand un commercial ne voit pas ses PDV : vérifier son affectation avant tout autre diagnostic.</w:t>
      </w:r>
    </w:p>
    <w:p>
      <w:pPr>
        <w:pStyle w:val="Heading2"/>
        <w:spacing w:after="160" w:before="280"/>
      </w:pPr>
      <w:r>
        <w:t xml:space="preserve">Annexe A —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C8102E" w:val="clear"/>
            <w:tcMar>
              <w:top w:type="dxa" w:w="80"/>
              <w:left w:type="dxa" w:w="120"/>
              <w:bottom w:type="dxa" w:w="80"/>
              <w:right w:type="dxa" w:w="120"/>
            </w:tcMar>
          </w:tcPr>
          <w:p>
            <w:r>
              <w:rPr>
                <w:b/>
                <w:bCs/>
                <w:color w:val="FFFFFF"/>
                <w:sz w:val="20"/>
                <w:szCs w:val="20"/>
              </w:rPr>
              <w:t xml:space="preserve">Élément</w:t>
            </w:r>
          </w:p>
        </w:tc>
        <w:tc>
          <w:tcPr>
            <w:tcW w:type="dxa" w:w="6360"/>
            <w:shd w:fill="C8102E" w:val="clear"/>
            <w:tcMar>
              <w:top w:type="dxa" w:w="80"/>
              <w:left w:type="dxa" w:w="120"/>
              <w:bottom w:type="dxa" w:w="80"/>
              <w:right w:type="dxa" w:w="120"/>
            </w:tcMar>
          </w:tcPr>
          <w:p>
            <w:r>
              <w:rPr>
                <w:b/>
                <w:bCs/>
                <w:color w:val="FFFFFF"/>
                <w:sz w:val="20"/>
                <w:szCs w:val="20"/>
              </w:rPr>
              <w:t xml:space="preserve">Valeur</w:t>
            </w:r>
          </w:p>
        </w:tc>
      </w:tr>
      <w:tr>
        <w:tc>
          <w:tcPr>
            <w:tcW w:type="dxa" w:w="3000"/>
            <w:tcMar>
              <w:top w:type="dxa" w:w="80"/>
              <w:left w:type="dxa" w:w="120"/>
              <w:bottom w:type="dxa" w:w="80"/>
              <w:right w:type="dxa" w:w="120"/>
            </w:tcMar>
          </w:tcPr>
          <w:p>
            <w:r>
              <w:rPr>
                <w:b w:val="false"/>
                <w:bCs w:val="false"/>
                <w:sz w:val="20"/>
                <w:szCs w:val="20"/>
              </w:rPr>
              <w:t xml:space="preserve">Espace admin (web)</w:t>
            </w:r>
          </w:p>
        </w:tc>
        <w:tc>
          <w:tcPr>
            <w:tcW w:type="dxa" w:w="6360"/>
            <w:tcMar>
              <w:top w:type="dxa" w:w="80"/>
              <w:left w:type="dxa" w:w="120"/>
              <w:bottom w:type="dxa" w:w="80"/>
              <w:right w:type="dxa" w:w="120"/>
            </w:tcMar>
          </w:tcPr>
          <w:p>
            <w:r>
              <w:rPr>
                <w:b w:val="false"/>
                <w:bCs w:val="false"/>
                <w:sz w:val="20"/>
                <w:szCs w:val="20"/>
              </w:rPr>
              <w:t xml:space="preserve">Adresse communiquée par le formateur</w:t>
            </w:r>
          </w:p>
        </w:tc>
      </w:tr>
      <w:tr>
        <w:tc>
          <w:tcPr>
            <w:tcW w:type="dxa" w:w="3000"/>
            <w:tcMar>
              <w:top w:type="dxa" w:w="80"/>
              <w:left w:type="dxa" w:w="120"/>
              <w:bottom w:type="dxa" w:w="80"/>
              <w:right w:type="dxa" w:w="120"/>
            </w:tcMar>
          </w:tcPr>
          <w:p>
            <w:r>
              <w:rPr>
                <w:b w:val="false"/>
                <w:bCs w:val="false"/>
                <w:sz w:val="20"/>
                <w:szCs w:val="20"/>
              </w:rPr>
              <w:t xml:space="preserve">Identifiant</w:t>
            </w:r>
          </w:p>
        </w:tc>
        <w:tc>
          <w:tcPr>
            <w:tcW w:type="dxa" w:w="6360"/>
            <w:tcMar>
              <w:top w:type="dxa" w:w="80"/>
              <w:left w:type="dxa" w:w="120"/>
              <w:bottom w:type="dxa" w:w="80"/>
              <w:right w:type="dxa" w:w="120"/>
            </w:tcMar>
          </w:tcPr>
          <w:p>
            <w:r>
              <w:rPr>
                <w:b w:val="false"/>
                <w:bCs w:val="false"/>
                <w:sz w:val="20"/>
                <w:szCs w:val="20"/>
              </w:rPr>
              <w:t xml:space="preserve">E-mail professionnel de chaque utilisateur</w:t>
            </w:r>
          </w:p>
        </w:tc>
      </w:tr>
      <w:tr>
        <w:tc>
          <w:tcPr>
            <w:tcW w:type="dxa" w:w="3000"/>
            <w:tcMar>
              <w:top w:type="dxa" w:w="80"/>
              <w:left w:type="dxa" w:w="120"/>
              <w:bottom w:type="dxa" w:w="80"/>
              <w:right w:type="dxa" w:w="120"/>
            </w:tcMar>
          </w:tcPr>
          <w:p>
            <w:r>
              <w:rPr>
                <w:b w:val="false"/>
                <w:bCs w:val="false"/>
                <w:sz w:val="20"/>
                <w:szCs w:val="20"/>
              </w:rPr>
              <w:t xml:space="preserve">Mot de passe initial</w:t>
            </w:r>
          </w:p>
        </w:tc>
        <w:tc>
          <w:tcPr>
            <w:tcW w:type="dxa" w:w="6360"/>
            <w:tcMar>
              <w:top w:type="dxa" w:w="80"/>
              <w:left w:type="dxa" w:w="120"/>
              <w:bottom w:type="dxa" w:w="80"/>
              <w:right w:type="dxa" w:w="120"/>
            </w:tcMar>
          </w:tcPr>
          <w:p>
            <w:r>
              <w:rPr>
                <w:b w:val="false"/>
                <w:bCs w:val="false"/>
                <w:sz w:val="20"/>
                <w:szCs w:val="20"/>
              </w:rPr>
              <w:t xml:space="preserve">Communiqué oralement par le formateur ; à changer à la première connexion</w:t>
            </w:r>
          </w:p>
        </w:tc>
      </w:tr>
      <w:tr>
        <w:tc>
          <w:tcPr>
            <w:tcW w:type="dxa" w:w="3000"/>
            <w:tcMar>
              <w:top w:type="dxa" w:w="80"/>
              <w:left w:type="dxa" w:w="120"/>
              <w:bottom w:type="dxa" w:w="80"/>
              <w:right w:type="dxa" w:w="120"/>
            </w:tcMar>
          </w:tcPr>
          <w:p>
            <w:r>
              <w:rPr>
                <w:b w:val="false"/>
                <w:bCs w:val="false"/>
                <w:sz w:val="20"/>
                <w:szCs w:val="20"/>
              </w:rPr>
              <w:t xml:space="preserve">Support</w:t>
            </w:r>
          </w:p>
        </w:tc>
        <w:tc>
          <w:tcPr>
            <w:tcW w:type="dxa" w:w="6360"/>
            <w:tcMar>
              <w:top w:type="dxa" w:w="80"/>
              <w:left w:type="dxa" w:w="120"/>
              <w:bottom w:type="dxa" w:w="80"/>
              <w:right w:type="dxa" w:w="120"/>
            </w:tcMar>
          </w:tcPr>
          <w:p>
            <w:r>
              <w:rPr>
                <w:b w:val="false"/>
                <w:bCs w:val="false"/>
                <w:sz w:val="20"/>
                <w:szCs w:val="20"/>
              </w:rPr>
              <w:t xml:space="preserve">Big Five — contact à compléter</w:t>
            </w:r>
          </w:p>
        </w:tc>
      </w:tr>
    </w:tbl>
    <w:p>
      <w:pPr>
        <w:spacing w:after="120"/>
      </w:pPr>
      <w:r>
        <w:rPr>
          <w:color w:val="555555"/>
          <w:sz w:val="22"/>
          <w:szCs w:val="22"/>
        </w:rPr>
        <w:t xml:space="preserve">Bonne formation.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Friesland Bonnet Rouge — Guide de 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C8102E"/>
      <w:sz w:val="36"/>
      <w:szCs w:val="36"/>
    </w:rPr>
  </w:style>
  <w:style w:type="paragraph" w:styleId="Heading2">
    <w:name w:val="Heading 2"/>
    <w:basedOn w:val="Normal"/>
    <w:next w:val="Normal"/>
    <w:qFormat/>
    <w:pPr>
      <w:spacing w:after="160" w:before="280"/>
      <w:outlineLvl w:val="1"/>
    </w:pPr>
    <w:rPr>
      <w:rFonts w:ascii="Cambria" w:cs="Cambria" w:eastAsia="Cambria" w:hAnsi="Cambria"/>
      <w:b/>
      <w:bCs/>
      <w:color w:val="222222"/>
      <w:sz w:val="28"/>
      <w:szCs w:val="28"/>
    </w:rPr>
  </w:style>
  <w:style w:type="paragraph" w:styleId="Heading3">
    <w:name w:val="Heading 3"/>
    <w:basedOn w:val="Normal"/>
    <w:next w:val="Normal"/>
    <w:qFormat/>
    <w:pPr>
      <w:spacing w:after="120" w:before="200"/>
      <w:outlineLvl w:val="2"/>
    </w:pPr>
    <w:rPr>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formation — Friesland Bonnet Rouge</dc:title>
  <dc:creator>Big Five</dc:creator>
  <cp:lastModifiedBy>Un-named</cp:lastModifiedBy>
  <cp:revision>1</cp:revision>
  <dcterms:created xsi:type="dcterms:W3CDTF">2026-09-02T15:57:30.850Z</dcterms:created>
  <dcterms:modified xsi:type="dcterms:W3CDTF">2026-09-02T15:57:30.851Z</dcterms:modified>
</cp:coreProperties>
</file>

<file path=docProps/custom.xml><?xml version="1.0" encoding="utf-8"?>
<Properties xmlns="http://schemas.openxmlformats.org/officeDocument/2006/custom-properties" xmlns:vt="http://schemas.openxmlformats.org/officeDocument/2006/docPropsVTypes"/>
</file>