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Tareas de Alejandro</w:t>
      </w:r>
    </w:p>
    <w:p>
      <w:pPr>
        <w:spacing w:after="120"/>
        <w:rPr>
          <w:color w:val="595959"/>
          <w:sz w:val="24"/>
          <w:szCs w:val="24"/>
        </w:rPr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Plan de trabajo web Aluminios Olmedo · aluminio-carpinteria.com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Alejandro (relación con el cliente y decisiones)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Periodo: </w:t>
      </w:r>
      <w:r>
        <w:rPr>
          <w:rFonts w:ascii="Calibri" w:cs="Calibri" w:eastAsia="Calibri" w:hAnsi="Calibri"/>
          <w:sz w:val="22"/>
          <w:szCs w:val="22"/>
        </w:rPr>
        <w:t xml:space="preserve">13 de octubre a 31 de diciembre de 2026 (12 semanas)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del documento: </w:t>
      </w:r>
      <w:r>
        <w:rPr>
          <w:rFonts w:ascii="Calibri" w:cs="Calibri" w:eastAsia="Calibri" w:hAnsi="Calibri"/>
          <w:sz w:val="22"/>
          <w:szCs w:val="22"/>
        </w:rPr>
        <w:t xml:space="preserve">8 de octubre de 2026</w:t>
      </w:r>
    </w:p>
    <w:p>
      <w:pPr>
        <w:pBdr>
          <w:bottom w:val="single" w:color="1F4E79" w:sz="6" w:space="4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Tareas de coordinación con el cliente y de decisión del plan de trabajo de aluminio-carpinteria.com. Varias tareas del desarrollador y de SEO dependen de estas respuestas, por eso conviene cerrarlas en las dos primeras semanas.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Resumen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 tareas en orden de ejecución. La columna Estado se puede actualizar a mano.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26"/>
        <w:gridCol w:w="1100"/>
        <w:gridCol w:w="17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Fechas (semana)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Enviar las preguntas al cliente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 – 17 oct (1)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Aclarar Google Ads y filtrar tráfico automático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 – 24 oct (1-2)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Documentar la caída de 2025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 – 31 oct (1-3)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Visto bueno para los enlaces de distribuidor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oct – 31 oct (2-3)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sobre el hosting si el TTFB no baja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nov – 7 nov (4)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Decidir sobre el proveedor de enlaces comprados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nov – 7 nov (4)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Tareas en detalle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Enviar las preguntas al cliente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(13 oct – 17 oct)  ·  Impacto Alto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Bloquean tareas de medición, contenido y enlaces.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¿Qué cambió en la web entre febrero y junio de 2025 (rediseño, URLs, hosting, proveedor)? Las visitas estimadas cayeron de 5.429 a 1.458.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¿Quién gestiona Google Ads (AW-1001474405) y nos puede dar acceso de lectura?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¿Quién tocó la portada entre el 6 y el 8 de octubre? (posible chat Tawk.to duplicado).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¿Autoriza pedir enlace de distribuidor a VELUX, ROTO, DAKEA, Maydisa y GME, y con qué contactos comerciales?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Fotos de la nave y del equipo, años de experiencia y zona de servicio para «Quiénes somos».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Respuestas recibidas y pasadas al desarrollador y a SEO.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Aclarar Google Ads y filtrar tráfico automático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1-2 (13 oct – 24 oct)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29 % de las sesiones son de pago y no está claro quién lo gestiona. En marzo hubo 3.404 sesiones de pago y 1.715 directas anómalas, y el 25 de septiembre un pico de 195 directas en /502-mamparas-de-bano.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Identificar quién gestiona la cuenta AW-1001474405.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Pedir acceso de lectura y vincular Ads con GA4 (propiedad 525095091).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Comparar los clics de Ads de marzo con las 3.404 sesiones de pago para confirmar si hubo bots.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el pico directo del 25 de septiembre y, si es automático, pedir al desarrollador que lo excluya (filtro de IP o segmento).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El informe mensual separa tráfico real y anómalo.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Exclusión técnica: desarrollador.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Documentar la caída de 2025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1-3 (13 oct – 31 oct)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caída de 5.429 a 1.458 visitas estimadas no tiene causa documentada.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la respuesta del cliente, anotar fechas de rediseño, cambios de URL, hosting o proveedor.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Pasarlo a SEO para revisar si hay redirecciones o URLs antiguas que recuperar.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Causa documentada en el informe interno.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Respuesta del cliente (0.4).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Visto bueno para los enlaces de distribuidor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2-3 (20 oct – 31 oct)  ·  Impacto Alto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Faltan los enlaces de distribuidor de VELUX, ROTO, DAKEA, Maydisa y GME; son los enlaces naturales más valiosos.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Conseguir la autorización del cliente para contactar a los fabricantes.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Pedir los contactos comerciales de cada marca y pasarlos a SEO.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Autorización y contactos entregados a SEO.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Decidir sobre el hosting si el TTFB no baja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 4 (3 nov – 7 nov)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El TTFB actual es de 0,9 a 1,7 s y el objetivo es menos de 0,4 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con el desarrollador el resultado de la optimización del hosting (tarea 2.2).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no se alcanza el objetivo, proponer al cliente subir de plan o cambiar de hosting.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Decisión tomada y comunicada.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Resultado de la tarea 2.2 del desarrollador.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Decidir sobre el proveedor de enlaces comprados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 4 (3 nov – 7 nov)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Se compran 1-2 enlaces al mes desde abril, pero solo se detectan 4 enlaces normales.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con SEO el resultado de la auditoría de enlaces comprados (tarea 4.2).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Decidir si se mantiene el proveedor o se dedica esa hora mensual a enlaces de distribuidor y prensa local.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Decisión tomada.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Auditoría 4.2 de SEO.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Pendiente de decidir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las horas del desarrollador (fases 1 y 2) entran en las 20 h mensuales o van aparte.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Validar los objetivos propuestos: +15 % de clics, 30 palabras en top 10 y 3 de 5 enlaces de distribuidor.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 se hacen visibles al cliente los informes de abril a julio.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Tareas de Alejandro · Aluminios Olmedo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Tareas de Alejandro</dc:title>
  <dc:creator>Infosama</dc:creator>
  <cp:lastModifiedBy>Un-named</cp:lastModifiedBy>
  <cp:revision>1</cp:revision>
  <dcterms:created xsi:type="dcterms:W3CDTF">2026-10-08T17:47:00.158Z</dcterms:created>
  <dcterms:modified xsi:type="dcterms:W3CDTF">2026-10-08T17:47:00.158Z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